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w:t>
      </w:r>
      <w:r w:rsidDel="00000000" w:rsidR="00000000" w:rsidRPr="00000000">
        <w:rPr>
          <w:b w:val="1"/>
          <w:rtl w:val="0"/>
        </w:rPr>
        <w:t xml:space="preserve"> coastal area</w:t>
      </w:r>
      <w:r w:rsidDel="00000000" w:rsidR="00000000" w:rsidRPr="00000000">
        <w:rPr>
          <w:rtl w:val="0"/>
        </w:rPr>
        <w:t xml:space="preserve"> with</w:t>
      </w:r>
      <w:r w:rsidDel="00000000" w:rsidR="00000000" w:rsidRPr="00000000">
        <w:rPr>
          <w:b w:val="1"/>
          <w:rtl w:val="0"/>
        </w:rPr>
        <w:t xml:space="preserve"> low crime rates</w:t>
      </w:r>
      <w:r w:rsidDel="00000000" w:rsidR="00000000" w:rsidRPr="00000000">
        <w:rPr>
          <w:rtl w:val="0"/>
        </w:rPr>
        <w:t xml:space="preserve">.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tcMar>
              <w:top w:w="100.0" w:type="dxa"/>
              <w:left w:w="100.0" w:type="dxa"/>
              <w:bottom w:w="100.0" w:type="dxa"/>
              <w:right w:w="100.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tcMar>
              <w:top w:w="100.0" w:type="dxa"/>
              <w:left w:w="100.0" w:type="dxa"/>
              <w:bottom w:w="100.0" w:type="dxa"/>
              <w:right w:w="100.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tcMar>
              <w:top w:w="100.0" w:type="dxa"/>
              <w:left w:w="100.0" w:type="dxa"/>
              <w:bottom w:w="100.0" w:type="dxa"/>
              <w:right w:w="100.0" w:type="dxa"/>
            </w:tcM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fce5cd"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tcMar>
              <w:top w:w="100.0" w:type="dxa"/>
              <w:left w:w="100.0" w:type="dxa"/>
              <w:bottom w:w="100.0" w:type="dxa"/>
              <w:right w:w="100.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A">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2F">
      <w:pPr>
        <w:rPr>
          <w:i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6">
      <w:pPr>
        <w:ind w:left="-360" w:right="-36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p>
    <w:p w:rsidR="00000000" w:rsidDel="00000000" w:rsidP="00000000" w:rsidRDefault="00000000" w:rsidRPr="00000000" w14:paraId="00000037">
      <w:pPr>
        <w:ind w:left="-360" w:right="-360" w:firstLine="0"/>
        <w:rPr/>
      </w:pPr>
      <w:r w:rsidDel="00000000" w:rsidR="00000000" w:rsidRPr="00000000">
        <w:rPr>
          <w:rtl w:val="0"/>
        </w:rPr>
      </w:r>
    </w:p>
    <w:p w:rsidR="00000000" w:rsidDel="00000000" w:rsidP="00000000" w:rsidRDefault="00000000" w:rsidRPr="00000000" w14:paraId="00000038">
      <w:pPr>
        <w:pStyle w:val="Heading3"/>
        <w:rPr>
          <w:b w:val="1"/>
          <w:color w:val="000000"/>
        </w:rPr>
      </w:pPr>
      <w:bookmarkStart w:colFirst="0" w:colLast="0" w:name="_bwwg0buw6rr6" w:id="2"/>
      <w:bookmarkEnd w:id="2"/>
      <w:r w:rsidDel="00000000" w:rsidR="00000000" w:rsidRPr="00000000">
        <w:rPr>
          <w:b w:val="1"/>
          <w:color w:val="000000"/>
          <w:rtl w:val="0"/>
        </w:rPr>
        <w:t xml:space="preserve">Notes </w:t>
      </w:r>
    </w:p>
    <w:p w:rsidR="00000000" w:rsidDel="00000000" w:rsidP="00000000" w:rsidRDefault="00000000" w:rsidRPr="00000000" w14:paraId="00000039">
      <w:pPr>
        <w:spacing w:before="200" w:lineRule="auto"/>
        <w:rPr/>
      </w:pPr>
      <w:r w:rsidDel="00000000" w:rsidR="00000000" w:rsidRPr="00000000">
        <w:rPr>
          <w:rtl w:val="0"/>
        </w:rPr>
        <w:t xml:space="preserve">Firstly, we assess the likelihood of each risk to the funds. Since employees could be easily tricked into giving confidential information, but a social attack like this is not very common, a likelihood of 2 is given. The likelihood of poorly encrypting customer’s data is not very much, since a bank should meet some security requirements before becoming a functional bank. However, this is not improbable, hence a likelihood of 2 would be good. The leakage of financial information could be as likely as the latter; therefore, a likelihood of 2. As we know, this area has a low crime rate; thus, a likelihood of 1 for theft. In the end, although the bank is located in a coastal area, the rate of hurricane or such natural disasters is not too high and the likelihood of supply chain disruption is low. </w:t>
      </w:r>
    </w:p>
    <w:p w:rsidR="00000000" w:rsidDel="00000000" w:rsidP="00000000" w:rsidRDefault="00000000" w:rsidRPr="00000000" w14:paraId="0000003A">
      <w:pPr>
        <w:spacing w:before="200" w:lineRule="auto"/>
        <w:rPr/>
      </w:pPr>
      <w:r w:rsidDel="00000000" w:rsidR="00000000" w:rsidRPr="00000000">
        <w:rPr>
          <w:rtl w:val="0"/>
        </w:rPr>
        <w:t xml:space="preserve">Secondly, we assess the severity of each risk based on the impact of the event on the reputation, finances, and regulation fines. Business email compromise cannot affect the bank’s finances or bring any fines, however it has a severe impact on the reputation; therefore a level 2 severity is chosen. For all the others, in case of an incident, the event will bring negative impact on all reputation, finances, and regulation fines; therefore, a level 3 severity is chosen.</w:t>
      </w:r>
    </w:p>
    <w:p w:rsidR="00000000" w:rsidDel="00000000" w:rsidP="00000000" w:rsidRDefault="00000000" w:rsidRPr="00000000" w14:paraId="0000003B">
      <w:pPr>
        <w:spacing w:before="200" w:lineRule="auto"/>
        <w:rPr/>
      </w:pPr>
      <w:r w:rsidDel="00000000" w:rsidR="00000000" w:rsidRPr="00000000">
        <w:rPr>
          <w:rtl w:val="0"/>
        </w:rPr>
        <w:t xml:space="preserve">Lastly, by multiplying the likelihood and severity, we conclude the risk assessment, finding the priority of each risk.</w:t>
      </w:r>
      <w:r w:rsidDel="00000000" w:rsidR="00000000" w:rsidRPr="00000000">
        <w:rPr>
          <w:rtl w:val="0"/>
        </w:rPr>
      </w:r>
    </w:p>
    <w:p w:rsidR="00000000" w:rsidDel="00000000" w:rsidP="00000000" w:rsidRDefault="00000000" w:rsidRPr="00000000" w14:paraId="0000003C">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ind w:left="-360" w:right="-360" w:firstLine="0"/>
        <w:jc w:val="center"/>
        <w:rPr/>
      </w:pPr>
      <w:bookmarkStart w:colFirst="0" w:colLast="0" w:name="_yqdx7a4gpstd" w:id="3"/>
      <w:bookmarkEnd w:id="3"/>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E">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8">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