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077.5"/>
        <w:gridCol w:w="2077.5"/>
        <w:tblGridChange w:id="0">
          <w:tblGrid>
            <w:gridCol w:w="1110"/>
            <w:gridCol w:w="1995"/>
            <w:gridCol w:w="2100"/>
            <w:gridCol w:w="2077.5"/>
            <w:gridCol w:w="2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214393526"/>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system alert has identified that an employee downloaded and accessed a harmful file from a phishing email. The email sender's name, "Def Communications," does not match the sender's email address, "76tguy6hh6tgftrt7tg.su," and the name used in the email body, "Clyde West." The email's subject line and body contained grammatical errors. Upon opening the email attachment, "bfsvc.exe," which was password-protected, the affected computer was compromised. The file hash has been previously investigated and confirmed to be malicious. The alert has been classified as medium severity, leading me to escalate the issue to a level-two SOC analyst for further investigation.</w:t>
            </w:r>
          </w:p>
        </w:tc>
      </w:tr>
    </w:tbl>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9">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