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Customer Churn Prediction Model Report</w:t>
      </w:r>
    </w:p>
    <w:p>
      <w:pPr>
        <w:jc w:val="center"/>
      </w:pPr>
      <w:r>
        <w:rPr>
          <w:i/>
          <w:sz w:val="22"/>
        </w:rPr>
        <w:t>Lloyds Banking Group Data Science Job Simulation</w:t>
      </w:r>
    </w:p>
    <w:p>
      <w:pPr>
        <w:pStyle w:val="Heading1"/>
      </w:pPr>
      <w:r>
        <w:t>Executive summary</w:t>
      </w:r>
    </w:p>
    <w:p>
      <w:r>
        <w:t>This report summarises the model-building stage of the customer churn project. The aim was to use the cleaned customer dataset from Task 1 to identify customers who may be at risk of leaving, and to explain how the model could support retention decisions.</w:t>
      </w:r>
    </w:p>
    <w:p>
      <w:r>
        <w:t>The best hold-out result came from a Random Forest model with feature selection. It achieved a ROC-AUC of 0.632 and an average precision score of 0.299. At the selected threshold, recall was 0.829, meaning the model captured most churned customers in the test set. Precision was lower, so the model is best used for risk ranking and low-cost retention actions rather than automated decisions.</w:t>
      </w:r>
    </w:p>
    <w:p>
      <w:pPr>
        <w:pStyle w:val="Heading1"/>
      </w:pPr>
      <w:r>
        <w:t>Data and modelling approach</w:t>
      </w:r>
    </w:p>
    <w:p>
      <w:r>
        <w:t>The dataset was built by combining customer demographics, transaction history, customer service interactions, online activity, and churn status. Transaction and service records were aggregated to customer level, so each row represented one customer.</w:t>
      </w:r>
    </w:p>
    <w:p>
      <w:r>
        <w:t>The churn problem was treated as a binary classification task. The data was split into training, validation, and test sets. The validation set was used to choose the decision threshold, while the test set was kept aside for final evaluation.</w:t>
      </w:r>
    </w:p>
    <w:p>
      <w:pPr>
        <w:pStyle w:val="Heading1"/>
      </w:pPr>
      <w:r>
        <w:t>Model comparison</w:t>
      </w:r>
    </w:p>
    <w:p>
      <w:r>
        <w:t>Several models were compared. Logistic Regression was used as a simple baseline. Gradient Boosting and Random Forest were tested because they can capture non-linear patterns. The final model added feature selection before Random Forest to reduce noise and keep the model more focused.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b/>
                <w:sz w:val="18"/>
              </w:rPr>
              <w:t>Model</w:t>
            </w:r>
          </w:p>
        </w:tc>
        <w:tc>
          <w:tcPr>
            <w:tcW w:type="dxa" w:w="1440"/>
            <w:vAlign w:val="center"/>
            <w:shd w:fill="D9EAF7"/>
          </w:tcPr>
          <w:p>
            <w:r/>
            <w:r>
              <w:rPr>
                <w:b/>
                <w:sz w:val="18"/>
              </w:rPr>
              <w:t>CV ROC-AUC</w:t>
            </w:r>
          </w:p>
        </w:tc>
        <w:tc>
          <w:tcPr>
            <w:tcW w:type="dxa" w:w="1440"/>
            <w:vAlign w:val="center"/>
            <w:shd w:fill="D9EAF7"/>
          </w:tcPr>
          <w:p>
            <w:r/>
            <w:r>
              <w:rPr>
                <w:b/>
                <w:sz w:val="18"/>
              </w:rPr>
              <w:t>Test ROC-AUC</w:t>
            </w:r>
          </w:p>
        </w:tc>
        <w:tc>
          <w:tcPr>
            <w:tcW w:type="dxa" w:w="1440"/>
            <w:vAlign w:val="center"/>
            <w:shd w:fill="D9EAF7"/>
          </w:tcPr>
          <w:p>
            <w:r/>
            <w:r>
              <w:rPr>
                <w:b/>
                <w:sz w:val="18"/>
              </w:rPr>
              <w:t>Average Precision</w:t>
            </w:r>
          </w:p>
        </w:tc>
        <w:tc>
          <w:tcPr>
            <w:tcW w:type="dxa" w:w="1440"/>
            <w:vAlign w:val="center"/>
            <w:shd w:fill="D9EAF7"/>
          </w:tcPr>
          <w:p>
            <w:r/>
            <w:r>
              <w:rPr>
                <w:b/>
                <w:sz w:val="18"/>
              </w:rPr>
              <w:t>Precision @ 0.50</w:t>
            </w:r>
          </w:p>
        </w:tc>
        <w:tc>
          <w:tcPr>
            <w:tcW w:type="dxa" w:w="1440"/>
            <w:vAlign w:val="center"/>
            <w:shd w:fill="D9EAF7"/>
          </w:tcPr>
          <w:p>
            <w:r/>
            <w:r>
              <w:rPr>
                <w:b/>
                <w:sz w:val="18"/>
              </w:rPr>
              <w:t>Recall @ 0.50</w:t>
            </w:r>
          </w:p>
        </w:tc>
        <w:tc>
          <w:tcPr>
            <w:tcW w:type="dxa" w:w="1440"/>
            <w:vAlign w:val="center"/>
            <w:shd w:fill="D9EAF7"/>
          </w:tcPr>
          <w:p>
            <w:r/>
            <w:r>
              <w:rPr>
                <w:b/>
                <w:sz w:val="18"/>
              </w:rPr>
              <w:t>F1 @ 0.50</w:t>
            </w:r>
          </w:p>
        </w:tc>
      </w:tr>
      <w:tr>
        <w:tc>
          <w:tcPr>
            <w:tcW w:type="dxa" w:w="1440"/>
            <w:vAlign w:val="center"/>
          </w:tcPr>
          <w:p>
            <w:r/>
            <w:r>
              <w:rPr>
                <w:b w:val="0"/>
                <w:sz w:val="18"/>
              </w:rPr>
              <w:t>Random Forest + Feature Selection</w:t>
            </w:r>
          </w:p>
        </w:tc>
        <w:tc>
          <w:tcPr>
            <w:tcW w:type="dxa" w:w="1440"/>
            <w:vAlign w:val="center"/>
          </w:tcPr>
          <w:p>
            <w:r/>
            <w:r>
              <w:rPr>
                <w:b w:val="0"/>
                <w:sz w:val="18"/>
              </w:rPr>
              <w:t>0.539</w:t>
            </w:r>
          </w:p>
        </w:tc>
        <w:tc>
          <w:tcPr>
            <w:tcW w:type="dxa" w:w="1440"/>
            <w:vAlign w:val="center"/>
          </w:tcPr>
          <w:p>
            <w:r/>
            <w:r>
              <w:rPr>
                <w:b w:val="0"/>
                <w:sz w:val="18"/>
              </w:rPr>
              <w:t>0.632</w:t>
            </w:r>
          </w:p>
        </w:tc>
        <w:tc>
          <w:tcPr>
            <w:tcW w:type="dxa" w:w="1440"/>
            <w:vAlign w:val="center"/>
          </w:tcPr>
          <w:p>
            <w:r/>
            <w:r>
              <w:rPr>
                <w:b w:val="0"/>
                <w:sz w:val="18"/>
              </w:rPr>
              <w:t>0.299</w:t>
            </w:r>
          </w:p>
        </w:tc>
        <w:tc>
          <w:tcPr>
            <w:tcW w:type="dxa" w:w="1440"/>
            <w:vAlign w:val="center"/>
          </w:tcPr>
          <w:p>
            <w:r/>
            <w:r>
              <w:rPr>
                <w:b w:val="0"/>
                <w:sz w:val="18"/>
              </w:rPr>
              <w:t>0.275</w:t>
            </w:r>
          </w:p>
        </w:tc>
        <w:tc>
          <w:tcPr>
            <w:tcW w:type="dxa" w:w="1440"/>
            <w:vAlign w:val="center"/>
          </w:tcPr>
          <w:p>
            <w:r/>
            <w:r>
              <w:rPr>
                <w:b w:val="0"/>
                <w:sz w:val="18"/>
              </w:rPr>
              <w:t>0.341</w:t>
            </w:r>
          </w:p>
        </w:tc>
        <w:tc>
          <w:tcPr>
            <w:tcW w:type="dxa" w:w="1440"/>
            <w:vAlign w:val="center"/>
          </w:tcPr>
          <w:p>
            <w:r/>
            <w:r>
              <w:rPr>
                <w:b w:val="0"/>
                <w:sz w:val="18"/>
              </w:rPr>
              <w:t>0.304</w:t>
            </w:r>
          </w:p>
        </w:tc>
      </w:tr>
      <w:tr>
        <w:tc>
          <w:tcPr>
            <w:tcW w:type="dxa" w:w="1440"/>
            <w:vAlign w:val="center"/>
          </w:tcPr>
          <w:p>
            <w:r/>
            <w:r>
              <w:rPr>
                <w:b w:val="0"/>
                <w:sz w:val="18"/>
              </w:rPr>
              <w:t>Gradient Boosting</w:t>
            </w:r>
          </w:p>
        </w:tc>
        <w:tc>
          <w:tcPr>
            <w:tcW w:type="dxa" w:w="1440"/>
            <w:vAlign w:val="center"/>
          </w:tcPr>
          <w:p>
            <w:r/>
            <w:r>
              <w:rPr>
                <w:b w:val="0"/>
                <w:sz w:val="18"/>
              </w:rPr>
              <w:t>0.564</w:t>
            </w:r>
          </w:p>
        </w:tc>
        <w:tc>
          <w:tcPr>
            <w:tcW w:type="dxa" w:w="1440"/>
            <w:vAlign w:val="center"/>
          </w:tcPr>
          <w:p>
            <w:r/>
            <w:r>
              <w:rPr>
                <w:b w:val="0"/>
                <w:sz w:val="18"/>
              </w:rPr>
              <w:t>0.575</w:t>
            </w:r>
          </w:p>
        </w:tc>
        <w:tc>
          <w:tcPr>
            <w:tcW w:type="dxa" w:w="1440"/>
            <w:vAlign w:val="center"/>
          </w:tcPr>
          <w:p>
            <w:r/>
            <w:r>
              <w:rPr>
                <w:b w:val="0"/>
                <w:sz w:val="18"/>
              </w:rPr>
              <w:t>0.259</w:t>
            </w:r>
          </w:p>
        </w:tc>
        <w:tc>
          <w:tcPr>
            <w:tcW w:type="dxa" w:w="1440"/>
            <w:vAlign w:val="center"/>
          </w:tcPr>
          <w:p>
            <w:r/>
            <w:r>
              <w:rPr>
                <w:b w:val="0"/>
                <w:sz w:val="18"/>
              </w:rPr>
              <w:t>0.500</w:t>
            </w:r>
          </w:p>
        </w:tc>
        <w:tc>
          <w:tcPr>
            <w:tcW w:type="dxa" w:w="1440"/>
            <w:vAlign w:val="center"/>
          </w:tcPr>
          <w:p>
            <w:r/>
            <w:r>
              <w:rPr>
                <w:b w:val="0"/>
                <w:sz w:val="18"/>
              </w:rPr>
              <w:t>0.073</w:t>
            </w:r>
          </w:p>
        </w:tc>
        <w:tc>
          <w:tcPr>
            <w:tcW w:type="dxa" w:w="1440"/>
            <w:vAlign w:val="center"/>
          </w:tcPr>
          <w:p>
            <w:r/>
            <w:r>
              <w:rPr>
                <w:b w:val="0"/>
                <w:sz w:val="18"/>
              </w:rPr>
              <w:t>0.128</w:t>
            </w:r>
          </w:p>
        </w:tc>
      </w:tr>
      <w:tr>
        <w:tc>
          <w:tcPr>
            <w:tcW w:type="dxa" w:w="1440"/>
            <w:vAlign w:val="center"/>
          </w:tcPr>
          <w:p>
            <w:r/>
            <w:r>
              <w:rPr>
                <w:b w:val="0"/>
                <w:sz w:val="18"/>
              </w:rPr>
              <w:t>Random Forest</w:t>
            </w:r>
          </w:p>
        </w:tc>
        <w:tc>
          <w:tcPr>
            <w:tcW w:type="dxa" w:w="1440"/>
            <w:vAlign w:val="center"/>
          </w:tcPr>
          <w:p>
            <w:r/>
            <w:r>
              <w:rPr>
                <w:b w:val="0"/>
                <w:sz w:val="18"/>
              </w:rPr>
              <w:t>0.582</w:t>
            </w:r>
          </w:p>
        </w:tc>
        <w:tc>
          <w:tcPr>
            <w:tcW w:type="dxa" w:w="1440"/>
            <w:vAlign w:val="center"/>
          </w:tcPr>
          <w:p>
            <w:r/>
            <w:r>
              <w:rPr>
                <w:b w:val="0"/>
                <w:sz w:val="18"/>
              </w:rPr>
              <w:t>0.566</w:t>
            </w:r>
          </w:p>
        </w:tc>
        <w:tc>
          <w:tcPr>
            <w:tcW w:type="dxa" w:w="1440"/>
            <w:vAlign w:val="center"/>
          </w:tcPr>
          <w:p>
            <w:r/>
            <w:r>
              <w:rPr>
                <w:b w:val="0"/>
                <w:sz w:val="18"/>
              </w:rPr>
              <w:t>0.242</w:t>
            </w:r>
          </w:p>
        </w:tc>
        <w:tc>
          <w:tcPr>
            <w:tcW w:type="dxa" w:w="1440"/>
            <w:vAlign w:val="center"/>
          </w:tcPr>
          <w:p>
            <w:r/>
            <w:r>
              <w:rPr>
                <w:b w:val="0"/>
                <w:sz w:val="18"/>
              </w:rPr>
              <w:t>0.190</w:t>
            </w:r>
          </w:p>
        </w:tc>
        <w:tc>
          <w:tcPr>
            <w:tcW w:type="dxa" w:w="1440"/>
            <w:vAlign w:val="center"/>
          </w:tcPr>
          <w:p>
            <w:r/>
            <w:r>
              <w:rPr>
                <w:b w:val="0"/>
                <w:sz w:val="18"/>
              </w:rPr>
              <w:t>0.195</w:t>
            </w:r>
          </w:p>
        </w:tc>
        <w:tc>
          <w:tcPr>
            <w:tcW w:type="dxa" w:w="1440"/>
            <w:vAlign w:val="center"/>
          </w:tcPr>
          <w:p>
            <w:r/>
            <w:r>
              <w:rPr>
                <w:b w:val="0"/>
                <w:sz w:val="18"/>
              </w:rPr>
              <w:t>0.193</w:t>
            </w:r>
          </w:p>
        </w:tc>
      </w:tr>
      <w:tr>
        <w:tc>
          <w:tcPr>
            <w:tcW w:type="dxa" w:w="1440"/>
            <w:vAlign w:val="center"/>
          </w:tcPr>
          <w:p>
            <w:r/>
            <w:r>
              <w:rPr>
                <w:b w:val="0"/>
                <w:sz w:val="18"/>
              </w:rPr>
              <w:t>Logistic Regression</w:t>
            </w:r>
          </w:p>
        </w:tc>
        <w:tc>
          <w:tcPr>
            <w:tcW w:type="dxa" w:w="1440"/>
            <w:vAlign w:val="center"/>
          </w:tcPr>
          <w:p>
            <w:r/>
            <w:r>
              <w:rPr>
                <w:b w:val="0"/>
                <w:sz w:val="18"/>
              </w:rPr>
              <w:t>0.562</w:t>
            </w:r>
          </w:p>
        </w:tc>
        <w:tc>
          <w:tcPr>
            <w:tcW w:type="dxa" w:w="1440"/>
            <w:vAlign w:val="center"/>
          </w:tcPr>
          <w:p>
            <w:r/>
            <w:r>
              <w:rPr>
                <w:b w:val="0"/>
                <w:sz w:val="18"/>
              </w:rPr>
              <w:t>0.558</w:t>
            </w:r>
          </w:p>
        </w:tc>
        <w:tc>
          <w:tcPr>
            <w:tcW w:type="dxa" w:w="1440"/>
            <w:vAlign w:val="center"/>
          </w:tcPr>
          <w:p>
            <w:r/>
            <w:r>
              <w:rPr>
                <w:b w:val="0"/>
                <w:sz w:val="18"/>
              </w:rPr>
              <w:t>0.220</w:t>
            </w:r>
          </w:p>
        </w:tc>
        <w:tc>
          <w:tcPr>
            <w:tcW w:type="dxa" w:w="1440"/>
            <w:vAlign w:val="center"/>
          </w:tcPr>
          <w:p>
            <w:r/>
            <w:r>
              <w:rPr>
                <w:b w:val="0"/>
                <w:sz w:val="18"/>
              </w:rPr>
              <w:t>0.202</w:t>
            </w:r>
          </w:p>
        </w:tc>
        <w:tc>
          <w:tcPr>
            <w:tcW w:type="dxa" w:w="1440"/>
            <w:vAlign w:val="center"/>
          </w:tcPr>
          <w:p>
            <w:r/>
            <w:r>
              <w:rPr>
                <w:b w:val="0"/>
                <w:sz w:val="18"/>
              </w:rPr>
              <w:t>0.415</w:t>
            </w:r>
          </w:p>
        </w:tc>
        <w:tc>
          <w:tcPr>
            <w:tcW w:type="dxa" w:w="1440"/>
            <w:vAlign w:val="center"/>
          </w:tcPr>
          <w:p>
            <w:r/>
            <w:r>
              <w:rPr>
                <w:b w:val="0"/>
                <w:sz w:val="18"/>
              </w:rPr>
              <w:t>0.272</w:t>
            </w:r>
          </w:p>
        </w:tc>
      </w:tr>
    </w:tbl>
    <w:p/>
    <w:p>
      <w:pPr>
        <w:jc w:val="center"/>
      </w:pPr>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model_comparison_roc_auc.png"/>
                    <pic:cNvPicPr/>
                  </pic:nvPicPr>
                  <pic:blipFill>
                    <a:blip r:embed="rId9"/>
                    <a:stretch>
                      <a:fillRect/>
                    </a:stretch>
                  </pic:blipFill>
                  <pic:spPr>
                    <a:xfrm>
                      <a:off x="0" y="0"/>
                      <a:ext cx="5394960" cy="3371850"/>
                    </a:xfrm>
                    <a:prstGeom prst="rect"/>
                  </pic:spPr>
                </pic:pic>
              </a:graphicData>
            </a:graphic>
          </wp:inline>
        </w:drawing>
      </w:r>
    </w:p>
    <w:p>
      <w:pPr>
        <w:jc w:val="center"/>
      </w:pPr>
      <w:r>
        <w:rPr>
          <w:i/>
        </w:rPr>
        <w:t>Figure 1. Hold-out ROC-AUC comparison across tested models.</w:t>
      </w:r>
    </w:p>
    <w:p>
      <w:pPr>
        <w:pStyle w:val="Heading1"/>
      </w:pPr>
      <w:r>
        <w:t>Selected model performance</w:t>
      </w:r>
    </w:p>
    <w:p>
      <w:r>
        <w:t>The selected model was evaluated in two ways: first at the default 0.50 threshold, and then at a threshold chosen using the validation set. For churn prediction, recall is important because the bank wants to find customers who may leave before they actually churn. The selected threshold improved recall, but it also increased false positives.</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vAlign w:val="center"/>
            <w:shd w:fill="D9EAF7"/>
          </w:tcPr>
          <w:p>
            <w:r/>
            <w:r>
              <w:rPr>
                <w:b/>
                <w:sz w:val="18"/>
              </w:rPr>
              <w:t>Threshold Type</w:t>
            </w:r>
          </w:p>
        </w:tc>
        <w:tc>
          <w:tcPr>
            <w:tcW w:type="dxa" w:w="916"/>
            <w:vAlign w:val="center"/>
            <w:shd w:fill="D9EAF7"/>
          </w:tcPr>
          <w:p>
            <w:r/>
            <w:r>
              <w:rPr>
                <w:b/>
                <w:sz w:val="18"/>
              </w:rPr>
              <w:t>Threshold</w:t>
            </w:r>
          </w:p>
        </w:tc>
        <w:tc>
          <w:tcPr>
            <w:tcW w:type="dxa" w:w="916"/>
            <w:vAlign w:val="center"/>
            <w:shd w:fill="D9EAF7"/>
          </w:tcPr>
          <w:p>
            <w:r/>
            <w:r>
              <w:rPr>
                <w:b/>
                <w:sz w:val="18"/>
              </w:rPr>
              <w:t>Accuracy</w:t>
            </w:r>
          </w:p>
        </w:tc>
        <w:tc>
          <w:tcPr>
            <w:tcW w:type="dxa" w:w="916"/>
            <w:vAlign w:val="center"/>
            <w:shd w:fill="D9EAF7"/>
          </w:tcPr>
          <w:p>
            <w:r/>
            <w:r>
              <w:rPr>
                <w:b/>
                <w:sz w:val="18"/>
              </w:rPr>
              <w:t>Precision</w:t>
            </w:r>
          </w:p>
        </w:tc>
        <w:tc>
          <w:tcPr>
            <w:tcW w:type="dxa" w:w="916"/>
            <w:vAlign w:val="center"/>
            <w:shd w:fill="D9EAF7"/>
          </w:tcPr>
          <w:p>
            <w:r/>
            <w:r>
              <w:rPr>
                <w:b/>
                <w:sz w:val="18"/>
              </w:rPr>
              <w:t>Recall</w:t>
            </w:r>
          </w:p>
        </w:tc>
        <w:tc>
          <w:tcPr>
            <w:tcW w:type="dxa" w:w="916"/>
            <w:vAlign w:val="center"/>
            <w:shd w:fill="D9EAF7"/>
          </w:tcPr>
          <w:p>
            <w:r/>
            <w:r>
              <w:rPr>
                <w:b/>
                <w:sz w:val="18"/>
              </w:rPr>
              <w:t>F1</w:t>
            </w:r>
          </w:p>
        </w:tc>
        <w:tc>
          <w:tcPr>
            <w:tcW w:type="dxa" w:w="916"/>
            <w:vAlign w:val="center"/>
            <w:shd w:fill="D9EAF7"/>
          </w:tcPr>
          <w:p>
            <w:r/>
            <w:r>
              <w:rPr>
                <w:b/>
                <w:sz w:val="18"/>
              </w:rPr>
              <w:t>ROC-AUC</w:t>
            </w:r>
          </w:p>
        </w:tc>
        <w:tc>
          <w:tcPr>
            <w:tcW w:type="dxa" w:w="916"/>
            <w:vAlign w:val="center"/>
            <w:shd w:fill="D9EAF7"/>
          </w:tcPr>
          <w:p>
            <w:r/>
            <w:r>
              <w:rPr>
                <w:b/>
                <w:sz w:val="18"/>
              </w:rPr>
              <w:t>Average Precision</w:t>
            </w:r>
          </w:p>
        </w:tc>
        <w:tc>
          <w:tcPr>
            <w:tcW w:type="dxa" w:w="916"/>
            <w:vAlign w:val="center"/>
            <w:shd w:fill="D9EAF7"/>
          </w:tcPr>
          <w:p>
            <w:r/>
            <w:r>
              <w:rPr>
                <w:b/>
                <w:sz w:val="18"/>
              </w:rPr>
              <w:t>False Positives</w:t>
            </w:r>
          </w:p>
        </w:tc>
        <w:tc>
          <w:tcPr>
            <w:tcW w:type="dxa" w:w="916"/>
            <w:vAlign w:val="center"/>
            <w:shd w:fill="D9EAF7"/>
          </w:tcPr>
          <w:p>
            <w:r/>
            <w:r>
              <w:rPr>
                <w:b/>
                <w:sz w:val="18"/>
              </w:rPr>
              <w:t>False Negatives</w:t>
            </w:r>
          </w:p>
        </w:tc>
        <w:tc>
          <w:tcPr>
            <w:tcW w:type="dxa" w:w="916"/>
            <w:vAlign w:val="center"/>
            <w:shd w:fill="D9EAF7"/>
          </w:tcPr>
          <w:p>
            <w:r/>
            <w:r>
              <w:rPr>
                <w:b/>
                <w:sz w:val="18"/>
              </w:rPr>
              <w:t>True Positives</w:t>
            </w:r>
          </w:p>
        </w:tc>
      </w:tr>
      <w:tr>
        <w:tc>
          <w:tcPr>
            <w:tcW w:type="dxa" w:w="916"/>
            <w:vAlign w:val="center"/>
          </w:tcPr>
          <w:p>
            <w:r/>
            <w:r>
              <w:rPr>
                <w:b w:val="0"/>
                <w:sz w:val="18"/>
              </w:rPr>
              <w:t>default</w:t>
            </w:r>
          </w:p>
        </w:tc>
        <w:tc>
          <w:tcPr>
            <w:tcW w:type="dxa" w:w="916"/>
            <w:vAlign w:val="center"/>
          </w:tcPr>
          <w:p>
            <w:r/>
            <w:r>
              <w:rPr>
                <w:b w:val="0"/>
                <w:sz w:val="18"/>
              </w:rPr>
              <w:t>0.500</w:t>
            </w:r>
          </w:p>
        </w:tc>
        <w:tc>
          <w:tcPr>
            <w:tcW w:type="dxa" w:w="916"/>
            <w:vAlign w:val="center"/>
          </w:tcPr>
          <w:p>
            <w:r/>
            <w:r>
              <w:rPr>
                <w:b w:val="0"/>
                <w:sz w:val="18"/>
              </w:rPr>
              <w:t>0.680</w:t>
            </w:r>
          </w:p>
        </w:tc>
        <w:tc>
          <w:tcPr>
            <w:tcW w:type="dxa" w:w="916"/>
            <w:vAlign w:val="center"/>
          </w:tcPr>
          <w:p>
            <w:r/>
            <w:r>
              <w:rPr>
                <w:b w:val="0"/>
                <w:sz w:val="18"/>
              </w:rPr>
              <w:t>0.275</w:t>
            </w:r>
          </w:p>
        </w:tc>
        <w:tc>
          <w:tcPr>
            <w:tcW w:type="dxa" w:w="916"/>
            <w:vAlign w:val="center"/>
          </w:tcPr>
          <w:p>
            <w:r/>
            <w:r>
              <w:rPr>
                <w:b w:val="0"/>
                <w:sz w:val="18"/>
              </w:rPr>
              <w:t>0.341</w:t>
            </w:r>
          </w:p>
        </w:tc>
        <w:tc>
          <w:tcPr>
            <w:tcW w:type="dxa" w:w="916"/>
            <w:vAlign w:val="center"/>
          </w:tcPr>
          <w:p>
            <w:r/>
            <w:r>
              <w:rPr>
                <w:b w:val="0"/>
                <w:sz w:val="18"/>
              </w:rPr>
              <w:t>0.304</w:t>
            </w:r>
          </w:p>
        </w:tc>
        <w:tc>
          <w:tcPr>
            <w:tcW w:type="dxa" w:w="916"/>
            <w:vAlign w:val="center"/>
          </w:tcPr>
          <w:p>
            <w:r/>
            <w:r>
              <w:rPr>
                <w:b w:val="0"/>
                <w:sz w:val="18"/>
              </w:rPr>
              <w:t>0.632</w:t>
            </w:r>
          </w:p>
        </w:tc>
        <w:tc>
          <w:tcPr>
            <w:tcW w:type="dxa" w:w="916"/>
            <w:vAlign w:val="center"/>
          </w:tcPr>
          <w:p>
            <w:r/>
            <w:r>
              <w:rPr>
                <w:b w:val="0"/>
                <w:sz w:val="18"/>
              </w:rPr>
              <w:t>0.299</w:t>
            </w:r>
          </w:p>
        </w:tc>
        <w:tc>
          <w:tcPr>
            <w:tcW w:type="dxa" w:w="916"/>
            <w:vAlign w:val="center"/>
          </w:tcPr>
          <w:p>
            <w:r/>
            <w:r>
              <w:rPr>
                <w:b w:val="0"/>
                <w:sz w:val="18"/>
              </w:rPr>
              <w:t>37</w:t>
            </w:r>
          </w:p>
        </w:tc>
        <w:tc>
          <w:tcPr>
            <w:tcW w:type="dxa" w:w="916"/>
            <w:vAlign w:val="center"/>
          </w:tcPr>
          <w:p>
            <w:r/>
            <w:r>
              <w:rPr>
                <w:b w:val="0"/>
                <w:sz w:val="18"/>
              </w:rPr>
              <w:t>27</w:t>
            </w:r>
          </w:p>
        </w:tc>
        <w:tc>
          <w:tcPr>
            <w:tcW w:type="dxa" w:w="916"/>
            <w:vAlign w:val="center"/>
          </w:tcPr>
          <w:p>
            <w:r/>
            <w:r>
              <w:rPr>
                <w:b w:val="0"/>
                <w:sz w:val="18"/>
              </w:rPr>
              <w:t>14</w:t>
            </w:r>
          </w:p>
        </w:tc>
      </w:tr>
      <w:tr>
        <w:tc>
          <w:tcPr>
            <w:tcW w:type="dxa" w:w="916"/>
            <w:vAlign w:val="center"/>
          </w:tcPr>
          <w:p>
            <w:r/>
            <w:r>
              <w:rPr>
                <w:b w:val="0"/>
                <w:sz w:val="18"/>
              </w:rPr>
              <w:t>validation_selected</w:t>
            </w:r>
          </w:p>
        </w:tc>
        <w:tc>
          <w:tcPr>
            <w:tcW w:type="dxa" w:w="916"/>
            <w:vAlign w:val="center"/>
          </w:tcPr>
          <w:p>
            <w:r/>
            <w:r>
              <w:rPr>
                <w:b w:val="0"/>
                <w:sz w:val="18"/>
              </w:rPr>
              <w:t>0.391</w:t>
            </w:r>
          </w:p>
        </w:tc>
        <w:tc>
          <w:tcPr>
            <w:tcW w:type="dxa" w:w="916"/>
            <w:vAlign w:val="center"/>
          </w:tcPr>
          <w:p>
            <w:r/>
            <w:r>
              <w:rPr>
                <w:b w:val="0"/>
                <w:sz w:val="18"/>
              </w:rPr>
              <w:t>0.520</w:t>
            </w:r>
          </w:p>
        </w:tc>
        <w:tc>
          <w:tcPr>
            <w:tcW w:type="dxa" w:w="916"/>
            <w:vAlign w:val="center"/>
          </w:tcPr>
          <w:p>
            <w:r/>
            <w:r>
              <w:rPr>
                <w:b w:val="0"/>
                <w:sz w:val="18"/>
              </w:rPr>
              <w:t>0.276</w:t>
            </w:r>
          </w:p>
        </w:tc>
        <w:tc>
          <w:tcPr>
            <w:tcW w:type="dxa" w:w="916"/>
            <w:vAlign w:val="center"/>
          </w:tcPr>
          <w:p>
            <w:r/>
            <w:r>
              <w:rPr>
                <w:b w:val="0"/>
                <w:sz w:val="18"/>
              </w:rPr>
              <w:t>0.829</w:t>
            </w:r>
          </w:p>
        </w:tc>
        <w:tc>
          <w:tcPr>
            <w:tcW w:type="dxa" w:w="916"/>
            <w:vAlign w:val="center"/>
          </w:tcPr>
          <w:p>
            <w:r/>
            <w:r>
              <w:rPr>
                <w:b w:val="0"/>
                <w:sz w:val="18"/>
              </w:rPr>
              <w:t>0.415</w:t>
            </w:r>
          </w:p>
        </w:tc>
        <w:tc>
          <w:tcPr>
            <w:tcW w:type="dxa" w:w="916"/>
            <w:vAlign w:val="center"/>
          </w:tcPr>
          <w:p>
            <w:r/>
            <w:r>
              <w:rPr>
                <w:b w:val="0"/>
                <w:sz w:val="18"/>
              </w:rPr>
              <w:t>0.632</w:t>
            </w:r>
          </w:p>
        </w:tc>
        <w:tc>
          <w:tcPr>
            <w:tcW w:type="dxa" w:w="916"/>
            <w:vAlign w:val="center"/>
          </w:tcPr>
          <w:p>
            <w:r/>
            <w:r>
              <w:rPr>
                <w:b w:val="0"/>
                <w:sz w:val="18"/>
              </w:rPr>
              <w:t>0.299</w:t>
            </w:r>
          </w:p>
        </w:tc>
        <w:tc>
          <w:tcPr>
            <w:tcW w:type="dxa" w:w="916"/>
            <w:vAlign w:val="center"/>
          </w:tcPr>
          <w:p>
            <w:r/>
            <w:r>
              <w:rPr>
                <w:b w:val="0"/>
                <w:sz w:val="18"/>
              </w:rPr>
              <w:t>89</w:t>
            </w:r>
          </w:p>
        </w:tc>
        <w:tc>
          <w:tcPr>
            <w:tcW w:type="dxa" w:w="916"/>
            <w:vAlign w:val="center"/>
          </w:tcPr>
          <w:p>
            <w:r/>
            <w:r>
              <w:rPr>
                <w:b w:val="0"/>
                <w:sz w:val="18"/>
              </w:rPr>
              <w:t>7</w:t>
            </w:r>
          </w:p>
        </w:tc>
        <w:tc>
          <w:tcPr>
            <w:tcW w:type="dxa" w:w="916"/>
            <w:vAlign w:val="center"/>
          </w:tcPr>
          <w:p>
            <w:r/>
            <w:r>
              <w:rPr>
                <w:b w:val="0"/>
                <w:sz w:val="18"/>
              </w:rPr>
              <w:t>34</w:t>
            </w:r>
          </w:p>
        </w:tc>
      </w:tr>
    </w:tbl>
    <w:p/>
    <w:p>
      <w:pPr>
        <w:jc w:val="center"/>
      </w:pPr>
      <w:r>
        <w:drawing>
          <wp:inline xmlns:a="http://schemas.openxmlformats.org/drawingml/2006/main" xmlns:pic="http://schemas.openxmlformats.org/drawingml/2006/picture">
            <wp:extent cx="4572000" cy="3810000"/>
            <wp:docPr id="2" name="Picture 2"/>
            <wp:cNvGraphicFramePr>
              <a:graphicFrameLocks noChangeAspect="1"/>
            </wp:cNvGraphicFramePr>
            <a:graphic>
              <a:graphicData uri="http://schemas.openxmlformats.org/drawingml/2006/picture">
                <pic:pic>
                  <pic:nvPicPr>
                    <pic:cNvPr id="0" name="roc_curve_selected_model.png"/>
                    <pic:cNvPicPr/>
                  </pic:nvPicPr>
                  <pic:blipFill>
                    <a:blip r:embed="rId10"/>
                    <a:stretch>
                      <a:fillRect/>
                    </a:stretch>
                  </pic:blipFill>
                  <pic:spPr>
                    <a:xfrm>
                      <a:off x="0" y="0"/>
                      <a:ext cx="4572000" cy="3810000"/>
                    </a:xfrm>
                    <a:prstGeom prst="rect"/>
                  </pic:spPr>
                </pic:pic>
              </a:graphicData>
            </a:graphic>
          </wp:inline>
        </w:drawing>
      </w:r>
    </w:p>
    <w:p>
      <w:pPr>
        <w:jc w:val="center"/>
      </w:pPr>
      <w:r>
        <w:rPr>
          <w:i/>
        </w:rPr>
        <w:t>Figure 2. ROC curve for the selected model.</w:t>
      </w:r>
    </w:p>
    <w:p>
      <w:pPr>
        <w:jc w:val="center"/>
      </w:pPr>
      <w:r>
        <w:drawing>
          <wp:inline xmlns:a="http://schemas.openxmlformats.org/drawingml/2006/main" xmlns:pic="http://schemas.openxmlformats.org/drawingml/2006/picture">
            <wp:extent cx="4572000" cy="3810000"/>
            <wp:docPr id="3" name="Picture 3"/>
            <wp:cNvGraphicFramePr>
              <a:graphicFrameLocks noChangeAspect="1"/>
            </wp:cNvGraphicFramePr>
            <a:graphic>
              <a:graphicData uri="http://schemas.openxmlformats.org/drawingml/2006/picture">
                <pic:pic>
                  <pic:nvPicPr>
                    <pic:cNvPr id="0" name="precision_recall_curve_selected_model.png"/>
                    <pic:cNvPicPr/>
                  </pic:nvPicPr>
                  <pic:blipFill>
                    <a:blip r:embed="rId11"/>
                    <a:stretch>
                      <a:fillRect/>
                    </a:stretch>
                  </pic:blipFill>
                  <pic:spPr>
                    <a:xfrm>
                      <a:off x="0" y="0"/>
                      <a:ext cx="4572000" cy="3810000"/>
                    </a:xfrm>
                    <a:prstGeom prst="rect"/>
                  </pic:spPr>
                </pic:pic>
              </a:graphicData>
            </a:graphic>
          </wp:inline>
        </w:drawing>
      </w:r>
    </w:p>
    <w:p>
      <w:pPr>
        <w:jc w:val="center"/>
      </w:pPr>
      <w:r>
        <w:rPr>
          <w:i/>
        </w:rPr>
        <w:t>Figure 3. Precision-recall curve for the selected model.</w:t>
      </w:r>
    </w:p>
    <w:p>
      <w:pPr>
        <w:jc w:val="center"/>
      </w:pPr>
      <w:r>
        <w:drawing>
          <wp:inline xmlns:a="http://schemas.openxmlformats.org/drawingml/2006/main" xmlns:pic="http://schemas.openxmlformats.org/drawingml/2006/picture">
            <wp:extent cx="4297680" cy="3223260"/>
            <wp:docPr id="4" name="Picture 4"/>
            <wp:cNvGraphicFramePr>
              <a:graphicFrameLocks noChangeAspect="1"/>
            </wp:cNvGraphicFramePr>
            <a:graphic>
              <a:graphicData uri="http://schemas.openxmlformats.org/drawingml/2006/picture">
                <pic:pic>
                  <pic:nvPicPr>
                    <pic:cNvPr id="0" name="confusion_matrix_selected_model.png"/>
                    <pic:cNvPicPr/>
                  </pic:nvPicPr>
                  <pic:blipFill>
                    <a:blip r:embed="rId12"/>
                    <a:stretch>
                      <a:fillRect/>
                    </a:stretch>
                  </pic:blipFill>
                  <pic:spPr>
                    <a:xfrm>
                      <a:off x="0" y="0"/>
                      <a:ext cx="4297680" cy="3223260"/>
                    </a:xfrm>
                    <a:prstGeom prst="rect"/>
                  </pic:spPr>
                </pic:pic>
              </a:graphicData>
            </a:graphic>
          </wp:inline>
        </w:drawing>
      </w:r>
    </w:p>
    <w:p>
      <w:pPr>
        <w:jc w:val="center"/>
      </w:pPr>
      <w:r>
        <w:rPr>
          <w:i/>
        </w:rPr>
        <w:t>Figure 4. Confusion matrix using the validation-selected threshold.</w:t>
      </w:r>
    </w:p>
    <w:p>
      <w:pPr>
        <w:pStyle w:val="Heading1"/>
      </w:pPr>
      <w:r>
        <w:t>Feature importance</w:t>
      </w:r>
    </w:p>
    <w:p>
      <w:r>
        <w:t>The most important model features were mainly linked to behaviour rather than demographics. This is useful because behavioural signals can often guide practical retention actions, such as contacting customers with reduced activity or unresolved service issues.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Feature</w:t>
            </w:r>
          </w:p>
        </w:tc>
        <w:tc>
          <w:tcPr>
            <w:tcW w:type="dxa" w:w="5040"/>
            <w:vAlign w:val="center"/>
            <w:shd w:fill="D9EAF7"/>
          </w:tcPr>
          <w:p>
            <w:r/>
            <w:r>
              <w:rPr>
                <w:b/>
                <w:sz w:val="18"/>
              </w:rPr>
              <w:t>Importance</w:t>
            </w:r>
          </w:p>
        </w:tc>
      </w:tr>
      <w:tr>
        <w:tc>
          <w:tcPr>
            <w:tcW w:type="dxa" w:w="5040"/>
            <w:vAlign w:val="center"/>
          </w:tcPr>
          <w:p>
            <w:r/>
            <w:r>
              <w:rPr>
                <w:b w:val="0"/>
                <w:sz w:val="18"/>
              </w:rPr>
              <w:t>service_history_days</w:t>
            </w:r>
          </w:p>
        </w:tc>
        <w:tc>
          <w:tcPr>
            <w:tcW w:type="dxa" w:w="5040"/>
            <w:vAlign w:val="center"/>
          </w:tcPr>
          <w:p>
            <w:r/>
            <w:r>
              <w:rPr>
                <w:b w:val="0"/>
                <w:sz w:val="18"/>
              </w:rPr>
              <w:t>0.144</w:t>
            </w:r>
          </w:p>
        </w:tc>
      </w:tr>
      <w:tr>
        <w:tc>
          <w:tcPr>
            <w:tcW w:type="dxa" w:w="5040"/>
            <w:vAlign w:val="center"/>
          </w:tcPr>
          <w:p>
            <w:r/>
            <w:r>
              <w:rPr>
                <w:b w:val="0"/>
                <w:sz w:val="18"/>
              </w:rPr>
              <w:t>avg_spend_per_login</w:t>
            </w:r>
          </w:p>
        </w:tc>
        <w:tc>
          <w:tcPr>
            <w:tcW w:type="dxa" w:w="5040"/>
            <w:vAlign w:val="center"/>
          </w:tcPr>
          <w:p>
            <w:r/>
            <w:r>
              <w:rPr>
                <w:b w:val="0"/>
                <w:sz w:val="18"/>
              </w:rPr>
              <w:t>0.117</w:t>
            </w:r>
          </w:p>
        </w:tc>
      </w:tr>
      <w:tr>
        <w:tc>
          <w:tcPr>
            <w:tcW w:type="dxa" w:w="5040"/>
            <w:vAlign w:val="center"/>
          </w:tcPr>
          <w:p>
            <w:r/>
            <w:r>
              <w:rPr>
                <w:b w:val="0"/>
                <w:sz w:val="18"/>
              </w:rPr>
              <w:t>days_since_last_service_interaction</w:t>
            </w:r>
          </w:p>
        </w:tc>
        <w:tc>
          <w:tcPr>
            <w:tcW w:type="dxa" w:w="5040"/>
            <w:vAlign w:val="center"/>
          </w:tcPr>
          <w:p>
            <w:r/>
            <w:r>
              <w:rPr>
                <w:b w:val="0"/>
                <w:sz w:val="18"/>
              </w:rPr>
              <w:t>0.106</w:t>
            </w:r>
          </w:p>
        </w:tc>
      </w:tr>
      <w:tr>
        <w:tc>
          <w:tcPr>
            <w:tcW w:type="dxa" w:w="5040"/>
            <w:vAlign w:val="center"/>
          </w:tcPr>
          <w:p>
            <w:r/>
            <w:r>
              <w:rPr>
                <w:b w:val="0"/>
                <w:sz w:val="18"/>
              </w:rPr>
              <w:t>LoginFrequency</w:t>
            </w:r>
          </w:p>
        </w:tc>
        <w:tc>
          <w:tcPr>
            <w:tcW w:type="dxa" w:w="5040"/>
            <w:vAlign w:val="center"/>
          </w:tcPr>
          <w:p>
            <w:r/>
            <w:r>
              <w:rPr>
                <w:b w:val="0"/>
                <w:sz w:val="18"/>
              </w:rPr>
              <w:t>0.097</w:t>
            </w:r>
          </w:p>
        </w:tc>
      </w:tr>
      <w:tr>
        <w:tc>
          <w:tcPr>
            <w:tcW w:type="dxa" w:w="5040"/>
            <w:vAlign w:val="center"/>
          </w:tcPr>
          <w:p>
            <w:r/>
            <w:r>
              <w:rPr>
                <w:b w:val="0"/>
                <w:sz w:val="18"/>
              </w:rPr>
              <w:t>avg_spent</w:t>
            </w:r>
          </w:p>
        </w:tc>
        <w:tc>
          <w:tcPr>
            <w:tcW w:type="dxa" w:w="5040"/>
            <w:vAlign w:val="center"/>
          </w:tcPr>
          <w:p>
            <w:r/>
            <w:r>
              <w:rPr>
                <w:b w:val="0"/>
                <w:sz w:val="18"/>
              </w:rPr>
              <w:t>0.096</w:t>
            </w:r>
          </w:p>
        </w:tc>
      </w:tr>
      <w:tr>
        <w:tc>
          <w:tcPr>
            <w:tcW w:type="dxa" w:w="5040"/>
            <w:vAlign w:val="center"/>
          </w:tcPr>
          <w:p>
            <w:r/>
            <w:r>
              <w:rPr>
                <w:b w:val="0"/>
                <w:sz w:val="18"/>
              </w:rPr>
              <w:t>transactions_per_active_day</w:t>
            </w:r>
          </w:p>
        </w:tc>
        <w:tc>
          <w:tcPr>
            <w:tcW w:type="dxa" w:w="5040"/>
            <w:vAlign w:val="center"/>
          </w:tcPr>
          <w:p>
            <w:r/>
            <w:r>
              <w:rPr>
                <w:b w:val="0"/>
                <w:sz w:val="18"/>
              </w:rPr>
              <w:t>0.070</w:t>
            </w:r>
          </w:p>
        </w:tc>
      </w:tr>
      <w:tr>
        <w:tc>
          <w:tcPr>
            <w:tcW w:type="dxa" w:w="5040"/>
            <w:vAlign w:val="center"/>
          </w:tcPr>
          <w:p>
            <w:r/>
            <w:r>
              <w:rPr>
                <w:b w:val="0"/>
                <w:sz w:val="18"/>
              </w:rPr>
              <w:t>max_spent</w:t>
            </w:r>
          </w:p>
        </w:tc>
        <w:tc>
          <w:tcPr>
            <w:tcW w:type="dxa" w:w="5040"/>
            <w:vAlign w:val="center"/>
          </w:tcPr>
          <w:p>
            <w:r/>
            <w:r>
              <w:rPr>
                <w:b w:val="0"/>
                <w:sz w:val="18"/>
              </w:rPr>
              <w:t>0.068</w:t>
            </w:r>
          </w:p>
        </w:tc>
      </w:tr>
      <w:tr>
        <w:tc>
          <w:tcPr>
            <w:tcW w:type="dxa" w:w="5040"/>
            <w:vAlign w:val="center"/>
          </w:tcPr>
          <w:p>
            <w:r/>
            <w:r>
              <w:rPr>
                <w:b w:val="0"/>
                <w:sz w:val="18"/>
              </w:rPr>
              <w:t>spend_std</w:t>
            </w:r>
          </w:p>
        </w:tc>
        <w:tc>
          <w:tcPr>
            <w:tcW w:type="dxa" w:w="5040"/>
            <w:vAlign w:val="center"/>
          </w:tcPr>
          <w:p>
            <w:r/>
            <w:r>
              <w:rPr>
                <w:b w:val="0"/>
                <w:sz w:val="18"/>
              </w:rPr>
              <w:t>0.066</w:t>
            </w:r>
          </w:p>
        </w:tc>
      </w:tr>
      <w:tr>
        <w:tc>
          <w:tcPr>
            <w:tcW w:type="dxa" w:w="5040"/>
            <w:vAlign w:val="center"/>
          </w:tcPr>
          <w:p>
            <w:r/>
            <w:r>
              <w:rPr>
                <w:b w:val="0"/>
                <w:sz w:val="18"/>
              </w:rPr>
              <w:t>tx_category_count_Electronics</w:t>
            </w:r>
          </w:p>
        </w:tc>
        <w:tc>
          <w:tcPr>
            <w:tcW w:type="dxa" w:w="5040"/>
            <w:vAlign w:val="center"/>
          </w:tcPr>
          <w:p>
            <w:r/>
            <w:r>
              <w:rPr>
                <w:b w:val="0"/>
                <w:sz w:val="18"/>
              </w:rPr>
              <w:t>0.036</w:t>
            </w:r>
          </w:p>
        </w:tc>
      </w:tr>
      <w:tr>
        <w:tc>
          <w:tcPr>
            <w:tcW w:type="dxa" w:w="5040"/>
            <w:vAlign w:val="center"/>
          </w:tcPr>
          <w:p>
            <w:r/>
            <w:r>
              <w:rPr>
                <w:b w:val="0"/>
                <w:sz w:val="18"/>
              </w:rPr>
              <w:t>tx_category_count_Books</w:t>
            </w:r>
          </w:p>
        </w:tc>
        <w:tc>
          <w:tcPr>
            <w:tcW w:type="dxa" w:w="5040"/>
            <w:vAlign w:val="center"/>
          </w:tcPr>
          <w:p>
            <w:r/>
            <w:r>
              <w:rPr>
                <w:b w:val="0"/>
                <w:sz w:val="18"/>
              </w:rPr>
              <w:t>0.035</w:t>
            </w:r>
          </w:p>
        </w:tc>
      </w:tr>
    </w:tbl>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feature_importance_selected_model.png"/>
                    <pic:cNvPicPr/>
                  </pic:nvPicPr>
                  <pic:blipFill>
                    <a:blip r:embed="rId13"/>
                    <a:stretch>
                      <a:fillRect/>
                    </a:stretch>
                  </pic:blipFill>
                  <pic:spPr>
                    <a:xfrm>
                      <a:off x="0" y="0"/>
                      <a:ext cx="5303520" cy="3977640"/>
                    </a:xfrm>
                    <a:prstGeom prst="rect"/>
                  </pic:spPr>
                </pic:pic>
              </a:graphicData>
            </a:graphic>
          </wp:inline>
        </w:drawing>
      </w:r>
    </w:p>
    <w:p>
      <w:pPr>
        <w:jc w:val="center"/>
      </w:pPr>
      <w:r>
        <w:rPr>
          <w:i/>
        </w:rPr>
        <w:t>Figure 5. Top feature importance values from the selected model.</w:t>
      </w:r>
    </w:p>
    <w:p>
      <w:pPr>
        <w:pStyle w:val="Heading1"/>
      </w:pPr>
      <w:r>
        <w:t>Business use</w:t>
      </w:r>
    </w:p>
    <w:p>
      <w:r>
        <w:t>The model output should be treated as a risk score. A practical approach would be to score customers each month and group them into risk tiers. The highest-risk groups can then be reviewed by the retention team. Possible actions include personalised support, checking unresolved service issues, or offering guidance on relevant digital services.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Risk Tier</w:t>
            </w:r>
          </w:p>
        </w:tc>
        <w:tc>
          <w:tcPr>
            <w:tcW w:type="dxa" w:w="2016"/>
            <w:vAlign w:val="center"/>
            <w:shd w:fill="D9EAF7"/>
          </w:tcPr>
          <w:p>
            <w:r/>
            <w:r>
              <w:rPr>
                <w:b/>
                <w:sz w:val="18"/>
              </w:rPr>
              <w:t>Customers</w:t>
            </w:r>
          </w:p>
        </w:tc>
        <w:tc>
          <w:tcPr>
            <w:tcW w:type="dxa" w:w="2016"/>
            <w:vAlign w:val="center"/>
            <w:shd w:fill="D9EAF7"/>
          </w:tcPr>
          <w:p>
            <w:r/>
            <w:r>
              <w:rPr>
                <w:b/>
                <w:sz w:val="18"/>
              </w:rPr>
              <w:t>Churned Customers</w:t>
            </w:r>
          </w:p>
        </w:tc>
        <w:tc>
          <w:tcPr>
            <w:tcW w:type="dxa" w:w="2016"/>
            <w:vAlign w:val="center"/>
            <w:shd w:fill="D9EAF7"/>
          </w:tcPr>
          <w:p>
            <w:r/>
            <w:r>
              <w:rPr>
                <w:b/>
                <w:sz w:val="18"/>
              </w:rPr>
              <w:t>Observed Churn Rate</w:t>
            </w:r>
          </w:p>
        </w:tc>
        <w:tc>
          <w:tcPr>
            <w:tcW w:type="dxa" w:w="2016"/>
            <w:vAlign w:val="center"/>
            <w:shd w:fill="D9EAF7"/>
          </w:tcPr>
          <w:p>
            <w:r/>
            <w:r>
              <w:rPr>
                <w:b/>
                <w:sz w:val="18"/>
              </w:rPr>
              <w:t>Average Predicted Probability</w:t>
            </w:r>
          </w:p>
        </w:tc>
      </w:tr>
      <w:tr>
        <w:tc>
          <w:tcPr>
            <w:tcW w:type="dxa" w:w="2016"/>
            <w:vAlign w:val="center"/>
          </w:tcPr>
          <w:p>
            <w:r/>
            <w:r>
              <w:rPr>
                <w:b w:val="0"/>
                <w:sz w:val="18"/>
              </w:rPr>
              <w:t>Highest risk</w:t>
            </w:r>
          </w:p>
        </w:tc>
        <w:tc>
          <w:tcPr>
            <w:tcW w:type="dxa" w:w="2016"/>
            <w:vAlign w:val="center"/>
          </w:tcPr>
          <w:p>
            <w:r/>
            <w:r>
              <w:rPr>
                <w:b w:val="0"/>
                <w:sz w:val="18"/>
              </w:rPr>
              <w:t>50</w:t>
            </w:r>
          </w:p>
        </w:tc>
        <w:tc>
          <w:tcPr>
            <w:tcW w:type="dxa" w:w="2016"/>
            <w:vAlign w:val="center"/>
          </w:tcPr>
          <w:p>
            <w:r/>
            <w:r>
              <w:rPr>
                <w:b w:val="0"/>
                <w:sz w:val="18"/>
              </w:rPr>
              <w:t>13</w:t>
            </w:r>
          </w:p>
        </w:tc>
        <w:tc>
          <w:tcPr>
            <w:tcW w:type="dxa" w:w="2016"/>
            <w:vAlign w:val="center"/>
          </w:tcPr>
          <w:p>
            <w:r/>
            <w:r>
              <w:rPr>
                <w:b w:val="0"/>
                <w:sz w:val="18"/>
              </w:rPr>
              <w:t>0.260</w:t>
            </w:r>
          </w:p>
        </w:tc>
        <w:tc>
          <w:tcPr>
            <w:tcW w:type="dxa" w:w="2016"/>
            <w:vAlign w:val="center"/>
          </w:tcPr>
          <w:p>
            <w:r/>
            <w:r>
              <w:rPr>
                <w:b w:val="0"/>
                <w:sz w:val="18"/>
              </w:rPr>
              <w:t>0.574</w:t>
            </w:r>
          </w:p>
        </w:tc>
      </w:tr>
      <w:tr>
        <w:tc>
          <w:tcPr>
            <w:tcW w:type="dxa" w:w="2016"/>
            <w:vAlign w:val="center"/>
          </w:tcPr>
          <w:p>
            <w:r/>
            <w:r>
              <w:rPr>
                <w:b w:val="0"/>
                <w:sz w:val="18"/>
              </w:rPr>
              <w:t>High risk</w:t>
            </w:r>
          </w:p>
        </w:tc>
        <w:tc>
          <w:tcPr>
            <w:tcW w:type="dxa" w:w="2016"/>
            <w:vAlign w:val="center"/>
          </w:tcPr>
          <w:p>
            <w:r/>
            <w:r>
              <w:rPr>
                <w:b w:val="0"/>
                <w:sz w:val="18"/>
              </w:rPr>
              <w:t>50</w:t>
            </w:r>
          </w:p>
        </w:tc>
        <w:tc>
          <w:tcPr>
            <w:tcW w:type="dxa" w:w="2016"/>
            <w:vAlign w:val="center"/>
          </w:tcPr>
          <w:p>
            <w:r/>
            <w:r>
              <w:rPr>
                <w:b w:val="0"/>
                <w:sz w:val="18"/>
              </w:rPr>
              <w:t>14</w:t>
            </w:r>
          </w:p>
        </w:tc>
        <w:tc>
          <w:tcPr>
            <w:tcW w:type="dxa" w:w="2016"/>
            <w:vAlign w:val="center"/>
          </w:tcPr>
          <w:p>
            <w:r/>
            <w:r>
              <w:rPr>
                <w:b w:val="0"/>
                <w:sz w:val="18"/>
              </w:rPr>
              <w:t>0.280</w:t>
            </w:r>
          </w:p>
        </w:tc>
        <w:tc>
          <w:tcPr>
            <w:tcW w:type="dxa" w:w="2016"/>
            <w:vAlign w:val="center"/>
          </w:tcPr>
          <w:p>
            <w:r/>
            <w:r>
              <w:rPr>
                <w:b w:val="0"/>
                <w:sz w:val="18"/>
              </w:rPr>
              <w:t>0.465</w:t>
            </w:r>
          </w:p>
        </w:tc>
      </w:tr>
      <w:tr>
        <w:tc>
          <w:tcPr>
            <w:tcW w:type="dxa" w:w="2016"/>
            <w:vAlign w:val="center"/>
          </w:tcPr>
          <w:p>
            <w:r/>
            <w:r>
              <w:rPr>
                <w:b w:val="0"/>
                <w:sz w:val="18"/>
              </w:rPr>
              <w:t>Medium risk</w:t>
            </w:r>
          </w:p>
        </w:tc>
        <w:tc>
          <w:tcPr>
            <w:tcW w:type="dxa" w:w="2016"/>
            <w:vAlign w:val="center"/>
          </w:tcPr>
          <w:p>
            <w:r/>
            <w:r>
              <w:rPr>
                <w:b w:val="0"/>
                <w:sz w:val="18"/>
              </w:rPr>
              <w:t>50</w:t>
            </w:r>
          </w:p>
        </w:tc>
        <w:tc>
          <w:tcPr>
            <w:tcW w:type="dxa" w:w="2016"/>
            <w:vAlign w:val="center"/>
          </w:tcPr>
          <w:p>
            <w:r/>
            <w:r>
              <w:rPr>
                <w:b w:val="0"/>
                <w:sz w:val="18"/>
              </w:rPr>
              <w:t>10</w:t>
            </w:r>
          </w:p>
        </w:tc>
        <w:tc>
          <w:tcPr>
            <w:tcW w:type="dxa" w:w="2016"/>
            <w:vAlign w:val="center"/>
          </w:tcPr>
          <w:p>
            <w:r/>
            <w:r>
              <w:rPr>
                <w:b w:val="0"/>
                <w:sz w:val="18"/>
              </w:rPr>
              <w:t>0.200</w:t>
            </w:r>
          </w:p>
        </w:tc>
        <w:tc>
          <w:tcPr>
            <w:tcW w:type="dxa" w:w="2016"/>
            <w:vAlign w:val="center"/>
          </w:tcPr>
          <w:p>
            <w:r/>
            <w:r>
              <w:rPr>
                <w:b w:val="0"/>
                <w:sz w:val="18"/>
              </w:rPr>
              <w:t>0.395</w:t>
            </w:r>
          </w:p>
        </w:tc>
      </w:tr>
      <w:tr>
        <w:tc>
          <w:tcPr>
            <w:tcW w:type="dxa" w:w="2016"/>
            <w:vAlign w:val="center"/>
          </w:tcPr>
          <w:p>
            <w:r/>
            <w:r>
              <w:rPr>
                <w:b w:val="0"/>
                <w:sz w:val="18"/>
              </w:rPr>
              <w:t>Lowest risk</w:t>
            </w:r>
          </w:p>
        </w:tc>
        <w:tc>
          <w:tcPr>
            <w:tcW w:type="dxa" w:w="2016"/>
            <w:vAlign w:val="center"/>
          </w:tcPr>
          <w:p>
            <w:r/>
            <w:r>
              <w:rPr>
                <w:b w:val="0"/>
                <w:sz w:val="18"/>
              </w:rPr>
              <w:t>50</w:t>
            </w:r>
          </w:p>
        </w:tc>
        <w:tc>
          <w:tcPr>
            <w:tcW w:type="dxa" w:w="2016"/>
            <w:vAlign w:val="center"/>
          </w:tcPr>
          <w:p>
            <w:r/>
            <w:r>
              <w:rPr>
                <w:b w:val="0"/>
                <w:sz w:val="18"/>
              </w:rPr>
              <w:t>4</w:t>
            </w:r>
          </w:p>
        </w:tc>
        <w:tc>
          <w:tcPr>
            <w:tcW w:type="dxa" w:w="2016"/>
            <w:vAlign w:val="center"/>
          </w:tcPr>
          <w:p>
            <w:r/>
            <w:r>
              <w:rPr>
                <w:b w:val="0"/>
                <w:sz w:val="18"/>
              </w:rPr>
              <w:t>0.080</w:t>
            </w:r>
          </w:p>
        </w:tc>
        <w:tc>
          <w:tcPr>
            <w:tcW w:type="dxa" w:w="2016"/>
            <w:vAlign w:val="center"/>
          </w:tcPr>
          <w:p>
            <w:r/>
            <w:r>
              <w:rPr>
                <w:b w:val="0"/>
                <w:sz w:val="18"/>
              </w:rPr>
              <w:t>0.272</w:t>
            </w:r>
          </w:p>
        </w:tc>
      </w:tr>
    </w:tbl>
    <w:p/>
    <w:p>
      <w:pPr>
        <w:jc w:val="center"/>
      </w:pPr>
      <w:r>
        <w:drawing>
          <wp:inline xmlns:a="http://schemas.openxmlformats.org/drawingml/2006/main" xmlns:pic="http://schemas.openxmlformats.org/drawingml/2006/picture">
            <wp:extent cx="5029200" cy="2873829"/>
            <wp:docPr id="6" name="Picture 6"/>
            <wp:cNvGraphicFramePr>
              <a:graphicFrameLocks noChangeAspect="1"/>
            </wp:cNvGraphicFramePr>
            <a:graphic>
              <a:graphicData uri="http://schemas.openxmlformats.org/drawingml/2006/picture">
                <pic:pic>
                  <pic:nvPicPr>
                    <pic:cNvPr id="0" name="risk_tier_churn_rate.png"/>
                    <pic:cNvPicPr/>
                  </pic:nvPicPr>
                  <pic:blipFill>
                    <a:blip r:embed="rId14"/>
                    <a:stretch>
                      <a:fillRect/>
                    </a:stretch>
                  </pic:blipFill>
                  <pic:spPr>
                    <a:xfrm>
                      <a:off x="0" y="0"/>
                      <a:ext cx="5029200" cy="2873829"/>
                    </a:xfrm>
                    <a:prstGeom prst="rect"/>
                  </pic:spPr>
                </pic:pic>
              </a:graphicData>
            </a:graphic>
          </wp:inline>
        </w:drawing>
      </w:r>
    </w:p>
    <w:p>
      <w:pPr>
        <w:jc w:val="center"/>
      </w:pPr>
      <w:r>
        <w:rPr>
          <w:i/>
        </w:rPr>
        <w:t>Figure 6. Observed churn rate by model risk tier.</w:t>
      </w:r>
    </w:p>
    <w:p>
      <w:pPr>
        <w:pStyle w:val="Heading1"/>
      </w:pPr>
      <w:r>
        <w:t>Limitations and next steps</w:t>
      </w:r>
    </w:p>
    <w:p>
      <w:r>
        <w:t>The model performance is moderate, not production-ready. This is expected with a small simulated dataset and limited customer history. Before this type of model could be used in a real bank, it would need richer behavioural data, fairness testing, calibration, monitoring, and review by risk and compliance teams.</w:t>
      </w:r>
    </w:p>
    <w:p>
      <w:r>
        <w:t>The strongest next step would be to add monthly customer history, balance changes, product usage trends, campaign response data, and complaint text. These features would likely give the model a clearer signal and support better customer retention decisions.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