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4DB" w:rsidRDefault="001B20B9" w:rsidP="001B20B9">
      <w:r>
        <w:rPr>
          <w:b/>
          <w:sz w:val="48"/>
        </w:rPr>
        <w:t xml:space="preserve">Documento de Solução: Jornada do Participante </w:t>
      </w:r>
    </w:p>
    <w:p w:rsidR="006A24DB" w:rsidRDefault="001B20B9">
      <w:pPr>
        <w:pStyle w:val="Ttulo1"/>
        <w:ind w:left="254" w:hanging="269"/>
      </w:pPr>
      <w:r>
        <w:t xml:space="preserve">O Porquê deste </w:t>
      </w:r>
      <w:proofErr w:type="spellStart"/>
      <w:r>
        <w:t>Dashboard</w:t>
      </w:r>
      <w:proofErr w:type="spellEnd"/>
      <w:r>
        <w:t xml:space="preserve"> </w:t>
      </w:r>
    </w:p>
    <w:p w:rsidR="006A24DB" w:rsidRDefault="001B20B9">
      <w:pPr>
        <w:spacing w:after="300"/>
        <w:ind w:left="0" w:firstLine="0"/>
      </w:pPr>
      <w:r>
        <w:t xml:space="preserve">O objetivo central deste trabalho foi transformar dados brutos de processos numa visão clara da experiência de quem mais importa: o participante. Em vez de focar apenas em volumes, foquei no </w:t>
      </w:r>
      <w:r>
        <w:rPr>
          <w:b/>
        </w:rPr>
        <w:t>tempo</w:t>
      </w:r>
      <w:r>
        <w:t>, porque é a métrica que mais impacta a vida de quem aguarda</w:t>
      </w:r>
      <w:r>
        <w:t xml:space="preserve"> um benefício. O layout foi pensado para ser intuitivo, permitindo que a gestão identifique um problema num segundo e consiga detalhá-lo no segundo seguinte. </w:t>
      </w:r>
    </w:p>
    <w:p w:rsidR="006A24DB" w:rsidRDefault="001B20B9">
      <w:pPr>
        <w:pStyle w:val="Ttulo1"/>
        <w:ind w:left="254" w:hanging="269"/>
      </w:pPr>
      <w:r>
        <w:t xml:space="preserve">Decisões Técnicas e Tratamento de Dados </w:t>
      </w:r>
    </w:p>
    <w:p w:rsidR="006A24DB" w:rsidRDefault="001B20B9">
      <w:pPr>
        <w:spacing w:after="266"/>
        <w:ind w:left="0" w:firstLine="0"/>
      </w:pPr>
      <w:r>
        <w:t>Para que as análises fossem realistas, tomei algumas dec</w:t>
      </w:r>
      <w:r>
        <w:t xml:space="preserve">isões importantes no tratamento da base: </w:t>
      </w:r>
    </w:p>
    <w:p w:rsidR="006A24DB" w:rsidRDefault="001B20B9">
      <w:pPr>
        <w:numPr>
          <w:ilvl w:val="0"/>
          <w:numId w:val="1"/>
        </w:numPr>
        <w:ind w:hanging="360"/>
      </w:pPr>
      <w:r>
        <w:rPr>
          <w:b/>
        </w:rPr>
        <w:t>Eficiência em Dias Úteis:</w:t>
      </w:r>
      <w:r>
        <w:t xml:space="preserve"> Criei uma lógica (DAX) para calcular os dias úteis, descontando fins de semana. Isso separa o "tempo de espera" do participante (corrido) do "tempo de produção" do setor </w:t>
      </w:r>
      <w:r>
        <w:t>(útil), ajudando a</w:t>
      </w:r>
      <w:r>
        <w:t xml:space="preserve"> identificar onde o processo realmente para. </w:t>
      </w:r>
    </w:p>
    <w:p w:rsidR="006A24DB" w:rsidRDefault="001B20B9">
      <w:pPr>
        <w:numPr>
          <w:ilvl w:val="0"/>
          <w:numId w:val="1"/>
        </w:numPr>
        <w:ind w:hanging="360"/>
      </w:pPr>
      <w:r>
        <w:rPr>
          <w:b/>
        </w:rPr>
        <w:t>Integração de Tabelas:</w:t>
      </w:r>
      <w:r>
        <w:t xml:space="preserve"> Como os nomes dos participantes estavam numa tabela separada (</w:t>
      </w:r>
      <w:bookmarkStart w:id="0" w:name="_GoBack"/>
      <w:bookmarkEnd w:id="0"/>
      <w:r>
        <w:rPr>
          <w:rFonts w:ascii="Courier New" w:eastAsia="Courier New" w:hAnsi="Courier New" w:cs="Courier New"/>
          <w:sz w:val="31"/>
          <w:vertAlign w:val="subscript"/>
        </w:rPr>
        <w:t>PARTICIPANTES</w:t>
      </w:r>
      <w:r>
        <w:t>), utilizei funções avançadas de relacionamento (DAX) para trazer o nome de cada pessoa diretamente para o</w:t>
      </w:r>
      <w:r>
        <w:t xml:space="preserve">s gráficos, sem sobrecarregar o modelo. </w:t>
      </w:r>
    </w:p>
    <w:p w:rsidR="006A24DB" w:rsidRDefault="001B20B9">
      <w:pPr>
        <w:numPr>
          <w:ilvl w:val="0"/>
          <w:numId w:val="1"/>
        </w:numPr>
        <w:spacing w:after="304"/>
        <w:ind w:hanging="360"/>
      </w:pPr>
      <w:r>
        <w:rPr>
          <w:b/>
        </w:rPr>
        <w:t>Métricas de Alerta:</w:t>
      </w:r>
      <w:r>
        <w:t xml:space="preserve"> Configurei cartões dinâmicos que mostram automaticamente a "Etapa Mais Longa" e o total de pessoas com atrasos críticos, servindo como um "farol" para os gestores. </w:t>
      </w:r>
    </w:p>
    <w:p w:rsidR="006A24DB" w:rsidRDefault="001B20B9">
      <w:pPr>
        <w:pStyle w:val="Ttulo1"/>
        <w:ind w:left="254" w:hanging="269"/>
      </w:pPr>
      <w:r>
        <w:t>Percepções e Insights da Análi</w:t>
      </w:r>
      <w:r>
        <w:t xml:space="preserve">se </w:t>
      </w:r>
    </w:p>
    <w:p w:rsidR="006A24DB" w:rsidRDefault="001B20B9">
      <w:pPr>
        <w:spacing w:after="265"/>
        <w:ind w:left="0" w:firstLine="0"/>
      </w:pPr>
      <w:r>
        <w:t xml:space="preserve">Ao finalizar a solução, alguns pontos saltaram à vista: </w:t>
      </w:r>
    </w:p>
    <w:p w:rsidR="006A24DB" w:rsidRDefault="001B20B9">
      <w:pPr>
        <w:numPr>
          <w:ilvl w:val="0"/>
          <w:numId w:val="2"/>
        </w:numPr>
        <w:ind w:hanging="360"/>
      </w:pPr>
      <w:r>
        <w:rPr>
          <w:b/>
        </w:rPr>
        <w:t>O Grande Gargalo:</w:t>
      </w:r>
      <w:r>
        <w:t xml:space="preserve"> A etapa de </w:t>
      </w:r>
      <w:r>
        <w:rPr>
          <w:b/>
        </w:rPr>
        <w:t>Análise Técnica</w:t>
      </w:r>
      <w:r>
        <w:t xml:space="preserve"> é o ponto de maior retenção. É nela que o participante passa a maior parte da sua jornada, o que sugere uma necessidade de reforço de equipa ou simpli</w:t>
      </w:r>
      <w:r>
        <w:t xml:space="preserve">ficação de critérios nesta fase. </w:t>
      </w:r>
    </w:p>
    <w:p w:rsidR="006A24DB" w:rsidRDefault="001B20B9">
      <w:pPr>
        <w:numPr>
          <w:ilvl w:val="0"/>
          <w:numId w:val="2"/>
        </w:numPr>
        <w:ind w:hanging="360"/>
      </w:pPr>
      <w:r>
        <w:rPr>
          <w:b/>
        </w:rPr>
        <w:t>Visão Humana no Funil:</w:t>
      </w:r>
      <w:r>
        <w:t xml:space="preserve"> Adicionei uma funcionalidade onde, ao passar o rato em qualquer etapa do funil de processos, o sistema mostra os nomes dos 5 participantes que estão há mais tempo naquela fase. Isso transforma o "núm</w:t>
      </w:r>
      <w:r>
        <w:t xml:space="preserve">ero" em "pessoa", permitindo uma gestão muito mais humana e direta. </w:t>
      </w:r>
    </w:p>
    <w:p w:rsidR="006A24DB" w:rsidRDefault="001B20B9">
      <w:pPr>
        <w:numPr>
          <w:ilvl w:val="0"/>
          <w:numId w:val="2"/>
        </w:numPr>
        <w:spacing w:after="304"/>
        <w:ind w:hanging="360"/>
      </w:pPr>
      <w:r>
        <w:rPr>
          <w:b/>
        </w:rPr>
        <w:t>Diferença de Prazos:</w:t>
      </w:r>
      <w:r>
        <w:t xml:space="preserve"> Notámos que em algumas etapas a diferença entre dias corridos e úteis é grande, o que indica que muitos processos "dormem" durante o fim de semana à espera de uma açã</w:t>
      </w:r>
      <w:r>
        <w:t xml:space="preserve">o manual ou documental. </w:t>
      </w:r>
    </w:p>
    <w:p w:rsidR="006A24DB" w:rsidRDefault="001B20B9">
      <w:pPr>
        <w:pStyle w:val="Ttulo1"/>
        <w:ind w:left="254" w:hanging="269"/>
      </w:pPr>
      <w:r>
        <w:lastRenderedPageBreak/>
        <w:t xml:space="preserve">Conclusão e Próximos Passos </w:t>
      </w:r>
    </w:p>
    <w:p w:rsidR="006A24DB" w:rsidRDefault="001B20B9">
      <w:pPr>
        <w:ind w:left="0" w:firstLine="0"/>
      </w:pPr>
      <w:r>
        <w:t xml:space="preserve">Este </w:t>
      </w:r>
      <w:proofErr w:type="spellStart"/>
      <w:r>
        <w:t>dashboard</w:t>
      </w:r>
      <w:proofErr w:type="spellEnd"/>
      <w:r>
        <w:t xml:space="preserve"> não é apenas um relatório de acompanhamento, é uma ferramenta de ação. Ele atende ao desafio proposto porque traduz a jornada operacional numa visão estratégica e útil. </w:t>
      </w:r>
    </w:p>
    <w:p w:rsidR="006A24DB" w:rsidRDefault="001B20B9">
      <w:pPr>
        <w:spacing w:after="266"/>
        <w:ind w:left="0" w:firstLine="0"/>
      </w:pPr>
      <w:r>
        <w:t>Como recomendação</w:t>
      </w:r>
      <w:r>
        <w:t xml:space="preserve">, a gestão pode usar estes dados para: </w:t>
      </w:r>
    </w:p>
    <w:p w:rsidR="006A24DB" w:rsidRDefault="001B20B9">
      <w:pPr>
        <w:numPr>
          <w:ilvl w:val="0"/>
          <w:numId w:val="3"/>
        </w:numPr>
        <w:ind w:hanging="360"/>
      </w:pPr>
      <w:r>
        <w:t xml:space="preserve">Priorizar os participantes listados nas "Dicas de Ferramenta" (os que esperam há mais tempo). </w:t>
      </w:r>
    </w:p>
    <w:p w:rsidR="006A24DB" w:rsidRDefault="001B20B9">
      <w:pPr>
        <w:numPr>
          <w:ilvl w:val="0"/>
          <w:numId w:val="3"/>
        </w:numPr>
        <w:ind w:hanging="360"/>
      </w:pPr>
      <w:r>
        <w:t xml:space="preserve">Investigar por que razão a Análise Técnica demora tanto em relação às outras etapas. </w:t>
      </w:r>
    </w:p>
    <w:p w:rsidR="006A24DB" w:rsidRDefault="001B20B9">
      <w:pPr>
        <w:numPr>
          <w:ilvl w:val="0"/>
          <w:numId w:val="3"/>
        </w:numPr>
        <w:spacing w:after="318"/>
        <w:ind w:hanging="360"/>
      </w:pPr>
      <w:r>
        <w:t xml:space="preserve">Monitorizar se as pendências documentais estão a ser resolvidas rapidamente ou se estão a travar a jornada. </w:t>
      </w:r>
    </w:p>
    <w:p w:rsidR="006A24DB" w:rsidRDefault="001B20B9">
      <w:pPr>
        <w:spacing w:after="237" w:line="259" w:lineRule="auto"/>
        <w:ind w:left="-1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3596" cy="22099"/>
                <wp:effectExtent l="0" t="0" r="0" b="0"/>
                <wp:docPr id="1290" name="Group 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596" cy="22099"/>
                          <a:chOff x="0" y="0"/>
                          <a:chExt cx="5403596" cy="22099"/>
                        </a:xfrm>
                      </wpg:grpSpPr>
                      <wps:wsp>
                        <wps:cNvPr id="1598" name="Shape 1598"/>
                        <wps:cNvSpPr/>
                        <wps:spPr>
                          <a:xfrm>
                            <a:off x="0" y="0"/>
                            <a:ext cx="54013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21590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432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3480" y="763"/>
                            <a:ext cx="53971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119" h="9144">
                                <a:moveTo>
                                  <a:pt x="0" y="0"/>
                                </a:moveTo>
                                <a:lnTo>
                                  <a:pt x="5397119" y="0"/>
                                </a:lnTo>
                                <a:lnTo>
                                  <a:pt x="53971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5400548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432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5400548" y="381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432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3480" y="19051"/>
                            <a:ext cx="53971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119" h="9144">
                                <a:moveTo>
                                  <a:pt x="0" y="0"/>
                                </a:moveTo>
                                <a:lnTo>
                                  <a:pt x="5397119" y="0"/>
                                </a:lnTo>
                                <a:lnTo>
                                  <a:pt x="53971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5400548" y="190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" style="width:425.48pt;height:1.74005pt;mso-position-horizontal-relative:char;mso-position-vertical-relative:line" coordsize="54035,220">
                <v:shape id="Shape 1607" style="position:absolute;width:54013;height:215;left:0;top:0;" coordsize="5401310,21590" path="m0,0l5401310,0l5401310,21590l0,21590l0,0">
                  <v:stroke weight="0pt" endcap="flat" joinstyle="miter" miterlimit="10" on="false" color="#000000" opacity="0"/>
                  <v:fill on="true" color="#a0a0a0"/>
                </v:shape>
                <v:shape id="Shape 1608" style="position:absolute;width:91;height:91;left: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09" style="position:absolute;width:53971;height:91;left:34;top:7;" coordsize="5397119,9144" path="m0,0l5397119,0l5397119,9144l0,9144l0,0">
                  <v:stroke weight="0pt" endcap="flat" joinstyle="miter" miterlimit="10" on="false" color="#000000" opacity="0"/>
                  <v:fill on="true" color="#a0a0a0"/>
                </v:shape>
                <v:shape id="Shape 1610" style="position:absolute;width:91;height:91;left:5400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11" style="position:absolute;width:91;height:152;left:4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612" style="position:absolute;width:91;height:152;left:5400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613" style="position:absolute;width:91;height:91;left:4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14" style="position:absolute;width:53971;height:91;left:34;top:190;" coordsize="5397119,9144" path="m0,0l5397119,0l5397119,9144l0,9144l0,0">
                  <v:stroke weight="0pt" endcap="flat" joinstyle="miter" miterlimit="10" on="false" color="#000000" opacity="0"/>
                  <v:fill on="true" color="#e3e3e3"/>
                </v:shape>
                <v:shape id="Shape 1615" style="position:absolute;width:91;height:91;left:5400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6A24DB" w:rsidRDefault="001B20B9">
      <w:pPr>
        <w:spacing w:after="218" w:line="259" w:lineRule="auto"/>
        <w:ind w:left="-5" w:right="0" w:hanging="10"/>
      </w:pPr>
      <w:r>
        <w:rPr>
          <w:b/>
          <w:sz w:val="27"/>
        </w:rPr>
        <w:t xml:space="preserve">O que mudou nesta versão? </w:t>
      </w:r>
    </w:p>
    <w:p w:rsidR="006A24DB" w:rsidRDefault="001B20B9">
      <w:pPr>
        <w:numPr>
          <w:ilvl w:val="0"/>
          <w:numId w:val="4"/>
        </w:numPr>
        <w:spacing w:after="50"/>
        <w:ind w:hanging="360"/>
      </w:pPr>
      <w:r>
        <w:rPr>
          <w:b/>
        </w:rPr>
        <w:t>Contexto do DAX:</w:t>
      </w:r>
      <w:r>
        <w:t xml:space="preserve"> Adicionei a explicação de que integraste as duas tabelas </w:t>
      </w:r>
    </w:p>
    <w:p w:rsidR="006A24DB" w:rsidRDefault="001B20B9">
      <w:pPr>
        <w:spacing w:after="0" w:line="259" w:lineRule="auto"/>
        <w:ind w:left="721" w:right="0" w:firstLine="0"/>
      </w:pPr>
      <w:r>
        <w:t>(</w:t>
      </w:r>
      <w:r>
        <w:rPr>
          <w:rFonts w:ascii="Courier New" w:eastAsia="Courier New" w:hAnsi="Courier New" w:cs="Courier New"/>
          <w:sz w:val="20"/>
        </w:rPr>
        <w:t>PARTICIPANTES</w:t>
      </w:r>
      <w:r>
        <w:t xml:space="preserve"> e </w:t>
      </w:r>
      <w:r>
        <w:rPr>
          <w:rFonts w:ascii="Courier New" w:eastAsia="Courier New" w:hAnsi="Courier New" w:cs="Courier New"/>
          <w:sz w:val="20"/>
        </w:rPr>
        <w:t>HIST_ETAPAS</w:t>
      </w:r>
      <w:r>
        <w:t>) para m</w:t>
      </w:r>
      <w:r>
        <w:t xml:space="preserve">ostrar os nomes. </w:t>
      </w:r>
    </w:p>
    <w:p w:rsidR="006A24DB" w:rsidRDefault="001B20B9">
      <w:pPr>
        <w:numPr>
          <w:ilvl w:val="0"/>
          <w:numId w:val="4"/>
        </w:numPr>
        <w:ind w:hanging="360"/>
      </w:pPr>
      <w:r>
        <w:rPr>
          <w:b/>
        </w:rPr>
        <w:t>Humanização:</w:t>
      </w:r>
      <w:r>
        <w:t xml:space="preserve"> Destaquei o uso do "Top 5" de nomes no funil como uma prova de que o BI foca nas pessoas. </w:t>
      </w:r>
    </w:p>
    <w:p w:rsidR="006A24DB" w:rsidRDefault="001B20B9">
      <w:pPr>
        <w:numPr>
          <w:ilvl w:val="0"/>
          <w:numId w:val="4"/>
        </w:numPr>
        <w:spacing w:after="266"/>
        <w:ind w:hanging="360"/>
      </w:pPr>
      <w:r>
        <w:rPr>
          <w:b/>
        </w:rPr>
        <w:t>Clareza:</w:t>
      </w:r>
      <w:r>
        <w:t xml:space="preserve"> O texto explica agora que o BI é capaz de separar quem é o participante "atrás do dado". </w:t>
      </w:r>
    </w:p>
    <w:p w:rsidR="006A24DB" w:rsidRDefault="001B20B9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6A24DB">
      <w:pgSz w:w="11904" w:h="16838"/>
      <w:pgMar w:top="1423" w:right="1635" w:bottom="143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90D0B"/>
    <w:multiLevelType w:val="hybridMultilevel"/>
    <w:tmpl w:val="34503544"/>
    <w:lvl w:ilvl="0" w:tplc="FE6C171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AAD8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A2F89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C6807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D073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F44A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1A2E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A86E2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82BDF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33849"/>
    <w:multiLevelType w:val="hybridMultilevel"/>
    <w:tmpl w:val="F11C5074"/>
    <w:lvl w:ilvl="0" w:tplc="FFAE506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6E1B9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E2C7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9AE20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8486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584A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C7D5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F6E46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DC8C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486F32"/>
    <w:multiLevelType w:val="hybridMultilevel"/>
    <w:tmpl w:val="5C58F0DE"/>
    <w:lvl w:ilvl="0" w:tplc="09D4815C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0785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48C2F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64A074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E83D4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60CC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96EAF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8E8E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9CD31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10CAD"/>
    <w:multiLevelType w:val="hybridMultilevel"/>
    <w:tmpl w:val="D7A09A34"/>
    <w:lvl w:ilvl="0" w:tplc="6D548DD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A702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EC318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C07D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8B22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A87F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EA1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62C1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BE9B2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376DC8"/>
    <w:multiLevelType w:val="hybridMultilevel"/>
    <w:tmpl w:val="AC105EF4"/>
    <w:lvl w:ilvl="0" w:tplc="2342F09C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608B0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912CB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1D468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11AAF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932CC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7E04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FB837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C3231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DB"/>
    <w:rsid w:val="001B20B9"/>
    <w:rsid w:val="006A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EE3C"/>
  <w15:docId w15:val="{14BFF248-D97F-41FB-9215-4F84EA16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8" w:lineRule="auto"/>
      <w:ind w:left="370" w:right="59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5"/>
      </w:numPr>
      <w:spacing w:after="2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</dc:creator>
  <cp:keywords/>
  <cp:lastModifiedBy>Ariane</cp:lastModifiedBy>
  <cp:revision>2</cp:revision>
  <dcterms:created xsi:type="dcterms:W3CDTF">2026-07-04T17:17:00Z</dcterms:created>
  <dcterms:modified xsi:type="dcterms:W3CDTF">2026-07-04T17:17:00Z</dcterms:modified>
</cp:coreProperties>
</file>