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Digital Markets and Platform Economics</w:t>
      </w:r>
    </w:p>
    <w:p>
      <w:r>
        <w:rPr>
          <w:i/>
          <w:iCs/>
          <w:color w:val="555555"/>
        </w:rPr>
        <w:t xml:space="preserve">Lecture Notes — Unit 4: Network Effects and Market Tipping</w:t>
      </w:r>
    </w:p>
    <w:p>
      <w:r>
        <w:rPr>
          <w:color w:val="888888"/>
          <w:sz w:val="20"/>
          <w:szCs w:val="20"/>
        </w:rPr>
        <w:t xml:space="preserve">WU Vienna — Department of Information Systems</w:t>
      </w:r>
    </w:p>
    <w:p>
      <w:r>
        <w:t xml:space="preserve"/>
      </w:r>
    </w:p>
    <w:p>
      <w:pPr>
        <w:pStyle w:val="Heading2"/>
      </w:pPr>
      <w:r>
        <w:t xml:space="preserve">Learning Objectives</w:t>
      </w:r>
    </w:p>
    <w:p>
      <w:pPr>
        <w:pStyle w:val="ListParagraph"/>
        <w:numPr>
          <w:ilvl w:val="0"/>
          <w:numId w:val="2"/>
        </w:numPr>
      </w:pPr>
      <w:r>
        <w:t xml:space="preserve">Define direct and indirect network effects</w:t>
      </w:r>
    </w:p>
    <w:p>
      <w:pPr>
        <w:pStyle w:val="ListParagraph"/>
        <w:numPr>
          <w:ilvl w:val="0"/>
          <w:numId w:val="2"/>
        </w:numPr>
      </w:pPr>
      <w:r>
        <w:t xml:space="preserve">Explain the tipping point model of platform competition</w:t>
      </w:r>
    </w:p>
    <w:p>
      <w:pPr>
        <w:pStyle w:val="ListParagraph"/>
        <w:numPr>
          <w:ilvl w:val="0"/>
          <w:numId w:val="2"/>
        </w:numPr>
      </w:pPr>
      <w:r>
        <w:t xml:space="preserve">Analyse multi-homing costs and their strategic implications</w:t>
      </w:r>
    </w:p>
    <w:p>
      <w:pPr>
        <w:pStyle w:val="ListParagraph"/>
        <w:numPr>
          <w:ilvl w:val="0"/>
          <w:numId w:val="2"/>
        </w:numPr>
      </w:pPr>
      <w:r>
        <w:t xml:space="preserve">Apply the ACCC framework to assess platform market power</w:t>
      </w:r>
    </w:p>
    <w:p>
      <w:r>
        <w:t xml:space="preserve"/>
      </w:r>
    </w:p>
    <w:p>
      <w:pPr>
        <w:pStyle w:val="Heading2"/>
      </w:pPr>
      <w:r>
        <w:t xml:space="preserve">Section 1: Foundations of Network Effects</w:t>
      </w:r>
    </w:p>
    <w:p>
      <w:r>
        <w:t xml:space="preserve">Network effects arise when the value a user derives from a product or service increases as more users adopt it. This self-reinforcing dynamic is central to understanding why digital platform markets tend toward concentration. Economists distinguish two primary types: direct network effects, where value flows directly between users of the same side, and indirect network effects, where value accrues across sides of a multi-sided platform.</w:t>
      </w:r>
    </w:p>
    <w:p>
      <w:r>
        <w:t xml:space="preserve"/>
      </w:r>
    </w:p>
    <w:p>
      <w:r>
        <w:t xml:space="preserve">The classic example of a direct network effect is the telephone: a network of one phone has zero utility, but utility grows with each additional subscriber. In platform markets, this logic applies to social networks, messaging applications, and peer-to-peer payment systems. Indirect effects are illustrated by operating systems: more users attract more developers, whose applications in turn attract more users, creating a positive feedback loop.</w:t>
      </w:r>
    </w:p>
    <w:p>
      <w:r>
        <w:t xml:space="preserve"/>
      </w:r>
    </w:p>
    <w:p>
      <w:r>
        <w:t xml:space="preserve">A critical but often overlooked distinction is between local and global network effects. Global effects mean that every new user adds value for all existing users uniformly. Local effects, by contrast, operate within clusters or communities. Facebook's early growth, for example, was driven by local network effects within university campuses before it achieved global scale. This distinction has important implications for competitive entry strategies.</w:t>
      </w:r>
    </w:p>
    <w:p>
      <w:r>
        <w:t xml:space="preserve"/>
      </w:r>
    </w:p>
    <w:p>
      <w:pPr>
        <w:pStyle w:val="Heading2"/>
      </w:pPr>
      <w:r>
        <w:t xml:space="preserve">Section 2: The Tipping Point and Winner-Takes-All Dynamics</w:t>
      </w:r>
    </w:p>
    <w:p>
      <w:r>
        <w:t xml:space="preserve">When network effects are sufficiently strong and switching costs are high, markets can tip: one platform rapidly gains all or most users while rivals are abandoned. This winner-takes-all (WTA) dynamic has been documented in markets for PC operating systems, ride-hailing, and short-video platforms. The tipping point is not predetermined — it depends on the interplay between network effect strength, multi-homing costs, and the degree of product differentiation.</w:t>
      </w:r>
    </w:p>
    <w:p>
      <w:r>
        <w:t xml:space="preserve"/>
      </w:r>
    </w:p>
    <w:p>
      <w:r>
        <w:t xml:space="preserve">Rochet and Tirole (2003) formalise the tipping condition: a market tips when the benefit of joining the dominant platform exceeds the benefit of sustaining a minority platform by more than the switching cost. This threshold effect means that small early advantages can compound into durable market dominance. Regulators have increasingly focused on whether incumbent platforms exploit this dynamic to foreclose entry, for example through exclusive dealing arrangements or predatory pricing targeted at nascent competitors.</w:t>
      </w:r>
    </w:p>
    <w:p>
      <w:r>
        <w:t xml:space="preserve"/>
      </w:r>
    </w:p>
    <w:p>
      <w:r>
        <w:t xml:space="preserve">It is important to note that tipping is not inevitable. Markets with strong multi-homing — where users costlessly join multiple platforms — can sustain competition even with significant network effects. The hotel booking market illustrates this: travellers routinely compare Booking.com, Expedia, and direct hotel websites, preventing any single platform from fully tipping the market. Platform differentiation along non-network dimensions (price, interface, trust signals) also delays tipping.</w:t>
      </w:r>
    </w:p>
    <w:p>
      <w:r>
        <w:t xml:space="preserve"/>
      </w:r>
    </w:p>
    <w:p>
      <w:pPr>
        <w:pStyle w:val="Heading2"/>
      </w:pPr>
      <w:r>
        <w:t xml:space="preserve">Section 3: Multi-Homing, Lock-In, and Competitive Implications</w:t>
      </w:r>
    </w:p>
    <w:p>
      <w:r>
        <w:t xml:space="preserve">Multi-homing refers to the practice of simultaneously using more than one competing platform. Its prevalence on both sides of a market is a primary determinant of competitive intensity. When users on both sides multi-home freely, platforms must compete continuously on value and price, even if network effects are strong. When one side single-homes, the platform controlling that side gains bargaining power over the multi-homing side — a pattern Armstrong (2006) calls 'competitive bottlenecks'.</w:t>
      </w:r>
    </w:p>
    <w:p>
      <w:r>
        <w:t xml:space="preserve"/>
      </w:r>
    </w:p>
    <w:p>
      <w:r>
        <w:t xml:space="preserve">Lock-in — the inability to switch platforms without incurring significant costs — can arise from data portability barriers, proprietary file formats, accumulated reputational capital (such as reviews or followers), or simply the time cost of rebuilding a social graph. Platforms have strong incentives to raise switching costs once they achieve scale, as this protects their installed base from competitive erosion.</w:t>
      </w:r>
    </w:p>
    <w:p>
      <w:r>
        <w:t xml:space="preserve"/>
      </w:r>
    </w:p>
    <w:p>
      <w:pPr>
        <w:pStyle w:val="Heading2"/>
      </w:pPr>
      <w:r>
        <w:t xml:space="preserve">Section 4: Regulatory Responses and the Case for Interoperability</w:t>
      </w:r>
    </w:p>
    <w:p>
      <w:r>
        <w:t xml:space="preserve">The combination of network effects, tipping dynamics, and lock-in creates a structural challenge for competition policy. Traditional merger review and abuse-of-dominance cases are poorly suited to fast-moving digital markets, where harm may be irreversible by the time regulators intervene. The European Digital Markets Act (DMA), the UK Digital Markets, Competition and Consumers Act (DMCC), and Australia's draft platform regulation all attempt to address this by imposing ex ante obligations on designated gatekeepers rather than relying solely on ex post enforcement.</w:t>
      </w:r>
    </w:p>
    <w:p>
      <w:r>
        <w:t xml:space="preserve"/>
      </w:r>
    </w:p>
    <w:p>
      <w:r>
        <w:t xml:space="preserve">Among the most debated interventions is mandatory interoperability: requiring dominant platforms to open their networks to rivals. Proponents argue this directly attacks lock-in and enables multi-homing, restoring contestability without breaking up incumbents. Critics counter that interoperability mandates can reduce investment incentives and raise privacy and security risks. The empirical evidence remains mixed, with some studies of telecommunications markets suggesting modest effects on entry and consumer switching.</w:t>
      </w:r>
    </w:p>
    <w:p>
      <w:r>
        <w:t xml:space="preserve"/>
      </w:r>
    </w:p>
    <w:p>
      <w:pPr>
        <w:pStyle w:val="Heading2"/>
      </w:pPr>
      <w:r>
        <w:t xml:space="preserve">Conclusion</w:t>
      </w:r>
    </w:p>
    <w:p>
      <w:r>
        <w:t xml:space="preserve">The central argument of this unit is that network effects alone do not determine market outcomes — the interaction between network effect strength, multi-homing costs, product differentiation, and regulatory design jointly shapes whether platform markets tip, sustain competition, or require intervention. Policy responses must therefore be calibrated to the specific structural features of each market rather than applying blanket rules. The emerging generation of ex ante digital regulation represents a promising but still unproven attempt to strike this balance.</w:t>
      </w:r>
    </w:p>
    <w:p>
      <w:r>
        <w:t xml:space="preserve"/>
      </w:r>
    </w:p>
    <w:p>
      <w:r>
        <w:t xml:space="preserve">Students should note that the argument developed across sections 2 and 3 — that tipping is a function of the interplay between network effect strength and multi-homing costs, not a binary outcome — directly informs this conclusion. A market with strong network effects but low multi-homing costs may remain structurally competitive, while a market with moderate network effects but high switching costs may be more susceptible to durable dominance.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c3e7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2026-03-11T10:05:27.410Z</dcterms:created>
  <dcterms:modified xsi:type="dcterms:W3CDTF">2026-03-11T10:05:27.411Z</dcterms:modified>
</cp:coreProperties>
</file>

<file path=docProps/custom.xml><?xml version="1.0" encoding="utf-8"?>
<Properties xmlns="http://schemas.openxmlformats.org/officeDocument/2006/custom-properties" xmlns:vt="http://schemas.openxmlformats.org/officeDocument/2006/docPropsVTypes"/>
</file>