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Supplementary Table S2. Recommendation-level mapping of seven guideline and consensus documents</w:t>
      </w:r>
    </w:p>
    <w:p>
      <w:commentRangeStart w:id="3"/>
      <w:r>
        <w:t xml:space="preserve">Columns show condensed recommendation wording, target population, strength/class and level of evidence (each source's grading system), surveillance interval, trigger, destination, response, and author-identified operational gaps. </w:t>
      </w:r>
      <w:r>
        <w:t>Selected recommendations relevant to longitudinal diabetic limb care, surveillance, escalation and rehabilitation. Wording is condensed and paraphrased. Strength and evidence labels retain each source’s grading system. “Not specified” means the mapped passage does not supply that operational element.</w:t>
      </w:r>
      <w:r>
        <w:t xml:space="preserve"> Surveillance intervals in IWGDF Recommendation 2 are based on expert opinion (IWGDF 2023, Table 1), although the recommendation itself is graded strong. The operational-gap column records the authors' assessment of elements that the mapped passage does not specify; it is not guideline text. NICE NG19, the 2024 ESC guideline and the 2024 VA/DoD guideline were mapped as guideline documents and are not among the 54 study-level reports in Supplementary Table S1.</w:t>
      </w:r>
      <w:commentRangeEnd w:id="3"/>
      <w:r>
        <w:commentReference w:id="3"/>
      </w:r>
    </w:p>
    <w:tbl>
      <w:tblPr>
        <w:tblW w:type="auto" w:w="0"/>
        <w:jc w:val="center"/>
        <w:tblLayout w:type="fixed"/>
        <w:tblLook w:firstColumn="1" w:firstRow="1" w:lastColumn="0" w:lastRow="0" w:noHBand="0" w:noVBand="1" w:val="04A0"/>
      </w:tblPr>
      <w:tblGrid>
        <w:gridCol w:w="1296"/>
        <w:gridCol w:w="2664"/>
        <w:gridCol w:w="1656"/>
        <w:gridCol w:w="1253"/>
        <w:gridCol w:w="1584"/>
        <w:gridCol w:w="1512"/>
        <w:gridCol w:w="1440"/>
        <w:gridCol w:w="1512"/>
        <w:gridCol w:w="1512"/>
      </w:tblGrid>
      <w:tr>
        <w:trPr>
          <w:tblHeader w:val="true"/>
        </w:trPr>
        <w:tc>
          <w:tcPr>
            <w:tcW w:type="dxa" w:w="1296"/>
            <w:vAlign w:val="center"/>
            <w:tcMar>
              <w:top w:w="55" w:type="dxa"/>
              <w:left w:w="55" w:type="dxa"/>
              <w:bottom w:w="55" w:type="dxa"/>
              <w:right w:w="55" w:type="dxa"/>
            </w:tcMar>
            <w:shd w:fill="273E50"/>
            <w:tcBorders>
              <w:top w:val="single" w:sz="4" w:color="D9D9D9"/>
              <w:left w:val="single" w:sz="4" w:color="D9D9D9"/>
              <w:bottom w:val="single" w:sz="4" w:color="D9D9D9"/>
              <w:right w:val="single" w:sz="4" w:color="D9D9D9"/>
            </w:tcBorders>
          </w:tcPr>
          <w:p>
            <w:pPr>
              <w:spacing w:after="0" w:line="259" w:lineRule="auto"/>
            </w:pPr>
            <w:commentRangeStart w:id="17"/>
            <w:r>
              <w:rPr>
                <w:rFonts w:ascii="Arial" w:hAnsi="Arial"/>
                <w:b/>
                <w:color w:val="FFFFFF"/>
                <w:sz w:val="14"/>
              </w:rPr>
              <w:t>Source and item</w:t>
            </w:r>
            <w:commentRangeEnd w:id="17"/>
            <w:r>
              <w:commentReference w:id="17"/>
            </w:r>
          </w:p>
        </w:tc>
        <w:tc>
          <w:tcPr>
            <w:tcW w:type="dxa" w:w="2664"/>
            <w:vAlign w:val="center"/>
            <w:tcMar>
              <w:top w:w="55" w:type="dxa"/>
              <w:left w:w="55" w:type="dxa"/>
              <w:bottom w:w="55" w:type="dxa"/>
              <w:right w:w="55" w:type="dxa"/>
            </w:tcMar>
            <w:shd w:fill="273E50"/>
            <w:tcBorders>
              <w:top w:val="single" w:sz="4" w:color="D9D9D9"/>
              <w:left w:val="single" w:sz="4" w:color="D9D9D9"/>
              <w:bottom w:val="single" w:sz="4" w:color="D9D9D9"/>
              <w:right w:val="single" w:sz="4" w:color="D9D9D9"/>
            </w:tcBorders>
          </w:tcPr>
          <w:p>
            <w:pPr>
              <w:spacing w:after="0" w:line="259" w:lineRule="auto"/>
            </w:pPr>
            <w:r>
              <w:rPr>
                <w:rFonts w:ascii="Arial" w:hAnsi="Arial"/>
                <w:b/>
                <w:color w:val="FFFFFF"/>
                <w:sz w:val="14"/>
              </w:rPr>
              <w:t>Recommendation wording</w:t>
            </w:r>
          </w:p>
        </w:tc>
        <w:tc>
          <w:tcPr>
            <w:tcW w:type="dxa" w:w="1656"/>
            <w:vAlign w:val="center"/>
            <w:tcMar>
              <w:top w:w="55" w:type="dxa"/>
              <w:left w:w="55" w:type="dxa"/>
              <w:bottom w:w="55" w:type="dxa"/>
              <w:right w:w="55" w:type="dxa"/>
            </w:tcMar>
            <w:shd w:fill="273E50"/>
            <w:tcBorders>
              <w:top w:val="single" w:sz="4" w:color="D9D9D9"/>
              <w:left w:val="single" w:sz="4" w:color="D9D9D9"/>
              <w:bottom w:val="single" w:sz="4" w:color="D9D9D9"/>
              <w:right w:val="single" w:sz="4" w:color="D9D9D9"/>
            </w:tcBorders>
          </w:tcPr>
          <w:p>
            <w:pPr>
              <w:spacing w:after="0" w:line="259" w:lineRule="auto"/>
            </w:pPr>
            <w:r>
              <w:rPr>
                <w:rFonts w:ascii="Arial" w:hAnsi="Arial"/>
                <w:b/>
                <w:color w:val="FFFFFF"/>
                <w:sz w:val="14"/>
              </w:rPr>
              <w:t>Target population</w:t>
            </w:r>
          </w:p>
        </w:tc>
        <w:tc>
          <w:tcPr>
            <w:tcW w:type="dxa" w:w="1253"/>
            <w:vAlign w:val="center"/>
            <w:tcMar>
              <w:top w:w="55" w:type="dxa"/>
              <w:left w:w="55" w:type="dxa"/>
              <w:bottom w:w="55" w:type="dxa"/>
              <w:right w:w="55" w:type="dxa"/>
            </w:tcMar>
            <w:shd w:fill="273E50"/>
            <w:tcBorders>
              <w:top w:val="single" w:sz="4" w:color="D9D9D9"/>
              <w:left w:val="single" w:sz="4" w:color="D9D9D9"/>
              <w:bottom w:val="single" w:sz="4" w:color="D9D9D9"/>
              <w:right w:val="single" w:sz="4" w:color="D9D9D9"/>
            </w:tcBorders>
          </w:tcPr>
          <w:p>
            <w:pPr>
              <w:spacing w:after="0" w:line="259" w:lineRule="auto"/>
            </w:pPr>
            <w:r>
              <w:rPr>
                <w:rFonts w:ascii="Arial" w:hAnsi="Arial"/>
                <w:b/>
                <w:color w:val="FFFFFF"/>
                <w:sz w:val="14"/>
              </w:rPr>
              <w:t>Strength / evidence</w:t>
            </w:r>
          </w:p>
        </w:tc>
        <w:tc>
          <w:tcPr>
            <w:tcW w:type="dxa" w:w="1584"/>
            <w:vAlign w:val="center"/>
            <w:tcMar>
              <w:top w:w="55" w:type="dxa"/>
              <w:left w:w="55" w:type="dxa"/>
              <w:bottom w:w="55" w:type="dxa"/>
              <w:right w:w="55" w:type="dxa"/>
            </w:tcMar>
            <w:shd w:fill="273E50"/>
            <w:tcBorders>
              <w:top w:val="single" w:sz="4" w:color="D9D9D9"/>
              <w:left w:val="single" w:sz="4" w:color="D9D9D9"/>
              <w:bottom w:val="single" w:sz="4" w:color="D9D9D9"/>
              <w:right w:val="single" w:sz="4" w:color="D9D9D9"/>
            </w:tcBorders>
          </w:tcPr>
          <w:p>
            <w:pPr>
              <w:spacing w:after="0" w:line="259" w:lineRule="auto"/>
            </w:pPr>
            <w:r>
              <w:rPr>
                <w:rFonts w:ascii="Arial" w:hAnsi="Arial"/>
                <w:b/>
                <w:color w:val="FFFFFF"/>
                <w:sz w:val="14"/>
              </w:rPr>
              <w:t>Surveillance interval</w:t>
            </w:r>
          </w:p>
        </w:tc>
        <w:tc>
          <w:tcPr>
            <w:tcW w:type="dxa" w:w="1512"/>
            <w:vAlign w:val="center"/>
            <w:tcMar>
              <w:top w:w="55" w:type="dxa"/>
              <w:left w:w="55" w:type="dxa"/>
              <w:bottom w:w="55" w:type="dxa"/>
              <w:right w:w="55" w:type="dxa"/>
            </w:tcMar>
            <w:shd w:fill="273E50"/>
            <w:tcBorders>
              <w:top w:val="single" w:sz="4" w:color="D9D9D9"/>
              <w:left w:val="single" w:sz="4" w:color="D9D9D9"/>
              <w:bottom w:val="single" w:sz="4" w:color="D9D9D9"/>
              <w:right w:val="single" w:sz="4" w:color="D9D9D9"/>
            </w:tcBorders>
          </w:tcPr>
          <w:p>
            <w:pPr>
              <w:spacing w:after="0" w:line="259" w:lineRule="auto"/>
            </w:pPr>
            <w:r>
              <w:rPr>
                <w:rFonts w:ascii="Arial" w:hAnsi="Arial"/>
                <w:b/>
                <w:color w:val="FFFFFF"/>
                <w:sz w:val="14"/>
              </w:rPr>
              <w:t>Trigger</w:t>
            </w:r>
          </w:p>
        </w:tc>
        <w:tc>
          <w:tcPr>
            <w:tcW w:type="dxa" w:w="1440"/>
            <w:vAlign w:val="center"/>
            <w:tcMar>
              <w:top w:w="55" w:type="dxa"/>
              <w:left w:w="55" w:type="dxa"/>
              <w:bottom w:w="55" w:type="dxa"/>
              <w:right w:w="55" w:type="dxa"/>
            </w:tcMar>
            <w:shd w:fill="273E50"/>
            <w:tcBorders>
              <w:top w:val="single" w:sz="4" w:color="D9D9D9"/>
              <w:left w:val="single" w:sz="4" w:color="D9D9D9"/>
              <w:bottom w:val="single" w:sz="4" w:color="D9D9D9"/>
              <w:right w:val="single" w:sz="4" w:color="D9D9D9"/>
            </w:tcBorders>
          </w:tcPr>
          <w:p>
            <w:pPr>
              <w:spacing w:after="0" w:line="259" w:lineRule="auto"/>
            </w:pPr>
            <w:r>
              <w:rPr>
                <w:rFonts w:ascii="Arial" w:hAnsi="Arial"/>
                <w:b/>
                <w:color w:val="FFFFFF"/>
                <w:sz w:val="14"/>
              </w:rPr>
              <w:t>Destination</w:t>
            </w:r>
          </w:p>
        </w:tc>
        <w:tc>
          <w:tcPr>
            <w:tcW w:type="dxa" w:w="1512"/>
            <w:vAlign w:val="center"/>
            <w:tcMar>
              <w:top w:w="55" w:type="dxa"/>
              <w:left w:w="55" w:type="dxa"/>
              <w:bottom w:w="55" w:type="dxa"/>
              <w:right w:w="55" w:type="dxa"/>
            </w:tcMar>
            <w:shd w:fill="273E50"/>
            <w:tcBorders>
              <w:top w:val="single" w:sz="4" w:color="D9D9D9"/>
              <w:left w:val="single" w:sz="4" w:color="D9D9D9"/>
              <w:bottom w:val="single" w:sz="4" w:color="D9D9D9"/>
              <w:right w:val="single" w:sz="4" w:color="D9D9D9"/>
            </w:tcBorders>
          </w:tcPr>
          <w:p>
            <w:pPr>
              <w:spacing w:after="0" w:line="259" w:lineRule="auto"/>
            </w:pPr>
            <w:r>
              <w:rPr>
                <w:rFonts w:ascii="Arial" w:hAnsi="Arial"/>
                <w:b/>
                <w:color w:val="FFFFFF"/>
                <w:sz w:val="14"/>
              </w:rPr>
              <w:t>Response</w:t>
            </w:r>
          </w:p>
        </w:tc>
        <w:tc>
          <w:tcPr>
            <w:tcW w:type="dxa" w:w="1512"/>
            <w:vAlign w:val="center"/>
            <w:tcMar>
              <w:top w:w="55" w:type="dxa"/>
              <w:left w:w="55" w:type="dxa"/>
              <w:bottom w:w="55" w:type="dxa"/>
              <w:right w:w="55" w:type="dxa"/>
            </w:tcMar>
            <w:shd w:fill="273E50"/>
            <w:tcBorders>
              <w:top w:val="single" w:sz="4" w:color="D9D9D9"/>
              <w:left w:val="single" w:sz="4" w:color="D9D9D9"/>
              <w:bottom w:val="single" w:sz="4" w:color="D9D9D9"/>
              <w:right w:val="single" w:sz="4" w:color="D9D9D9"/>
            </w:tcBorders>
          </w:tcPr>
          <w:p>
            <w:pPr>
              <w:spacing w:after="0" w:line="259" w:lineRule="auto"/>
            </w:pPr>
            <w:r>
              <w:rPr>
                <w:rFonts w:ascii="Arial" w:hAnsi="Arial"/>
                <w:b/>
                <w:color w:val="FFFFFF"/>
                <w:sz w:val="14"/>
              </w:rPr>
              <w:t xml:space="preserve">Author-identified operational gap</w:t>
            </w:r>
          </w:p>
        </w:tc>
      </w:tr>
      <w:tr>
        <w:trPr>
          <w:cantSplit/>
        </w:trPr>
        <w:tc>
          <w:tcPr>
            <w:tcW w:type="dxa" w:w="129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15 IWGDF 2023</w:t>
            </w:r>
          </w:p>
        </w:tc>
        <w:tc>
          <w:tcPr>
            <w:tcW w:type="dxa" w:w="266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commentRangeStart w:id="5"/>
            <w:r>
              <w:rPr>
                <w:rFonts w:ascii="Arial" w:hAnsi="Arial"/>
                <w:b w:val="0"/>
                <w:color w:val="000000"/>
                <w:sz w:val="14"/>
              </w:rPr>
              <w:t>Rec 2: Extend foot risk screening for LOPS/PAD; classify prior ulcer/amputation, renal disease, deformity, callus and pre-ulceration.</w:t>
            </w:r>
            <w:commentRangeEnd w:id="5"/>
            <w:r>
              <w:commentReference w:id="5"/>
            </w:r>
          </w:p>
        </w:tc>
        <w:tc>
          <w:tcPr>
            <w:tcW w:type="dxa" w:w="165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Diabetes with LOPS or PAD</w:t>
            </w:r>
          </w:p>
        </w:tc>
        <w:tc>
          <w:tcPr>
            <w:tcW w:type="dxa" w:w="1253"/>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commentRangeStart w:id="4"/>
            <w:r>
              <w:rPr>
                <w:rFonts w:ascii="Arial" w:hAnsi="Arial"/>
                <w:b w:val="0"/>
                <w:color w:val="000000"/>
                <w:sz w:val="14"/>
              </w:rPr>
              <w:t xml:space="preserve">Strong; high (intervals based on expert opinion)</w:t>
            </w:r>
            <w:commentRangeEnd w:id="4"/>
            <w:r>
              <w:commentReference w:id="4"/>
            </w:r>
          </w:p>
        </w:tc>
        <w:tc>
          <w:tcPr>
            <w:tcW w:type="dxa" w:w="158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Risk 1: 6–12 mo; risk 2: 3–6 mo; risk 3: 1–3 mo</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New lesion or risk-state change</w:t>
            </w:r>
          </w:p>
        </w:tc>
        <w:tc>
          <w:tcPr>
            <w:tcW w:type="dxa" w:w="1440"/>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Trained foot clinician; integrated foot care for risk 2–3</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Reassess risk and treat identified lesion</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No named case owner or cross-event handoff.</w:t>
            </w:r>
          </w:p>
        </w:tc>
      </w:tr>
      <w:tr>
        <w:trPr>
          <w:cantSplit/>
        </w:trPr>
        <w:tc>
          <w:tcPr>
            <w:tcW w:type="dxa" w:w="129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15 IWGDF 2023</w:t>
            </w:r>
          </w:p>
        </w:tc>
        <w:tc>
          <w:tcPr>
            <w:tcW w:type="dxa" w:w="266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Rec 5: Teach daily foot examination and rapid contact for suspected pre-ulceration or ulceration.</w:t>
            </w:r>
          </w:p>
        </w:tc>
        <w:tc>
          <w:tcPr>
            <w:tcW w:type="dxa" w:w="165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Diabetes, IWGDF risk 1–3</w:t>
            </w:r>
          </w:p>
        </w:tc>
        <w:tc>
          <w:tcPr>
            <w:tcW w:type="dxa" w:w="1253"/>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Strong; low</w:t>
            </w:r>
          </w:p>
        </w:tc>
        <w:tc>
          <w:tcPr>
            <w:tcW w:type="dxa" w:w="158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Daily self-check; clinical response interval not defined</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Suspected (pre-)ulcerative lesion</w:t>
            </w:r>
          </w:p>
        </w:tc>
        <w:tc>
          <w:tcPr>
            <w:tcW w:type="dxa" w:w="1440"/>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Appropriately trained health professional</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Prompt advice and further assessment</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“Rapidly” has no measurable service response time.</w:t>
            </w:r>
          </w:p>
        </w:tc>
      </w:tr>
      <w:tr>
        <w:trPr>
          <w:cantSplit/>
        </w:trPr>
        <w:tc>
          <w:tcPr>
            <w:tcW w:type="dxa" w:w="129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15 IWGDF 2023</w:t>
            </w:r>
          </w:p>
        </w:tc>
        <w:tc>
          <w:tcPr>
            <w:tcW w:type="dxa" w:w="266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Rec 7: Consider daily plantar temperature self-monitoring; reduce walking and seek assessment after a sustained temperature asymmetry.</w:t>
            </w:r>
          </w:p>
        </w:tc>
        <w:tc>
          <w:tcPr>
            <w:tcW w:type="dxa" w:w="165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Diabetes, IWGDF risk 2–3</w:t>
            </w:r>
          </w:p>
        </w:tc>
        <w:tc>
          <w:tcPr>
            <w:tcW w:type="dxa" w:w="1253"/>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Conditional; moderate</w:t>
            </w:r>
          </w:p>
        </w:tc>
        <w:tc>
          <w:tcPr>
            <w:tcW w:type="dxa" w:w="158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Daily; threshold on 2 consecutive days</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Corresponding-site difference &gt;2.2°C (4°F) twice</w:t>
            </w:r>
          </w:p>
        </w:tc>
        <w:tc>
          <w:tcPr>
            <w:tcW w:type="dxa" w:w="1440"/>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Adequately trained health professional</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commentRangeStart w:id="6"/>
            <w:r>
              <w:rPr>
                <w:rFonts w:ascii="Arial" w:hAnsi="Arial"/>
                <w:b w:val="0"/>
                <w:color w:val="000000"/>
                <w:sz w:val="14"/>
              </w:rPr>
              <w:t>Reduce ambulatory activity; diagnosis and treatment</w:t>
            </w:r>
            <w:commentRangeEnd w:id="6"/>
            <w:r>
              <w:commentReference w:id="6"/>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No alert receiver, appointment deadline or closed-loop acknowledgement.</w:t>
            </w:r>
          </w:p>
        </w:tc>
      </w:tr>
      <w:tr>
        <w:trPr>
          <w:cantSplit/>
        </w:trPr>
        <w:tc>
          <w:tcPr>
            <w:tcW w:type="dxa" w:w="129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15 IWGDF 2023</w:t>
            </w:r>
          </w:p>
        </w:tc>
        <w:tc>
          <w:tcPr>
            <w:tcW w:type="dxa" w:w="266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Rec 8c: Prescribe therapeutic footwear with a demonstrated plantar pressure-relieving effect during walking; encourage consistent wear indoors and outdoors.</w:t>
            </w:r>
          </w:p>
        </w:tc>
        <w:tc>
          <w:tcPr>
            <w:tcW w:type="dxa" w:w="165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Diabetes with healed plantar foot ulcer (IWGDF risk 3)</w:t>
            </w:r>
          </w:p>
        </w:tc>
        <w:tc>
          <w:tcPr>
            <w:tcW w:type="dxa" w:w="1253"/>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Strong; moderate</w:t>
            </w:r>
          </w:p>
        </w:tc>
        <w:tc>
          <w:tcPr>
            <w:tcW w:type="dxa" w:w="158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Not specified</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commentRangeStart w:id="7"/>
            <w:r>
              <w:rPr>
                <w:rFonts w:ascii="Arial" w:hAnsi="Arial"/>
                <w:b w:val="0"/>
                <w:color w:val="000000"/>
                <w:sz w:val="14"/>
              </w:rPr>
              <w:t xml:space="preserve">Healed plantar ulcer (entry into remission)</w:t>
            </w:r>
            <w:commentRangeEnd w:id="7"/>
            <w:r>
              <w:commentReference w:id="7"/>
            </w:r>
          </w:p>
        </w:tc>
        <w:tc>
          <w:tcPr>
            <w:tcW w:type="dxa" w:w="1440"/>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Not specified</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Prescribe pressure-relieving footwear; encourage consistent wear</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Footwear review interval and adherence monitoring not specified.</w:t>
            </w:r>
          </w:p>
        </w:tc>
      </w:tr>
      <w:tr>
        <w:trPr>
          <w:cantSplit/>
        </w:trPr>
        <w:tc>
          <w:tcPr>
            <w:tcW w:type="dxa" w:w="129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15 IWGDF 2023</w:t>
            </w:r>
          </w:p>
        </w:tc>
        <w:tc>
          <w:tcPr>
            <w:tcW w:type="dxa" w:w="266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Rec 9: Provide appropriate treatment for any pre-ulcerative lesion, excess callus, ingrown toenail or fungal infection of the foot.</w:t>
            </w:r>
          </w:p>
        </w:tc>
        <w:tc>
          <w:tcPr>
            <w:tcW w:type="dxa" w:w="165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Diabetes, IWGDF risk 1–3</w:t>
            </w:r>
          </w:p>
        </w:tc>
        <w:tc>
          <w:tcPr>
            <w:tcW w:type="dxa" w:w="1253"/>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Strong; very low</w:t>
            </w:r>
          </w:p>
        </w:tc>
        <w:tc>
          <w:tcPr>
            <w:tcW w:type="dxa" w:w="158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Not specified</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Pre-ulcerative lesion, excess callus, ingrown toenail or fungal infection</w:t>
            </w:r>
          </w:p>
        </w:tc>
        <w:tc>
          <w:tcPr>
            <w:tcW w:type="dxa" w:w="1440"/>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Not specified</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Treat the lesion or condition</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No response time for treating a pre-ulcerative lesion.</w:t>
            </w:r>
          </w:p>
        </w:tc>
      </w:tr>
      <w:tr>
        <w:trPr>
          <w:cantSplit/>
        </w:trPr>
        <w:tc>
          <w:tcPr>
            <w:tcW w:type="dxa" w:w="129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15 IWGDF 2023</w:t>
            </w:r>
          </w:p>
        </w:tc>
        <w:tc>
          <w:tcPr>
            <w:tcW w:type="dxa" w:w="266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Rec 14: Provide integrated professional foot care, footwear and structured self-care education.</w:t>
            </w:r>
          </w:p>
        </w:tc>
        <w:tc>
          <w:tcPr>
            <w:tcW w:type="dxa" w:w="165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Diabetes, IWGDF risk 2–3</w:t>
            </w:r>
          </w:p>
        </w:tc>
        <w:tc>
          <w:tcPr>
            <w:tcW w:type="dxa" w:w="1253"/>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Strong; low</w:t>
            </w:r>
          </w:p>
        </w:tc>
        <w:tc>
          <w:tcPr>
            <w:tcW w:type="dxa" w:w="158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commentRangeStart w:id="8"/>
            <w:r>
              <w:rPr>
                <w:rFonts w:ascii="Arial" w:hAnsi="Arial"/>
                <w:b w:val="0"/>
                <w:color w:val="000000"/>
                <w:sz w:val="14"/>
              </w:rPr>
              <w:t>Risk 3: every 1–3 mo; risk 2: every 3–6 mo as needed</w:t>
            </w:r>
            <w:commentRangeEnd w:id="8"/>
            <w:r>
              <w:commentReference w:id="8"/>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Routine reassessment or emerging lesion</w:t>
            </w:r>
          </w:p>
        </w:tc>
        <w:tc>
          <w:tcPr>
            <w:tcW w:type="dxa" w:w="1440"/>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Integrated foot-care service</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Preventive care and reassess need</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No linkage to vascular or amputation rehabilitation follow-up.</w:t>
            </w:r>
          </w:p>
        </w:tc>
      </w:tr>
      <w:tr>
        <w:trPr>
          <w:cantSplit/>
        </w:trPr>
        <w:tc>
          <w:tcPr>
            <w:tcW w:type="dxa" w:w="129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commentRangeStart w:id="0"/>
            <w:r>
              <w:rPr>
                <w:rFonts w:ascii="Arial" w:hAnsi="Arial"/>
                <w:b w:val="0"/>
                <w:color w:val="000000"/>
                <w:sz w:val="14"/>
              </w:rPr>
              <w:t>16 NICE NG19</w:t>
            </w:r>
            <w:commentRangeEnd w:id="0"/>
            <w:r>
              <w:commentReference w:id="0"/>
            </w:r>
          </w:p>
        </w:tc>
        <w:tc>
          <w:tcPr>
            <w:tcW w:type="dxa" w:w="266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Risk-based foot protection follow-up, with more frequent review at high risk.</w:t>
            </w:r>
          </w:p>
        </w:tc>
        <w:tc>
          <w:tcPr>
            <w:tcW w:type="dxa" w:w="165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People with diabetes at moderate/high risk</w:t>
            </w:r>
          </w:p>
        </w:tc>
        <w:tc>
          <w:tcPr>
            <w:tcW w:type="dxa" w:w="1253"/>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NICE recommendation; no class/LOE</w:t>
            </w:r>
          </w:p>
        </w:tc>
        <w:tc>
          <w:tcPr>
            <w:tcW w:type="dxa" w:w="158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commentRangeStart w:id="9"/>
            <w:r>
              <w:rPr>
                <w:rFonts w:ascii="Arial" w:hAnsi="Arial"/>
                <w:b w:val="0"/>
                <w:color w:val="000000"/>
                <w:sz w:val="14"/>
              </w:rPr>
              <w:t>High risk, e.g., 1–2 mo if no immediate concern; individualize</w:t>
            </w:r>
            <w:commentRangeEnd w:id="9"/>
            <w:r>
              <w:commentReference w:id="9"/>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Risk classification; deterioration</w:t>
            </w:r>
          </w:p>
        </w:tc>
        <w:tc>
          <w:tcPr>
            <w:tcW w:type="dxa" w:w="1440"/>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Foot protection service</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Review care plan and preventive treatment</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No single owner spanning subsequent limb events.</w:t>
            </w:r>
          </w:p>
        </w:tc>
      </w:tr>
      <w:tr>
        <w:trPr>
          <w:cantSplit/>
        </w:trPr>
        <w:tc>
          <w:tcPr>
            <w:tcW w:type="dxa" w:w="129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16 NICE NG19</w:t>
            </w:r>
          </w:p>
        </w:tc>
        <w:tc>
          <w:tcPr>
            <w:tcW w:type="dxa" w:w="266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Immediate acute referral for limb- or life-threatening active diabetic foot problem; inform foot MDT.</w:t>
            </w:r>
          </w:p>
        </w:tc>
        <w:tc>
          <w:tcPr>
            <w:tcW w:type="dxa" w:w="165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Active diabetic foot problem with severe threat</w:t>
            </w:r>
          </w:p>
        </w:tc>
        <w:tc>
          <w:tcPr>
            <w:tcW w:type="dxa" w:w="1253"/>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NICE recommendation; no class/LOE</w:t>
            </w:r>
          </w:p>
        </w:tc>
        <w:tc>
          <w:tcPr>
            <w:tcW w:type="dxa" w:w="158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Immediate</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Limb- or life-threatening problem</w:t>
            </w:r>
          </w:p>
        </w:tc>
        <w:tc>
          <w:tcPr>
            <w:tcW w:type="dxa" w:w="1440"/>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Acute services and multidisciplinary foot-care service</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Assessment and individualized treatment plan</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Does not prescribe a post-discharge re-entry loop.</w:t>
            </w:r>
          </w:p>
        </w:tc>
      </w:tr>
      <w:tr>
        <w:trPr>
          <w:cantSplit/>
        </w:trPr>
        <w:tc>
          <w:tcPr>
            <w:tcW w:type="dxa" w:w="129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16 NICE NG19</w:t>
            </w:r>
          </w:p>
        </w:tc>
        <w:tc>
          <w:tcPr>
            <w:tcW w:type="dxa" w:w="266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Refer other active diabetic foot problems to specialist foot service for triage.</w:t>
            </w:r>
          </w:p>
        </w:tc>
        <w:tc>
          <w:tcPr>
            <w:tcW w:type="dxa" w:w="165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Other active diabetic foot problems</w:t>
            </w:r>
          </w:p>
        </w:tc>
        <w:tc>
          <w:tcPr>
            <w:tcW w:type="dxa" w:w="1253"/>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NICE recommendation; no class/LOE</w:t>
            </w:r>
          </w:p>
        </w:tc>
        <w:tc>
          <w:tcPr>
            <w:tcW w:type="dxa" w:w="158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Referral ≤1 working day; triage ≤1 further working day</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New active foot problem</w:t>
            </w:r>
          </w:p>
        </w:tc>
        <w:tc>
          <w:tcPr>
            <w:tcW w:type="dxa" w:w="1440"/>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Multidisciplinary foot-care or foot protection service</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Triage and care plan</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No explicit closed-loop confirmation of completed assessment.</w:t>
            </w:r>
          </w:p>
        </w:tc>
      </w:tr>
      <w:tr>
        <w:trPr>
          <w:cantSplit/>
        </w:trPr>
        <w:tc>
          <w:tcPr>
            <w:tcW w:type="dxa" w:w="129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17 ACC/AHA 2024</w:t>
            </w:r>
          </w:p>
        </w:tc>
        <w:tc>
          <w:tcPr>
            <w:tcW w:type="dxa" w:w="266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§12: Longitudinal clinical evaluation of symptoms, function, pulses, feet and risk-factor management.</w:t>
            </w:r>
          </w:p>
        </w:tc>
        <w:tc>
          <w:tcPr>
            <w:tcW w:type="dxa" w:w="165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PAD with or without revascularization</w:t>
            </w:r>
          </w:p>
        </w:tc>
        <w:tc>
          <w:tcPr>
            <w:tcW w:type="dxa" w:w="1253"/>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Class 1; C-EO</w:t>
            </w:r>
          </w:p>
        </w:tc>
        <w:tc>
          <w:tcPr>
            <w:tcW w:type="dxa" w:w="158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Periodic; exact interval not set</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Routine follow-up or symptom change</w:t>
            </w:r>
          </w:p>
        </w:tc>
        <w:tc>
          <w:tcPr>
            <w:tcW w:type="dxa" w:w="1440"/>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Vascular/PAD clinician and coordinated care team</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Evaluate limb and cardiovascular risk</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Responsible responder and cross-service escalation timing unspecified.</w:t>
            </w:r>
          </w:p>
        </w:tc>
      </w:tr>
      <w:tr>
        <w:trPr>
          <w:cantSplit/>
        </w:trPr>
        <w:tc>
          <w:tcPr>
            <w:tcW w:type="dxa" w:w="129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17 ACC/AHA 2024</w:t>
            </w:r>
          </w:p>
        </w:tc>
        <w:tc>
          <w:tcPr>
            <w:tcW w:type="dxa" w:w="266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§12: Examine symptoms, pulses and feet after revascularization; obtain ABI plus duplex for new signs/symptoms.</w:t>
            </w:r>
          </w:p>
        </w:tc>
        <w:tc>
          <w:tcPr>
            <w:tcW w:type="dxa" w:w="165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PAD after surgical/endovascular revascularization</w:t>
            </w:r>
          </w:p>
        </w:tc>
        <w:tc>
          <w:tcPr>
            <w:tcW w:type="dxa" w:w="1253"/>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commentRangeStart w:id="10"/>
            <w:r>
              <w:rPr>
                <w:rFonts w:ascii="Arial" w:hAnsi="Arial"/>
                <w:b w:val="0"/>
                <w:color w:val="000000"/>
                <w:sz w:val="14"/>
              </w:rPr>
              <w:t>Class 1; C-LD (both)</w:t>
            </w:r>
            <w:commentRangeEnd w:id="10"/>
            <w:r>
              <w:commentReference w:id="10"/>
            </w:r>
          </w:p>
        </w:tc>
        <w:tc>
          <w:tcPr>
            <w:tcW w:type="dxa" w:w="158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Periodic clinical follow-up; testing when symptoms/signs arise</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New lower-limb signs or symptoms</w:t>
            </w:r>
          </w:p>
        </w:tc>
        <w:tc>
          <w:tcPr>
            <w:tcW w:type="dxa" w:w="1440"/>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Treating vascular service</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ABI and arterial duplex evaluation</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No maximum time from patient trigger to testing.</w:t>
            </w:r>
          </w:p>
        </w:tc>
      </w:tr>
      <w:tr>
        <w:trPr>
          <w:cantSplit/>
        </w:trPr>
        <w:tc>
          <w:tcPr>
            <w:tcW w:type="dxa" w:w="129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17 ACC/AHA 2024</w:t>
            </w:r>
          </w:p>
        </w:tc>
        <w:tc>
          <w:tcPr>
            <w:tcW w:type="dxa" w:w="266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§12: ABI and duplex surveillance after infrainguinal autogenous vein bypass in asymptomatic patients.</w:t>
            </w:r>
          </w:p>
        </w:tc>
        <w:tc>
          <w:tcPr>
            <w:tcW w:type="dxa" w:w="165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PAD after autogenous infrainguinal vein bypass</w:t>
            </w:r>
          </w:p>
        </w:tc>
        <w:tc>
          <w:tcPr>
            <w:tcW w:type="dxa" w:w="1253"/>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Class 2a; B-R</w:t>
            </w:r>
          </w:p>
        </w:tc>
        <w:tc>
          <w:tcPr>
            <w:tcW w:type="dxa" w:w="158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1–3 mo, 6 mo, 12 mo, then annually</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Scheduled surveillance or abnormal test</w:t>
            </w:r>
          </w:p>
        </w:tc>
        <w:tc>
          <w:tcPr>
            <w:tcW w:type="dxa" w:w="1440"/>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Vascular surveillance service</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Review ABI/duplex; act on clinically significant findings</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No universal action deadline or linkage to foot/rehab pathways.</w:t>
            </w:r>
          </w:p>
        </w:tc>
      </w:tr>
      <w:tr>
        <w:trPr>
          <w:cantSplit/>
        </w:trPr>
        <w:tc>
          <w:tcPr>
            <w:tcW w:type="dxa" w:w="129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17 ACC/AHA 2024</w:t>
            </w:r>
          </w:p>
        </w:tc>
        <w:tc>
          <w:tcPr>
            <w:tcW w:type="dxa" w:w="266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commentRangeStart w:id="11"/>
            <w:r>
              <w:rPr>
                <w:rFonts w:ascii="Arial" w:hAnsi="Arial"/>
                <w:b w:val="0"/>
                <w:color w:val="000000"/>
                <w:sz w:val="14"/>
              </w:rPr>
              <w:t>§12: ABI and duplex surveillance after endovascular treatment may be reasonable, with a weaker evidence base.</w:t>
            </w:r>
            <w:commentRangeEnd w:id="11"/>
            <w:r>
              <w:commentReference w:id="11"/>
            </w:r>
          </w:p>
        </w:tc>
        <w:tc>
          <w:tcPr>
            <w:tcW w:type="dxa" w:w="165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PAD after endovascular revascularization</w:t>
            </w:r>
          </w:p>
        </w:tc>
        <w:tc>
          <w:tcPr>
            <w:tcW w:type="dxa" w:w="1253"/>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Class 2a; C-LD</w:t>
            </w:r>
          </w:p>
        </w:tc>
        <w:tc>
          <w:tcPr>
            <w:tcW w:type="dxa" w:w="158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1–3 mo, 6 mo, 12 mo, then annually</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Scheduled surveillance or abnormal test</w:t>
            </w:r>
          </w:p>
        </w:tc>
        <w:tc>
          <w:tcPr>
            <w:tcW w:type="dxa" w:w="1440"/>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Vascular surveillance service</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Review ABI/duplex and clinical context</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Benefit and optimal surveillance frequency remain uncertain.</w:t>
            </w:r>
          </w:p>
        </w:tc>
      </w:tr>
      <w:tr>
        <w:trPr>
          <w:cantSplit/>
        </w:trPr>
        <w:tc>
          <w:tcPr>
            <w:tcW w:type="dxa" w:w="129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17 ACC/AHA 2024</w:t>
            </w:r>
          </w:p>
        </w:tc>
        <w:tc>
          <w:tcPr>
            <w:tcW w:type="dxa" w:w="266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§12 Rec 9: The effectiveness of ABI and duplex surveillance after infrainguinal prosthetic bypass without new signs or symptoms is uncertain.</w:t>
            </w:r>
          </w:p>
        </w:tc>
        <w:tc>
          <w:tcPr>
            <w:tcW w:type="dxa" w:w="165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PAD after infrainguinal prosthetic bypass</w:t>
            </w:r>
          </w:p>
        </w:tc>
        <w:tc>
          <w:tcPr>
            <w:tcW w:type="dxa" w:w="1253"/>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Class 2b; B-NR</w:t>
            </w:r>
          </w:p>
        </w:tc>
        <w:tc>
          <w:tcPr>
            <w:tcW w:type="dxa" w:w="158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No routine surveillance interval set</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New signs or symptoms (§12 Rec 6 applies)</w:t>
            </w:r>
          </w:p>
        </w:tc>
        <w:tc>
          <w:tcPr>
            <w:tcW w:type="dxa" w:w="1440"/>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Not specified</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ABI and duplex when signs or symptoms arise</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Value of routine asymptomatic surveillance uncertain.</w:t>
            </w:r>
          </w:p>
        </w:tc>
      </w:tr>
      <w:tr>
        <w:trPr>
          <w:cantSplit/>
        </w:trPr>
        <w:tc>
          <w:tcPr>
            <w:tcW w:type="dxa" w:w="129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17 ACC/AHA 2024</w:t>
            </w:r>
          </w:p>
        </w:tc>
        <w:tc>
          <w:tcPr>
            <w:tcW w:type="dxa" w:w="266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commentRangeStart w:id="12"/>
            <w:r>
              <w:t xml:space="preserve">§10.3.4 Rec 4: After minor (inframalleolar) amputation for CLTI, a customized follow-up program (local wound care, pressure offloading, serial evaluation of foot biomechanics, therapeutic footwear) is recommended to prevent wound recurrence. Supportive text: a designated member of the multispecialty team should lead longitudinal follow-up.</w:t>
            </w:r>
            <w:commentRangeEnd w:id="12"/>
            <w:r>
              <w:commentReference w:id="12"/>
            </w:r>
          </w:p>
        </w:tc>
        <w:tc>
          <w:tcPr>
            <w:tcW w:type="dxa" w:w="165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CLTI after minor amputation</w:t>
            </w:r>
          </w:p>
        </w:tc>
        <w:tc>
          <w:tcPr>
            <w:tcW w:type="dxa" w:w="1253"/>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Class 1; C-EO (designated role from supportive text, not graded)</w:t>
            </w:r>
          </w:p>
        </w:tc>
        <w:tc>
          <w:tcPr>
            <w:tcW w:type="dxa" w:w="158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Not specified</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Risk of wound recurrence after minor amputation</w:t>
            </w:r>
          </w:p>
        </w:tc>
        <w:tc>
          <w:tcPr>
            <w:tcW w:type="dxa" w:w="1440"/>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Designated member of the multispecialty care team</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Wound care, offloading, biomechanical review and footwear</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t xml:space="preserve">Owner named, but no follow-up interval or escalation deadline.</w:t>
            </w:r>
          </w:p>
        </w:tc>
      </w:tr>
      <w:tr>
        <w:trPr>
          <w:cantSplit/>
        </w:trPr>
        <w:tc>
          <w:tcPr>
            <w:tcW w:type="dxa" w:w="129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commentRangeStart w:id="1"/>
            <w:r>
              <w:rPr>
                <w:rFonts w:ascii="Arial" w:hAnsi="Arial"/>
                <w:b w:val="0"/>
                <w:color w:val="000000"/>
                <w:sz w:val="14"/>
              </w:rPr>
              <w:t>18 ESC 2024</w:t>
            </w:r>
            <w:commentRangeEnd w:id="1"/>
            <w:r>
              <w:commentReference w:id="1"/>
            </w:r>
          </w:p>
        </w:tc>
        <w:tc>
          <w:tcPr>
            <w:tcW w:type="dxa" w:w="266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Lower-limb PAD follow-up: clinical review, ABI and duplex after revascularization; bypass follow-up described at set intervals.</w:t>
            </w:r>
          </w:p>
        </w:tc>
        <w:tc>
          <w:tcPr>
            <w:tcW w:type="dxa" w:w="165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PAD after lower-limb revascularization</w:t>
            </w:r>
          </w:p>
        </w:tc>
        <w:tc>
          <w:tcPr>
            <w:tcW w:type="dxa" w:w="1253"/>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Narrative follow-up text; class/LOE not assigned here</w:t>
            </w:r>
          </w:p>
        </w:tc>
        <w:tc>
          <w:tcPr>
            <w:tcW w:type="dxa" w:w="158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After bypass: 4–6 wk, then 3, 6, 12, 24 mo</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New symptoms or abnormal ABI/duplex</w:t>
            </w:r>
          </w:p>
        </w:tc>
        <w:tc>
          <w:tcPr>
            <w:tcW w:type="dxa" w:w="1440"/>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Vascular service</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Evaluate patency and limb status</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Specified bypass schedule is not a general all-event survivorship schedule.</w:t>
            </w:r>
          </w:p>
        </w:tc>
      </w:tr>
      <w:tr>
        <w:trPr>
          <w:cantSplit/>
        </w:trPr>
        <w:tc>
          <w:tcPr>
            <w:tcW w:type="dxa" w:w="129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19 GVG 2019</w:t>
            </w:r>
          </w:p>
        </w:tc>
        <w:tc>
          <w:tcPr>
            <w:tcW w:type="dxa" w:w="266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Rec 9.7: Continue to observe CLTI patients who have undergone amputation at least yearly to monitor contralateral-limb disease and maintain optimal medical therapy and risk-factor management.</w:t>
            </w:r>
          </w:p>
        </w:tc>
        <w:tc>
          <w:tcPr>
            <w:tcW w:type="dxa" w:w="165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CLTI after amputation</w:t>
            </w:r>
          </w:p>
        </w:tc>
        <w:tc>
          <w:tcPr>
            <w:tcW w:type="dxa" w:w="1253"/>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1 (strong); C (low)</w:t>
            </w:r>
          </w:p>
        </w:tc>
        <w:tc>
          <w:tcPr>
            <w:tcW w:type="dxa" w:w="158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At least yearly</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Routine review; contralateral disease progression</w:t>
            </w:r>
          </w:p>
        </w:tc>
        <w:tc>
          <w:tcPr>
            <w:tcW w:type="dxa" w:w="1440"/>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Not specified</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Monitor contralateral limb; optimize medical therapy and risk factors</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rPr/>
            </w:pPr>
            <w:r>
              <w:rPr>
                <w:rFonts w:ascii="Arial" w:hAnsi="Arial"/>
                <w:b w:val="0"/>
                <w:color w:val="000000"/>
                <w:sz w:val="14"/>
              </w:rPr>
              <w:t xml:space="preserve">Examination content and escalation route for contralateral findings not specified.</w:t>
            </w:r>
          </w:p>
        </w:tc>
      </w:tr>
      <w:tr>
        <w:trPr>
          <w:cantSplit/>
        </w:trPr>
        <w:tc>
          <w:tcPr>
            <w:tcW w:type="dxa" w:w="129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19 GVG 2019</w:t>
            </w:r>
          </w:p>
        </w:tc>
        <w:tc>
          <w:tcPr>
            <w:tcW w:type="dxa" w:w="266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Rec 10.6–10.8: Clinical and hemodynamic surveillance after CLTI revascularization; consider duplex for vein grafts.</w:t>
            </w:r>
          </w:p>
        </w:tc>
        <w:tc>
          <w:tcPr>
            <w:tcW w:type="dxa" w:w="165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CLTI after vein/prosthetic bypass or infrainguinal endovascular treatment</w:t>
            </w:r>
          </w:p>
        </w:tc>
        <w:tc>
          <w:tcPr>
            <w:tcW w:type="dxa" w:w="1253"/>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commentRangeStart w:id="13"/>
            <w:r>
              <w:rPr>
                <w:rFonts w:ascii="Arial" w:hAnsi="Arial"/>
                <w:b w:val="0"/>
                <w:color w:val="000000"/>
                <w:sz w:val="14"/>
              </w:rPr>
              <w:t>Good practice statements; no graded LOE</w:t>
            </w:r>
            <w:commentRangeEnd w:id="13"/>
            <w:r>
              <w:commentReference w:id="13"/>
            </w:r>
          </w:p>
        </w:tc>
        <w:tc>
          <w:tcPr>
            <w:tcW w:type="dxa" w:w="158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Regularly for ≥2 y after bypass; endovascular interval not specified</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Symptoms, pulse changes, pressure deterioration</w:t>
            </w:r>
          </w:p>
        </w:tc>
        <w:tc>
          <w:tcPr>
            <w:tcW w:type="dxa" w:w="1440"/>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Vascular surveillance service</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History, pulses, ankle/toe pressures; duplex when indicated</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“Regularly” does not define a visit schedule or responder deadline.</w:t>
            </w:r>
          </w:p>
        </w:tc>
      </w:tr>
      <w:tr>
        <w:trPr>
          <w:cantSplit/>
        </w:trPr>
        <w:tc>
          <w:tcPr>
            <w:tcW w:type="dxa" w:w="129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19 GVG 2019</w:t>
            </w:r>
          </w:p>
        </w:tc>
        <w:tc>
          <w:tcPr>
            <w:tcW w:type="dxa" w:w="266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commentRangeStart w:id="14"/>
            <w:r>
              <w:rPr>
                <w:rFonts w:ascii="Arial" w:hAnsi="Arial"/>
                <w:b w:val="0"/>
                <w:color w:val="000000"/>
                <w:sz w:val="14"/>
              </w:rPr>
              <w:t>Rec 10.9–10.10: Image symptomatic/suspected vein-graft stenosis and offer intervention at specified duplex thresholds.</w:t>
            </w:r>
            <w:commentRangeEnd w:id="14"/>
            <w:r>
              <w:commentReference w:id="14"/>
            </w:r>
          </w:p>
        </w:tc>
        <w:tc>
          <w:tcPr>
            <w:tcW w:type="dxa" w:w="165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CLTI after lower-limb vein bypass</w:t>
            </w:r>
          </w:p>
        </w:tc>
        <w:tc>
          <w:tcPr>
            <w:tcW w:type="dxa" w:w="1253"/>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10.9 good practice; 10.10 strong, B (moderate)</w:t>
            </w:r>
          </w:p>
        </w:tc>
        <w:tc>
          <w:tcPr>
            <w:tcW w:type="dxa" w:w="158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Triggered; no fixed response deadline</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ABI drop ≥0.15 with symptoms/pulse change; PSV &gt;300 cm/s and ratio &gt;3.5, or midgraft PSV &lt;45 cm/s</w:t>
            </w:r>
          </w:p>
        </w:tc>
        <w:tc>
          <w:tcPr>
            <w:tcW w:type="dxa" w:w="1440"/>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Vascular imaging/intervention service</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Additional imaging; offer intervention for qualifying lesion</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No time-to-contact, imaging or intervention target.</w:t>
            </w:r>
          </w:p>
        </w:tc>
      </w:tr>
      <w:tr>
        <w:trPr>
          <w:cantSplit/>
        </w:trPr>
        <w:tc>
          <w:tcPr>
            <w:tcW w:type="dxa" w:w="129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20 Venermo 2019</w:t>
            </w:r>
          </w:p>
        </w:tc>
        <w:tc>
          <w:tcPr>
            <w:tcW w:type="dxa" w:w="266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Consensus surveillance after infrainguinal vein bypass: clinical examination, ABI/toe pressure and duplex.</w:t>
            </w:r>
          </w:p>
        </w:tc>
        <w:tc>
          <w:tcPr>
            <w:tcW w:type="dxa" w:w="165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Lower-limb PAD after vein bypass, especially CLTI</w:t>
            </w:r>
          </w:p>
        </w:tc>
        <w:tc>
          <w:tcPr>
            <w:tcW w:type="dxa" w:w="1253"/>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Consensus; no formal class/LOE</w:t>
            </w:r>
          </w:p>
        </w:tc>
        <w:tc>
          <w:tcPr>
            <w:tcW w:type="dxa" w:w="158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commentRangeStart w:id="15"/>
            <w:r>
              <w:rPr>
                <w:rFonts w:ascii="Arial" w:hAnsi="Arial"/>
                <w:b w:val="0"/>
                <w:color w:val="000000"/>
                <w:sz w:val="14"/>
              </w:rPr>
              <w:t>First test 4–6 wk; then 3, 6, 12, 24 mo; lifelong clinical review</w:t>
            </w:r>
            <w:commentRangeEnd w:id="15"/>
            <w:r>
              <w:commentReference w:id="15"/>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Symptoms, hemodynamic or duplex abnormality</w:t>
            </w:r>
          </w:p>
        </w:tc>
        <w:tc>
          <w:tcPr>
            <w:tcW w:type="dxa" w:w="1440"/>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Vascular follow-up team</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Reassess patency; consider angiography and reintervention</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No explicit patient alert channel or closed-loop tracking.</w:t>
            </w:r>
          </w:p>
        </w:tc>
      </w:tr>
      <w:tr>
        <w:trPr>
          <w:cantSplit/>
        </w:trPr>
        <w:tc>
          <w:tcPr>
            <w:tcW w:type="dxa" w:w="129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20 Venermo 2019</w:t>
            </w:r>
          </w:p>
        </w:tc>
        <w:tc>
          <w:tcPr>
            <w:tcW w:type="dxa" w:w="266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Consensus follow-up after lower-limb endovascular treatment: initial duplex; repeat imaging for recurrent symptoms or an abnormal initial study.</w:t>
            </w:r>
          </w:p>
        </w:tc>
        <w:tc>
          <w:tcPr>
            <w:tcW w:type="dxa" w:w="165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Lower-limb PAD after endovascular treatment</w:t>
            </w:r>
          </w:p>
        </w:tc>
        <w:tc>
          <w:tcPr>
            <w:tcW w:type="dxa" w:w="1253"/>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Consensus; no formal class/LOE</w:t>
            </w:r>
          </w:p>
        </w:tc>
        <w:tc>
          <w:tcPr>
            <w:tcW w:type="dxa" w:w="158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Initial duplex between discharge and 1 mo; no routine annual duplex when asymptomatic</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Recurrent symptoms or abnormal initial duplex</w:t>
            </w:r>
          </w:p>
        </w:tc>
        <w:tc>
          <w:tcPr>
            <w:tcW w:type="dxa" w:w="1440"/>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Vascular service</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Discuss repeat duplex or reintervention case by case</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No standardized urgent response interval or cross-event handoff.</w:t>
            </w:r>
          </w:p>
        </w:tc>
      </w:tr>
      <w:tr>
        <w:trPr>
          <w:cantSplit/>
        </w:trPr>
        <w:tc>
          <w:tcPr>
            <w:tcW w:type="dxa" w:w="129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21 VA/DoD 2024</w:t>
            </w:r>
          </w:p>
        </w:tc>
        <w:tc>
          <w:tcPr>
            <w:tcW w:type="dxa" w:w="266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commentRangeStart w:id="16"/>
            <w:r>
              <w:rPr>
                <w:rFonts w:ascii="Arial" w:hAnsi="Arial"/>
                <w:b w:val="0"/>
                <w:color w:val="000000"/>
                <w:sz w:val="14"/>
              </w:rPr>
              <w:t>Rec 20: Use patient-reported and performance-based measures with acceptable psychometric properties to assess function.</w:t>
            </w:r>
            <w:commentRangeEnd w:id="16"/>
            <w:r>
              <w:commentReference w:id="16"/>
            </w:r>
          </w:p>
        </w:tc>
        <w:tc>
          <w:tcPr>
            <w:tcW w:type="dxa" w:w="1656"/>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Adults with lower-limb amputation</w:t>
            </w:r>
          </w:p>
        </w:tc>
        <w:tc>
          <w:tcPr>
            <w:tcW w:type="dxa" w:w="1253"/>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Weak for; amended, not newly reviewed</w:t>
            </w:r>
          </w:p>
        </w:tc>
        <w:tc>
          <w:tcPr>
            <w:tcW w:type="dxa" w:w="1584"/>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Periodic during rehabilitation; no fixed interval in rec</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Functional reassessment or change in goals</w:t>
            </w:r>
          </w:p>
        </w:tc>
        <w:tc>
          <w:tcPr>
            <w:tcW w:type="dxa" w:w="1440"/>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Amputation rehabilitation team</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Measure function and adjust rehabilitation plan</w:t>
            </w:r>
          </w:p>
        </w:tc>
        <w:tc>
          <w:tcPr>
            <w:tcW w:type="dxa" w:w="1512"/>
            <w:vAlign w:val="center"/>
            <w:tcMar>
              <w:top w:w="55" w:type="dxa"/>
              <w:left w:w="55" w:type="dxa"/>
              <w:bottom w:w="55" w:type="dxa"/>
              <w:right w:w="55" w:type="dxa"/>
            </w:tcMar>
            <w:shd w:fill="FFFFFF"/>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No trigger-to-response specification across services.</w:t>
            </w:r>
          </w:p>
        </w:tc>
      </w:tr>
      <w:tr>
        <w:trPr>
          <w:cantSplit/>
        </w:trPr>
        <w:tc>
          <w:tcPr>
            <w:tcW w:type="dxa" w:w="129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21 VA/DoD 2024</w:t>
            </w:r>
          </w:p>
        </w:tc>
        <w:tc>
          <w:tcPr>
            <w:tcW w:type="dxa" w:w="266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commentRangeStart w:id="2"/>
            <w:r>
              <w:rPr>
                <w:rFonts w:ascii="Arial" w:hAnsi="Arial"/>
                <w:b w:val="0"/>
                <w:color w:val="000000"/>
                <w:sz w:val="14"/>
              </w:rPr>
              <w:t>Care algorithm: refer high contralateral-limb risk for foot evaluation; otherwise actively facilitate annual ACT follow-up.</w:t>
            </w:r>
            <w:commentRangeEnd w:id="2"/>
            <w:r>
              <w:commentReference w:id="2"/>
            </w:r>
          </w:p>
        </w:tc>
        <w:tc>
          <w:tcPr>
            <w:tcW w:type="dxa" w:w="1656"/>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Adults after lower-limb amputation</w:t>
            </w:r>
          </w:p>
        </w:tc>
        <w:tc>
          <w:tcPr>
            <w:tcW w:type="dxa" w:w="1253"/>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Algorithm step; not separately graded</w:t>
            </w:r>
          </w:p>
        </w:tc>
        <w:tc>
          <w:tcPr>
            <w:tcW w:type="dxa" w:w="1584"/>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Annual ACT follow-up in indicated algorithm branch</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High risk for contralateral amputation; routine lifelong care</w:t>
            </w:r>
          </w:p>
        </w:tc>
        <w:tc>
          <w:tcPr>
            <w:tcW w:type="dxa" w:w="1440"/>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Podiatry/foot specialist for high risk; ACT for annual review</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Evaluate contralateral foot or review prosthesis/function</w:t>
            </w:r>
          </w:p>
        </w:tc>
        <w:tc>
          <w:tcPr>
            <w:tcW w:type="dxa" w:w="1512"/>
            <w:vAlign w:val="center"/>
            <w:tcMar>
              <w:top w:w="55" w:type="dxa"/>
              <w:left w:w="55" w:type="dxa"/>
              <w:bottom w:w="55" w:type="dxa"/>
              <w:right w:w="55" w:type="dxa"/>
            </w:tcMar>
            <w:shd w:fill="F4F7F9"/>
            <w:tcBorders>
              <w:top w:val="single" w:sz="4" w:color="D9D9D9"/>
              <w:left w:val="single" w:sz="4" w:color="D9D9D9"/>
              <w:bottom w:val="single" w:sz="4" w:color="D9D9D9"/>
              <w:right w:val="single" w:sz="4" w:color="D9D9D9"/>
            </w:tcBorders>
          </w:tcPr>
          <w:p>
            <w:pPr>
              <w:spacing w:after="0" w:line="259" w:lineRule="auto"/>
            </w:pPr>
            <w:r>
              <w:rPr>
                <w:rFonts w:ascii="Arial" w:hAnsi="Arial"/>
                <w:b w:val="0"/>
                <w:color w:val="000000"/>
                <w:sz w:val="14"/>
              </w:rPr>
              <w:t>No graded annual recommendation or specified prevention protocol for contralateral amputation.</w:t>
            </w:r>
          </w:p>
        </w:tc>
      </w:tr>
    </w:tbl>
    <w:p>
      <w:pPr/>
      <w:r>
        <w:t>Abbreviations: ABI, ankle-brachial index; ACT, amputation care team; CLTI, chronic limb-threatening ischemia; DUS, duplex ultrasound; GVG, Global Vascular Guidelines; LOE, level of evidence; LOPS, loss of protective sensation; MDT, multidisciplinary team; PAD, peripheral artery disease; PSV, peak systolic velocity; TP, toe pressure.</w:t>
      </w:r>
    </w:p>
    <w:p>
      <w:pPr/>
      <w:r>
        <w:t>Source key (manuscript reference numbers): 15 Bus et al., IWGDF prevention guideline, 2023, doi:10.1002/dmrr.3651; 16 NICE NG19, Recommendations, https://www.nice.org.uk/guidance/ng19/chapter/Recommendations; 17 Gornik et al., 2024 ACC/AHA PAD guideline, doi:10.1161/CIR.0000000000001251; 18 Mazzolai et al., 2024 ESC PAAD guideline, doi:10.1093/eurheartj/ehae179; 19 Conte et al., Global Vascular Guidelines, 2019, doi:10.1016/j.jvs.2019.02.016; 20 Venermo et al., ESC/ESVS follow-up consensus, 2019, doi:10.1016/j.ejvs.2019.06.017; 21 VA/DoD, Rehabilitation of Individuals With Lower Limb Amputation, version 3.0, 2024, https://www.healthquality.va.gov/guidelines/Rehab/amp/LLA-CPG_2024-Guideline_final_20250110.pdf.</w:t>
      </w:r>
    </w:p>
    <w:sectPr w:rsidR="00FC693F" w:rsidRPr="0006063C" w:rsidSect="00034616">
      <w:pgSz w:w="15840" w:h="12240" w:orient="landscape"/>
      <w:pgMar w:top="792" w:right="691" w:bottom="792" w:left="691"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w:initials="C" w:date="2026-09-25T22:10:47Z">
    <w:p>
      <w:pPr>
        <w:pStyle w:val="CommentText"/>
      </w:pPr>
      <w:r>
        <w:rPr>
          <w:rStyle w:val="CommentReference"/>
        </w:rPr>
        <w:annotationRef/>
      </w:r>
      <w:r>
        <w:t>Add NICE NG19 recommendation numbers (1.3.x) to the three NICE rows so the table is recommendation-level. The NICE page could not be opened during this check, so numbers and wording are not verified here.</w:t>
      </w:r>
    </w:p>
  </w:comment>
  <w:comment w:id="1" w:author="Claude" w:initials="C" w:date="2026-09-25T22:10:47Z">
    <w:p>
      <w:pPr>
        <w:pStyle w:val="CommentText"/>
      </w:pPr>
      <w:r>
        <w:rPr>
          <w:rStyle w:val="CommentReference"/>
        </w:rPr>
        <w:annotationRef/>
      </w:r>
      <w:r>
        <w:t>Not verified and inconsistent with manuscript Table 1. Here the 4–6 wk / 3 / 6 / 12 / 24-month bypass schedule is attributed to ESC 2024; Table 1 attributes that schedule to ESC/ESVS 2019 (Venermo) and states ESC 2024 recommends annual follow-up with ABI/TBI. Check the ESC 2024 guideline, record class/LOE if its follow-up recommendations are graded, and make S2 and Table 1 agree.</w:t>
      </w:r>
    </w:p>
  </w:comment>
  <w:comment w:id="2" w:author="Claude" w:initials="C" w:date="2026-09-25T22:10:47Z">
    <w:p>
      <w:pPr>
        <w:pStyle w:val="CommentText"/>
      </w:pPr>
      <w:r>
        <w:rPr>
          <w:rStyle w:val="CommentReference"/>
        </w:rPr>
        <w:annotationRef/>
      </w:r>
      <w:r>
        <w:t>Not verified. A search of the 2024 VA/DoD CPG (including algorithm modules, pp. 22–29) did not locate annual ACT follow-up or a contralateral-risk → podiatry/foot-evaluation step; Rec 25 states insufficient evidence for contralateral-limb prevention strategies. The PDF reader may miss flowchart text: if you find the step, add the module/box number and page; otherwise delete this row (and the matching Table 1/Table 3 wording).</w:t>
      </w:r>
    </w:p>
  </w:comment>
  <w:comment w:id="3" w:author="Claude" w:initials="C" w:date="2026-09-25T22:10:47Z">
    <w:p>
      <w:pPr>
        <w:pStyle w:val="CommentText"/>
      </w:pPr>
      <w:r>
        <w:rPr>
          <w:rStyle w:val="CommentReference"/>
        </w:rPr>
        <w:annotationRef/>
      </w:r>
      <w:r>
        <w:t>Delete the last sentence if NICE NG19, ESC 2024 and VA/DoD 2024 are added to Supplementary Table S1 instead.</w:t>
      </w:r>
    </w:p>
  </w:comment>
  <w:comment w:id="4" w:author="Claude" w:initials="C" w:date="2026-09-28T12:00:00Z">
    <w:p>
      <w:r>
        <w:t xml:space="preserve">S2 AUDIT (source not accessed; unverified). LOE 'high' for a screening recommendation is doubtful and sits oddly with the table note that the intervals are expert opinion. Replace with the exact GRADE certainty printed for Rec 2 in IWGDF 2023 (my recollection is low certainty; confirm), and record the interval evidence separately as 'expert opinion'. Provenance: strength = explicit; LOE = must be re-read.</w:t>
      </w:r>
    </w:p>
  </w:comment>
  <w:comment w:id="5" w:author="Claude" w:initials="C" w:date="2026-09-28T12:00:00Z">
    <w:p>
      <w:r>
        <w:t xml:space="preserve">S2 AUDIT. Wording is a paraphrase ('Extend…'), not the exact recommendation. Insert verbatim text. Interval list omits risk 0/very low (annual) from the source table; add it or state the row is restricted to risk 1–3. Trigger, destination and response in this row are author operationalization unless printed in the recommendation text; label them so.</w:t>
      </w:r>
    </w:p>
  </w:comment>
  <w:comment w:id="6" w:author="Claude" w:initials="C" w:date="2026-09-28T12:00:00Z">
    <w:p>
      <w:r>
        <w:t xml:space="preserve">S2 AUDIT. 'Consider' is correctly preserved (conditional). 'Diagnosis and treatment' looks like a derived step; the source response (as I recall) is to reduce ambulatory activity and seek assessment. Confirm exact wording and mark 'diagnosis and treatment' as reasonably derived. Alert receiver/deadline are correctly 'not specified' (author gap).</w:t>
      </w:r>
    </w:p>
  </w:comment>
  <w:comment w:id="7" w:author="Claude" w:initials="C" w:date="2026-09-28T12:00:00Z">
    <w:p>
      <w:r>
        <w:t xml:space="preserve">S2 AUDIT. 'entry into remission' is the authors' terminology; confirm IWGDF 2023 uses it, otherwise trigger = 'healed plantar foot ulcer' (explicit) and 'remission' = author operationalization. If the source states a minimum relative pressure-relief threshold (I recall ~30%), add it to the recommendation wording.</w:t>
      </w:r>
    </w:p>
  </w:comment>
  <w:comment w:id="8" w:author="Claude" w:initials="C" w:date="2026-09-28T12:00:00Z">
    <w:p>
      <w:r>
        <w:t xml:space="preserve">S2 AUDIT. These intervals (risk 3: 1–3 mo; risk 2: 3–6 mo) look borrowed from the Rec 2/Table 1 screening frequencies, not from Rec 14. Confirm they appear in Rec 14; if not, delete here or attribute to Rec 2 (expert opinion).</w:t>
      </w:r>
    </w:p>
  </w:comment>
  <w:comment w:id="9" w:author="Claude" w:initials="C" w:date="2026-09-28T12:00:00Z">
    <w:p>
      <w:r>
        <w:t xml:space="preserve">S2 AUDIT. NG19 has no class/LOE, so record the verb strength printed in the recommendation (refer / consider / offer). 'e.g.' and 'individualize' read as author additions; quote the source interval exactly, add the moderate-risk interval, and add NG19 year/version (missing for this document; only the URL is given).</w:t>
      </w:r>
    </w:p>
  </w:comment>
  <w:comment w:id="10" w:author="Claude" w:initials="C" w:date="2026-09-28T12:00:00Z">
    <w:p>
      <w:r>
        <w:t xml:space="preserve">S2 AUDIT. 'Class 1; C-LD (both)' merges two recommendations. Split into separate rows, each with its own exact wording, class, LOE and rec number (rows 12–14 cite §12 Rec 6 / Rec 9, so numbering should be checked for consistency).</w:t>
      </w:r>
    </w:p>
  </w:comment>
  <w:comment w:id="11" w:author="Claude" w:initials="C" w:date="2026-09-28T12:00:00Z">
    <w:p>
      <w:r>
        <w:t xml:space="preserve">S2 AUDIT – internal contradiction. 'May be reasonable' is ACC/AHA Class 2b language; Class 2a is 'is reasonable'. Either the class or the wording is wrong. Check Section 12 in the guideline; do not soften or strengthen without the source. Also confirm C-LD.</w:t>
      </w:r>
    </w:p>
  </w:comment>
  <w:comment w:id="12" w:author="Claude" w:initials="C" w:date="2026-09-28T12:00:00Z">
    <w:p>
      <w:r>
        <w:t xml:space="preserve">S2 AUDIT. Confirm section/Rec number (§10.3.4 Rec 4), Class 1 wording ('is recommended') and C-EO. The 'designated member … lead longitudinal follow-up' comes from supportive text; keep it labelled 'supportive text, not graded' (= reasonably derived, not part of the graded recommendation). Interval and escalation = not specified (correct).</w:t>
      </w:r>
    </w:p>
  </w:comment>
  <w:comment w:id="13" w:author="Claude" w:initials="C" w:date="2026-09-28T12:00:00Z">
    <w:p>
      <w:r>
        <w:t xml:space="preserve">S2 AUDIT. Recs 10.6–10.8 are merged under one label 'good practice statements; no graded LOE'. Split, and give each rec its own exact wording, type (good practice vs graded) and verb. Keep 'consider duplex' as 'consider' if that is the source verb.</w:t>
      </w:r>
    </w:p>
  </w:comment>
  <w:comment w:id="14" w:author="Claude" w:initials="C" w:date="2026-09-28T12:00:00Z">
    <w:p>
      <w:r>
        <w:t xml:space="preserve">S2 AUDIT. 10.9 and 10.10 have different strengths in one row; split. Check whether 10.10 says 'offer' or 'consider' intervention, and that the thresholds (ABI drop ≥0.15; PSV &gt;300 cm/s with ratio &gt;3.5; mid-graft PSV &lt;45 cm/s) are quoted exactly and attached to the correct rec.</w:t>
      </w:r>
    </w:p>
  </w:comment>
  <w:comment w:id="15" w:author="Claude" w:initials="C" w:date="2026-09-28T12:00:00Z">
    <w:p>
      <w:r>
        <w:t xml:space="preserve">S2 AUDIT. Check every interval against the Venermo 2019 tables (this string is identical to the ESC 2024 row; see comment on that row). Consensus document: keep 'no formal class/LOE' only if the paper truly assigns none.</w:t>
      </w:r>
    </w:p>
  </w:comment>
  <w:comment w:id="16" w:author="Claude" w:initials="C" w:date="2026-09-28T12:00:00Z">
    <w:p>
      <w:r>
        <w:t xml:space="preserve">S2 AUDIT. Verify Rec 20 wording, 'Weak for' and 'reviewed, amended' against the VA/DoD 2024 CPG. Trigger and destination in this row may be author operationalization; label accordingly.</w:t>
      </w:r>
    </w:p>
  </w:comment>
  <w:comment w:id="17" w:author="Claude" w:initials="C" w:date="2026-09-28T12:00:00Z">
    <w:p>
      <w:r>
        <w:t xml:space="preserve">S2 AUDIT – table-level. (1) Recommendation wording is paraphrased throughout (the intro says so), so 'exact recommendation' is not satisfied: add verbatim text. (2) No per-field provenance labelling (explicit / derived / author operationalization / not specified) – see audit report. (3) No columns for year/version per document, bilateral surveillance, prevention/rehabilitation, or confirmation. (4) Gap column is author content and must not be cited as guideline text.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trackRevision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