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METODOLOGÍA ÚNICA INTEGRADA</w:t>
        <w:br/>
        <w:t>Selección de tecnologías de medición de flujo en línea</w:t>
        <w:br/>
        <w:t>Refinería Puerto La Cruz</w:t>
      </w:r>
    </w:p>
    <w:p>
      <w:pPr>
        <w:pStyle w:val="Heading2"/>
      </w:pPr>
      <w:r>
        <w:t>3.1 Introducción</w:t>
      </w:r>
    </w:p>
    <w:p>
      <w:r>
        <w:t>La selección de tecnologías de medición de flujo en línea es un proceso crítico en las refinerías...</w:t>
      </w:r>
    </w:p>
    <w:p>
      <w:pPr>
        <w:pStyle w:val="Heading2"/>
      </w:pPr>
      <w:r>
        <w:t>3.2 Tipos de medidores y fabricantes</w:t>
      </w:r>
    </w:p>
    <w:p>
      <w:r>
        <w:t>A continuación se presentan las tecnologías de medición más utilizadas...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