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1E3A8A"/>
          <w:sz w:val="26"/>
          <w:szCs w:val="26"/>
        </w:rPr>
        <w:t xml:space="preserve">ADMINISTRACIÓN PÚBLICA PROMOTORA</w:t>
      </w:r>
    </w:p>
    <w:p>
      <w:pPr>
        <w:spacing w:after="600"/>
        <w:jc w:val="center"/>
      </w:pPr>
      <w:r>
        <w:rPr>
          <w:rFonts w:ascii="Arial" w:cs="Arial" w:eastAsia="Arial" w:hAnsi="Arial"/>
          <w:color w:val="64748B"/>
          <w:sz w:val="22"/>
          <w:szCs w:val="22"/>
        </w:rPr>
        <w:t xml:space="preserve">Área de Régimen Jurídico y Transformación Digital</w:t>
      </w:r>
    </w:p>
    <w:p>
      <w:pPr>
        <w:spacing w:after="300"/>
        <w:jc w:val="center"/>
      </w:pPr>
      <w:r>
        <w:rPr>
          <w:rFonts w:ascii="Arial" w:cs="Arial" w:eastAsia="Arial" w:hAnsi="Arial"/>
          <w:b/>
          <w:bCs/>
          <w:color w:val="1E3A8A"/>
          <w:sz w:val="34"/>
          <w:szCs w:val="34"/>
        </w:rPr>
        <w:t xml:space="preserve">INFORME TÉCNICO PRELIMINAR DE ADECUACIÓN NORMATIVA DE SISTEMA DE INTELIGENCIA ARTIFICIAL</w:t>
      </w:r>
    </w:p>
    <w:p>
      <w:pPr>
        <w:spacing w:after="500"/>
        <w:jc w:val="center"/>
      </w:pPr>
      <w:r>
        <w:rPr>
          <w:b/>
          <w:bCs/>
          <w:color w:val="0284C7"/>
          <w:sz w:val="24"/>
          <w:szCs w:val="24"/>
        </w:rPr>
        <w:t xml:space="preserve">SOFTWARE EVALUADO: "ANALIZADOR DE CONVOCATORIAS DE AYUDAS Y SUBVENCIONES"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c>
          <w:tcPr>
            <w:tcW w:type="pct" w:w="1750"/>
            <w:tcMar>
              <w:top w:type="dxa" w:w="113"/>
              <w:left w:type="dxa" w:w="170"/>
              <w:bottom w:type="dxa" w:w="113"/>
              <w:right w:type="dxa" w:w="170"/>
            </w:tcMar>
          </w:tcPr>
          <w:p>
            <w:r>
              <w:rPr>
                <w:b/>
                <w:bCs/>
                <w:color w:val="0F172A"/>
                <w:sz w:val="18"/>
                <w:szCs w:val="18"/>
              </w:rPr>
              <w:t xml:space="preserve">Referencia del Expediente</w:t>
            </w:r>
          </w:p>
        </w:tc>
        <w:tc>
          <w:tcPr>
            <w:tcW w:type="pct" w:w="3250"/>
            <w:tcMar>
              <w:top w:type="dxa" w:w="113"/>
              <w:left w:type="dxa" w:w="170"/>
              <w:bottom w:type="dxa" w:w="113"/>
              <w:right w:type="dxa" w:w="170"/>
            </w:tcMar>
          </w:tcPr>
          <w:p>
            <w:r>
              <w:rPr>
                <w:color w:val="0F172A"/>
                <w:sz w:val="18"/>
                <w:szCs w:val="18"/>
              </w:rPr>
              <w:t xml:space="preserve">EXP-IA-2026-2823</w:t>
            </w:r>
          </w:p>
        </w:tc>
      </w:tr>
      <w:tr>
        <w:tc>
          <w:tcPr>
            <w:tcW w:type="pct" w:w="1750"/>
            <w:tcMar>
              <w:top w:type="dxa" w:w="113"/>
              <w:left w:type="dxa" w:w="170"/>
              <w:bottom w:type="dxa" w:w="113"/>
              <w:right w:type="dxa" w:w="170"/>
            </w:tcMar>
          </w:tcPr>
          <w:p>
            <w:r>
              <w:rPr>
                <w:b/>
                <w:bCs/>
                <w:color w:val="0F172A"/>
                <w:sz w:val="18"/>
                <w:szCs w:val="18"/>
              </w:rPr>
              <w:t xml:space="preserve">Fecha de Auditoría</w:t>
            </w:r>
          </w:p>
        </w:tc>
        <w:tc>
          <w:tcPr>
            <w:tcW w:type="pct" w:w="3250"/>
            <w:tcMar>
              <w:top w:type="dxa" w:w="113"/>
              <w:left w:type="dxa" w:w="170"/>
              <w:bottom w:type="dxa" w:w="113"/>
              <w:right w:type="dxa" w:w="170"/>
            </w:tcMar>
          </w:tcPr>
          <w:p>
            <w:r>
              <w:rPr>
                <w:color w:val="0F172A"/>
                <w:sz w:val="18"/>
                <w:szCs w:val="18"/>
              </w:rPr>
              <w:t xml:space="preserve">13/10/2026</w:t>
            </w:r>
          </w:p>
        </w:tc>
      </w:tr>
      <w:tr>
        <w:tc>
          <w:tcPr>
            <w:tcW w:type="pct" w:w="1750"/>
            <w:tcMar>
              <w:top w:type="dxa" w:w="113"/>
              <w:left w:type="dxa" w:w="170"/>
              <w:bottom w:type="dxa" w:w="113"/>
              <w:right w:type="dxa" w:w="170"/>
            </w:tcMar>
          </w:tcPr>
          <w:p>
            <w:r>
              <w:rPr>
                <w:b/>
                <w:bCs/>
                <w:color w:val="0F172A"/>
                <w:sz w:val="18"/>
                <w:szCs w:val="18"/>
              </w:rPr>
              <w:t xml:space="preserve">Clasificación AI Act (Reg. UE 2024/1689)</w:t>
            </w:r>
          </w:p>
        </w:tc>
        <w:tc>
          <w:tcPr>
            <w:tcW w:type="pct" w:w="3250"/>
            <w:tcMar>
              <w:top w:type="dxa" w:w="113"/>
              <w:left w:type="dxa" w:w="170"/>
              <w:bottom w:type="dxa" w:w="113"/>
              <w:right w:type="dxa" w:w="170"/>
            </w:tcMar>
          </w:tcPr>
          <w:p>
            <w:r>
              <w:rPr>
                <w:color w:val="0F172A"/>
                <w:sz w:val="18"/>
                <w:szCs w:val="18"/>
              </w:rPr>
              <w:t xml:space="preserve">Riesgo de Transparencia (Riesgo Limitado - Art. 50 RIA)</w:t>
            </w:r>
          </w:p>
        </w:tc>
      </w:tr>
      <w:tr>
        <w:tc>
          <w:tcPr>
            <w:tcW w:type="pct" w:w="1750"/>
            <w:tcMar>
              <w:top w:type="dxa" w:w="113"/>
              <w:left w:type="dxa" w:w="170"/>
              <w:bottom w:type="dxa" w:w="113"/>
              <w:right w:type="dxa" w:w="170"/>
            </w:tcMar>
          </w:tcPr>
          <w:p>
            <w:r>
              <w:rPr>
                <w:b/>
                <w:bCs/>
                <w:color w:val="0F172A"/>
                <w:sz w:val="18"/>
                <w:szCs w:val="18"/>
              </w:rPr>
              <w:t xml:space="preserve">Categoría ENS (RD 311/2022)</w:t>
            </w:r>
          </w:p>
        </w:tc>
        <w:tc>
          <w:tcPr>
            <w:tcW w:type="pct" w:w="3250"/>
            <w:tcMar>
              <w:top w:type="dxa" w:w="113"/>
              <w:left w:type="dxa" w:w="170"/>
              <w:bottom w:type="dxa" w:w="113"/>
              <w:right w:type="dxa" w:w="170"/>
            </w:tcMar>
          </w:tcPr>
          <w:p>
            <w:r>
              <w:rPr>
                <w:color w:val="0F172A"/>
                <w:sz w:val="18"/>
                <w:szCs w:val="18"/>
              </w:rPr>
              <w:t xml:space="preserve">Nivel BASICA</w:t>
            </w:r>
          </w:p>
        </w:tc>
      </w:tr>
      <w:tr>
        <w:tc>
          <w:tcPr>
            <w:tcW w:type="pct" w:w="1750"/>
            <w:tcMar>
              <w:top w:type="dxa" w:w="113"/>
              <w:left w:type="dxa" w:w="170"/>
              <w:bottom w:type="dxa" w:w="113"/>
              <w:right w:type="dxa" w:w="170"/>
            </w:tcMar>
          </w:tcPr>
          <w:p>
            <w:r>
              <w:rPr>
                <w:b/>
                <w:bCs/>
                <w:color w:val="0F172A"/>
                <w:sz w:val="18"/>
                <w:szCs w:val="18"/>
              </w:rPr>
              <w:t xml:space="preserve">Régimen Jurídico (Ley 40/2015)</w:t>
            </w:r>
          </w:p>
        </w:tc>
        <w:tc>
          <w:tcPr>
            <w:tcW w:type="pct" w:w="3250"/>
            <w:tcMar>
              <w:top w:type="dxa" w:w="113"/>
              <w:left w:type="dxa" w:w="170"/>
              <w:bottom w:type="dxa" w:w="113"/>
              <w:right w:type="dxa" w:w="170"/>
            </w:tcMar>
          </w:tcPr>
          <w:p>
            <w:r>
              <w:rPr>
                <w:color w:val="0F172A"/>
                <w:sz w:val="18"/>
                <w:szCs w:val="18"/>
              </w:rPr>
              <w:t xml:space="preserve">Intervención directa de un empleado público (declarada)</w:t>
            </w:r>
          </w:p>
        </w:tc>
      </w:tr>
      <w:tr>
        <w:tc>
          <w:tcPr>
            <w:tcW w:type="pct" w:w="1750"/>
            <w:tcMar>
              <w:top w:type="dxa" w:w="113"/>
              <w:left w:type="dxa" w:w="170"/>
              <w:bottom w:type="dxa" w:w="113"/>
              <w:right w:type="dxa" w:w="170"/>
            </w:tcMar>
          </w:tcPr>
          <w:p>
            <w:r>
              <w:rPr>
                <w:b/>
                <w:bCs/>
                <w:color w:val="0F172A"/>
                <w:sz w:val="18"/>
                <w:szCs w:val="18"/>
              </w:rPr>
              <w:t xml:space="preserve">Responsable Funcional</w:t>
            </w:r>
          </w:p>
        </w:tc>
        <w:tc>
          <w:tcPr>
            <w:tcW w:type="pct" w:w="3250"/>
            <w:tcMar>
              <w:top w:type="dxa" w:w="113"/>
              <w:left w:type="dxa" w:w="170"/>
              <w:bottom w:type="dxa" w:w="113"/>
              <w:right w:type="dxa" w:w="170"/>
            </w:tcMar>
          </w:tcPr>
          <w:p>
            <w:r>
              <w:rPr>
                <w:color w:val="0F172A"/>
                <w:sz w:val="18"/>
                <w:szCs w:val="18"/>
              </w:rPr>
              <w:t xml:space="preserve">Jefatura de Servicio Responsable</w:t>
            </w:r>
          </w:p>
        </w:tc>
      </w:tr>
      <w:tr>
        <w:tc>
          <w:tcPr>
            <w:tcW w:type="pct" w:w="1750"/>
            <w:tcMar>
              <w:top w:type="dxa" w:w="113"/>
              <w:left w:type="dxa" w:w="170"/>
              <w:bottom w:type="dxa" w:w="113"/>
              <w:right w:type="dxa" w:w="170"/>
            </w:tcMar>
          </w:tcPr>
          <w:p>
            <w:r>
              <w:rPr>
                <w:b/>
                <w:bCs/>
                <w:color w:val="0F172A"/>
                <w:sz w:val="18"/>
                <w:szCs w:val="18"/>
              </w:rPr>
              <w:t xml:space="preserve">Responsable Técnico / CISO</w:t>
            </w:r>
          </w:p>
        </w:tc>
        <w:tc>
          <w:tcPr>
            <w:tcW w:type="pct" w:w="3250"/>
            <w:tcMar>
              <w:top w:type="dxa" w:w="113"/>
              <w:left w:type="dxa" w:w="170"/>
              <w:bottom w:type="dxa" w:w="113"/>
              <w:right w:type="dxa" w:w="170"/>
            </w:tcMar>
          </w:tcPr>
          <w:p>
            <w:r>
              <w:rPr>
                <w:color w:val="0F172A"/>
                <w:sz w:val="18"/>
                <w:szCs w:val="18"/>
              </w:rPr>
              <w:t xml:space="preserve">Dirección de Tecnologías de la Información</w:t>
            </w:r>
          </w:p>
        </w:tc>
      </w:tr>
      <w:tr>
        <w:tc>
          <w:tcPr>
            <w:tcW w:type="pct" w:w="1750"/>
            <w:tcMar>
              <w:top w:type="dxa" w:w="113"/>
              <w:left w:type="dxa" w:w="170"/>
              <w:bottom w:type="dxa" w:w="113"/>
              <w:right w:type="dxa" w:w="170"/>
            </w:tcMar>
          </w:tcPr>
          <w:p>
            <w:r>
              <w:rPr>
                <w:b/>
                <w:bCs/>
                <w:color w:val="0F172A"/>
                <w:sz w:val="18"/>
                <w:szCs w:val="18"/>
              </w:rPr>
              <w:t xml:space="preserve">Supervisión Pública y DPD</w:t>
            </w:r>
          </w:p>
        </w:tc>
        <w:tc>
          <w:tcPr>
            <w:tcW w:type="pct" w:w="3250"/>
            <w:tcMar>
              <w:top w:type="dxa" w:w="113"/>
              <w:left w:type="dxa" w:w="170"/>
              <w:bottom w:type="dxa" w:w="113"/>
              <w:right w:type="dxa" w:w="170"/>
            </w:tcMar>
          </w:tcPr>
          <w:p>
            <w:r>
              <w:rPr>
                <w:color w:val="0F172A"/>
                <w:sz w:val="18"/>
                <w:szCs w:val="18"/>
              </w:rPr>
              <w:t xml:space="preserve">Delegado de Protección de Datos (DPD / DPO)</w:t>
            </w:r>
          </w:p>
        </w:tc>
      </w:tr>
    </w:tbl>
    <w:p>
      <w:pPr>
        <w:spacing w:before="3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tcBorders>
              <w:top w:val="single" w:color="CBD5E1" w:sz="6" w:space="6"/>
              <w:left w:val="single" w:color="1E3A8A" w:sz="24" w:space="10"/>
              <w:bottom w:val="single" w:color="CBD5E1" w:sz="6" w:space="6"/>
              <w:right w:val="single" w:color="CBD5E1" w:sz="6" w:space="6"/>
            </w:tcBorders>
            <w:tcMar>
              <w:top w:type="dxa" w:w="170"/>
              <w:left w:type="dxa" w:w="226"/>
              <w:bottom w:type="dxa" w:w="170"/>
              <w:right w:type="dxa" w:w="226"/>
            </w:tcMar>
          </w:tcPr>
          <w:p>
            <w:pPr>
              <w:spacing w:after="100"/>
            </w:pPr>
            <w:r>
              <w:rPr>
                <w:b/>
                <w:bCs/>
                <w:color w:val="1E3A8A"/>
                <w:sz w:val="18"/>
                <w:szCs w:val="18"/>
              </w:rPr>
              <w:t xml:space="preserve">⚖️ CLÁUSULA DE SALVAGUARDA Y CALIFICACIÓN PRELIMINAR:</w:t>
            </w:r>
          </w:p>
          <w:p>
            <w:r>
              <w:rPr>
                <w:i/>
                <w:iCs/>
                <w:color w:val="0F172A"/>
                <w:sz w:val="16"/>
                <w:szCs w:val="16"/>
              </w:rPr>
              <w:t xml:space="preserve">El presente informe técnico ha sido generado mediante una herramienta automatizada de diagnóstico (motor v2.2.1) a partir de lo declarado por el promotor. No es un acto administrativo ni acredita el cumplimiento: la calificación definitiva y la asunción de riesgos corresponden al órgano competente, con la revisión expresa del DPD y del Responsable de Seguridad.</w:t>
            </w:r>
          </w:p>
        </w:tc>
      </w:tr>
    </w:tbl>
    <w:p>
      <w:pPr>
        <w:spacing w:before="400"/>
      </w:pPr>
    </w:p>
    <w:p>
      <w:pPr>
        <w:spacing w:after="500"/>
      </w:pPr>
      <w:r>
        <w:rPr>
          <w:i/>
          <w:iCs/>
          <w:color w:val="64748B"/>
          <w:sz w:val="17"/>
          <w:szCs w:val="17"/>
        </w:rPr>
        <w:t xml:space="preserve">MARCO JURÍDICO APLICABLE: Reglamento (UE) 2024/1689 (AI Act), Real Decreto 729/2023 (Estatuto AESIA), Ley 15/2022 (Art. 23 Igualdad y No Discriminación Algorítmica), Real Decreto 311/2022 (ENS), Reglamento (UE) 2026/1744 (Ómnibus digital sobre IA), Ley 40/2015 de Régimen Jurídico del Sector Público (Arts. 32, 36, 41 y 43), Reglamento (UE) 2016/679 (RGPD) y Ley Orgánica 3/2018 (LOPDGDD).</w:t>
      </w:r>
    </w:p>
    <w:p>
      <w:pPr>
        <w:pStyle w:val="Heading2"/>
        <w:pBdr>
          <w:bottom w:val="single" w:color="0284C7" w:sz="6" w:space="4"/>
        </w:pBdr>
        <w:spacing w:after="150" w:before="400"/>
      </w:pPr>
      <w:r>
        <w:rPr>
          <w:rFonts w:ascii="Arial" w:cs="Arial" w:eastAsia="Arial" w:hAnsi="Arial"/>
          <w:b/>
          <w:bCs/>
          <w:color w:val="1E3A8A"/>
          <w:sz w:val="24"/>
          <w:szCs w:val="24"/>
        </w:rPr>
        <w:t xml:space="preserve">1. RESUMEN EJECUTIVO Y CUADRO DE MANDO DE CONFORMIDAD</w:t>
      </w:r>
    </w:p>
    <w:p>
      <w:pPr>
        <w:spacing w:after="200"/>
      </w:pPr>
      <w:r>
        <w:t xml:space="preserve">Diagnóstico preliminar para "Analizador de convocatorias de ayudas y subvenciones": según lo declarado, el sistema se clasifica como Riesgo de Transparencia (Riesgo Limitado - Art. 50 RIA). Faltan 6 respuestas de la entrevista. Quedan 17 requisitos por validar (los acredita una persona con evidencia). Categoría ENS orientativa: BASICA. Las conclusiones se basan en la entrevista y en la documentación aportada; requieren la validación del órgano competente, del Responsable de Seguridad y del Delegado de Protección de Datos.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pct" w:w="1250"/>
            <w:tcBorders>
              <w:top w:val="single" w:color="CBD5E1" w:sz="4" w:space="4"/>
              <w:left w:val="single" w:color="CBD5E1" w:sz="4" w:space="4"/>
              <w:bottom w:val="single" w:color="1E3A8A" w:sz="12" w:space="4"/>
              <w:right w:val="single" w:color="CBD5E1" w:sz="4" w:space="4"/>
            </w:tcBorders>
            <w:tcMar>
              <w:top w:type="dxa" w:w="113"/>
              <w:left w:type="dxa" w:w="113"/>
              <w:bottom w:type="dxa" w:w="113"/>
              <w:right w:type="dxa" w:w="113"/>
            </w:tcMar>
          </w:tcPr>
          <w:p>
            <w:pPr>
              <w:jc w:val="center"/>
            </w:pPr>
            <w:r>
              <w:rPr>
                <w:rFonts w:ascii="Arial" w:cs="Arial" w:eastAsia="Arial" w:hAnsi="Arial"/>
                <w:b/>
                <w:bCs/>
                <w:color w:val="1E3A8A"/>
                <w:sz w:val="16"/>
                <w:szCs w:val="16"/>
              </w:rPr>
              <w:t xml:space="preserve">Pilar Normativo</w:t>
            </w:r>
          </w:p>
        </w:tc>
        <w:tc>
          <w:tcPr>
            <w:tcW w:type="pct" w:w="1250"/>
            <w:tcBorders>
              <w:top w:val="single" w:color="CBD5E1" w:sz="4" w:space="4"/>
              <w:left w:val="single" w:color="CBD5E1" w:sz="4" w:space="4"/>
              <w:bottom w:val="single" w:color="1E3A8A" w:sz="12" w:space="4"/>
              <w:right w:val="single" w:color="CBD5E1" w:sz="4" w:space="4"/>
            </w:tcBorders>
            <w:tcMar>
              <w:top w:type="dxa" w:w="113"/>
              <w:left w:type="dxa" w:w="113"/>
              <w:bottom w:type="dxa" w:w="113"/>
              <w:right w:type="dxa" w:w="113"/>
            </w:tcMar>
          </w:tcPr>
          <w:p>
            <w:pPr>
              <w:jc w:val="center"/>
            </w:pPr>
            <w:r>
              <w:rPr>
                <w:rFonts w:ascii="Arial" w:cs="Arial" w:eastAsia="Arial" w:hAnsi="Arial"/>
                <w:b/>
                <w:bCs/>
                <w:color w:val="1E3A8A"/>
                <w:sz w:val="16"/>
                <w:szCs w:val="16"/>
              </w:rPr>
              <w:t xml:space="preserve">Fundamento Legal</w:t>
            </w:r>
          </w:p>
        </w:tc>
        <w:tc>
          <w:tcPr>
            <w:tcW w:type="pct" w:w="1250"/>
            <w:tcBorders>
              <w:top w:val="single" w:color="CBD5E1" w:sz="4" w:space="4"/>
              <w:left w:val="single" w:color="CBD5E1" w:sz="4" w:space="4"/>
              <w:bottom w:val="single" w:color="1E3A8A" w:sz="12" w:space="4"/>
              <w:right w:val="single" w:color="CBD5E1" w:sz="4" w:space="4"/>
            </w:tcBorders>
            <w:tcMar>
              <w:top w:type="dxa" w:w="113"/>
              <w:left w:type="dxa" w:w="113"/>
              <w:bottom w:type="dxa" w:w="113"/>
              <w:right w:type="dxa" w:w="113"/>
            </w:tcMar>
          </w:tcPr>
          <w:p>
            <w:pPr>
              <w:jc w:val="center"/>
            </w:pPr>
            <w:r>
              <w:rPr>
                <w:rFonts w:ascii="Arial" w:cs="Arial" w:eastAsia="Arial" w:hAnsi="Arial"/>
                <w:b/>
                <w:bCs/>
                <w:color w:val="1E3A8A"/>
                <w:sz w:val="16"/>
                <w:szCs w:val="16"/>
              </w:rPr>
              <w:t xml:space="preserve">Estado / Nivel</w:t>
            </w:r>
          </w:p>
        </w:tc>
        <w:tc>
          <w:tcPr>
            <w:tcW w:type="pct" w:w="1250"/>
            <w:tcBorders>
              <w:top w:val="single" w:color="CBD5E1" w:sz="4" w:space="4"/>
              <w:left w:val="single" w:color="CBD5E1" w:sz="4" w:space="4"/>
              <w:bottom w:val="single" w:color="1E3A8A" w:sz="12" w:space="4"/>
              <w:right w:val="single" w:color="CBD5E1" w:sz="4" w:space="4"/>
            </w:tcBorders>
            <w:tcMar>
              <w:top w:type="dxa" w:w="113"/>
              <w:left w:type="dxa" w:w="113"/>
              <w:bottom w:type="dxa" w:w="113"/>
              <w:right w:type="dxa" w:w="113"/>
            </w:tcMar>
          </w:tcPr>
          <w:p>
            <w:pPr>
              <w:jc w:val="center"/>
            </w:pPr>
            <w:r>
              <w:rPr>
                <w:rFonts w:ascii="Arial" w:cs="Arial" w:eastAsia="Arial" w:hAnsi="Arial"/>
                <w:b/>
                <w:bCs/>
                <w:color w:val="1E3A8A"/>
                <w:sz w:val="16"/>
                <w:szCs w:val="16"/>
              </w:rPr>
              <w:t xml:space="preserve">Estado de acreditación</w:t>
            </w:r>
          </w:p>
        </w:tc>
      </w:tr>
      <w:tr>
        <w:tc>
          <w:tcPr>
            <w:tcW w:type="pct" w:w="1250"/>
            <w:tcMar>
              <w:top w:type="dxa" w:w="113"/>
              <w:left w:type="dxa" w:w="113"/>
              <w:bottom w:type="dxa" w:w="113"/>
              <w:right w:type="dxa" w:w="113"/>
            </w:tcMar>
          </w:tcPr>
          <w:p>
            <w:r>
              <w:rPr>
                <w:b/>
                <w:bCs/>
                <w:sz w:val="16"/>
                <w:szCs w:val="16"/>
              </w:rPr>
              <w:t xml:space="preserve">I. RIA (UE 2024/1689)</w:t>
            </w:r>
          </w:p>
        </w:tc>
        <w:tc>
          <w:tcPr>
            <w:tcW w:type="pct" w:w="1250"/>
            <w:tcMar>
              <w:top w:type="dxa" w:w="113"/>
              <w:left w:type="dxa" w:w="113"/>
              <w:bottom w:type="dxa" w:w="113"/>
              <w:right w:type="dxa" w:w="113"/>
            </w:tcMar>
          </w:tcPr>
          <w:p>
            <w:r>
              <w:rPr>
                <w:color w:val="64748B"/>
                <w:sz w:val="15"/>
                <w:szCs w:val="15"/>
              </w:rPr>
              <w:t xml:space="preserve">Arts. 3.1, 5, 6 y 50 RIA</w:t>
            </w:r>
          </w:p>
        </w:tc>
        <w:tc>
          <w:tcPr>
            <w:tcW w:type="pct" w:w="1250"/>
            <w:tcMar>
              <w:top w:type="dxa" w:w="113"/>
              <w:left w:type="dxa" w:w="113"/>
              <w:bottom w:type="dxa" w:w="113"/>
              <w:right w:type="dxa" w:w="113"/>
            </w:tcMar>
          </w:tcPr>
          <w:p>
            <w:r>
              <w:rPr>
                <w:b/>
                <w:bCs/>
                <w:color w:val="0284C7"/>
                <w:sz w:val="15"/>
                <w:szCs w:val="15"/>
              </w:rPr>
              <w:t xml:space="preserve">Riesgo de Transparencia (Riesgo Limitado - Art. 50 RIA)</w:t>
            </w:r>
          </w:p>
        </w:tc>
        <w:tc>
          <w:tcPr>
            <w:tcW w:type="pct" w:w="1250"/>
            <w:tcMar>
              <w:top w:type="dxa" w:w="113"/>
              <w:left w:type="dxa" w:w="113"/>
              <w:bottom w:type="dxa" w:w="113"/>
              <w:right w:type="dxa" w:w="113"/>
            </w:tcMar>
          </w:tcPr>
          <w:p>
            <w:r>
              <w:rPr>
                <w:b/>
                <w:bCs/>
                <w:color w:val="D97706"/>
                <w:sz w:val="15"/>
                <w:szCs w:val="15"/>
              </w:rPr>
              <w:t xml:space="preserve">11 requisitos por validar</w:t>
            </w:r>
          </w:p>
        </w:tc>
      </w:tr>
      <w:tr>
        <w:tc>
          <w:tcPr>
            <w:tcW w:type="pct" w:w="1250"/>
            <w:tcMar>
              <w:top w:type="dxa" w:w="113"/>
              <w:left w:type="dxa" w:w="113"/>
              <w:bottom w:type="dxa" w:w="113"/>
              <w:right w:type="dxa" w:w="113"/>
            </w:tcMar>
          </w:tcPr>
          <w:p>
            <w:r>
              <w:rPr>
                <w:b/>
                <w:bCs/>
                <w:sz w:val="16"/>
                <w:szCs w:val="16"/>
              </w:rPr>
              <w:t xml:space="preserve">II. Privacidad y RGPD</w:t>
            </w:r>
          </w:p>
        </w:tc>
        <w:tc>
          <w:tcPr>
            <w:tcW w:type="pct" w:w="1250"/>
            <w:tcMar>
              <w:top w:type="dxa" w:w="113"/>
              <w:left w:type="dxa" w:w="113"/>
              <w:bottom w:type="dxa" w:w="113"/>
              <w:right w:type="dxa" w:w="113"/>
            </w:tcMar>
          </w:tcPr>
          <w:p>
            <w:r>
              <w:rPr>
                <w:color w:val="64748B"/>
                <w:sz w:val="15"/>
                <w:szCs w:val="15"/>
              </w:rPr>
              <w:t xml:space="preserve">RGPD Arts. 6.1, 9, 10 y 30 / LOPDGDD</w:t>
            </w:r>
          </w:p>
        </w:tc>
        <w:tc>
          <w:tcPr>
            <w:tcW w:type="pct" w:w="1250"/>
            <w:tcMar>
              <w:top w:type="dxa" w:w="113"/>
              <w:left w:type="dxa" w:w="113"/>
              <w:bottom w:type="dxa" w:w="113"/>
              <w:right w:type="dxa" w:w="113"/>
            </w:tcMar>
          </w:tcPr>
          <w:p>
            <w:r>
              <w:rPr>
                <w:b/>
                <w:bCs/>
                <w:color w:val="0284C7"/>
                <w:sz w:val="15"/>
                <w:szCs w:val="15"/>
              </w:rPr>
              <w:t xml:space="preserve">Pendiente de verificación del DPD</w:t>
            </w:r>
          </w:p>
        </w:tc>
        <w:tc>
          <w:tcPr>
            <w:tcW w:type="pct" w:w="1250"/>
            <w:tcMar>
              <w:top w:type="dxa" w:w="113"/>
              <w:left w:type="dxa" w:w="113"/>
              <w:bottom w:type="dxa" w:w="113"/>
              <w:right w:type="dxa" w:w="113"/>
            </w:tcMar>
          </w:tcPr>
          <w:p>
            <w:r>
              <w:rPr>
                <w:b/>
                <w:bCs/>
                <w:color w:val="64748B"/>
                <w:sz w:val="15"/>
                <w:szCs w:val="15"/>
              </w:rPr>
              <w:t xml:space="preserve">Sin requisitos evaluados</w:t>
            </w:r>
          </w:p>
        </w:tc>
      </w:tr>
      <w:tr>
        <w:tc>
          <w:tcPr>
            <w:tcW w:type="pct" w:w="1250"/>
            <w:tcMar>
              <w:top w:type="dxa" w:w="113"/>
              <w:left w:type="dxa" w:w="113"/>
              <w:bottom w:type="dxa" w:w="113"/>
              <w:right w:type="dxa" w:w="113"/>
            </w:tcMar>
          </w:tcPr>
          <w:p>
            <w:r>
              <w:rPr>
                <w:b/>
                <w:bCs/>
                <w:sz w:val="16"/>
                <w:szCs w:val="16"/>
              </w:rPr>
              <w:t xml:space="preserve">III. Ciberseguridad ENS</w:t>
            </w:r>
          </w:p>
        </w:tc>
        <w:tc>
          <w:tcPr>
            <w:tcW w:type="pct" w:w="1250"/>
            <w:tcMar>
              <w:top w:type="dxa" w:w="113"/>
              <w:left w:type="dxa" w:w="113"/>
              <w:bottom w:type="dxa" w:w="113"/>
              <w:right w:type="dxa" w:w="113"/>
            </w:tcMar>
          </w:tcPr>
          <w:p>
            <w:r>
              <w:rPr>
                <w:color w:val="64748B"/>
                <w:sz w:val="15"/>
                <w:szCs w:val="15"/>
              </w:rPr>
              <w:t xml:space="preserve">RD 311/2022, Anexo II</w:t>
            </w:r>
          </w:p>
        </w:tc>
        <w:tc>
          <w:tcPr>
            <w:tcW w:type="pct" w:w="1250"/>
            <w:tcMar>
              <w:top w:type="dxa" w:w="113"/>
              <w:left w:type="dxa" w:w="113"/>
              <w:bottom w:type="dxa" w:w="113"/>
              <w:right w:type="dxa" w:w="113"/>
            </w:tcMar>
          </w:tcPr>
          <w:p>
            <w:r>
              <w:rPr>
                <w:b/>
                <w:bCs/>
                <w:color w:val="0284C7"/>
                <w:sz w:val="15"/>
                <w:szCs w:val="15"/>
              </w:rPr>
              <w:t xml:space="preserve">Categoría ENS BÁSICA (orientativa)</w:t>
            </w:r>
          </w:p>
        </w:tc>
        <w:tc>
          <w:tcPr>
            <w:tcW w:type="pct" w:w="1250"/>
            <w:tcMar>
              <w:top w:type="dxa" w:w="113"/>
              <w:left w:type="dxa" w:w="113"/>
              <w:bottom w:type="dxa" w:w="113"/>
              <w:right w:type="dxa" w:w="113"/>
            </w:tcMar>
          </w:tcPr>
          <w:p>
            <w:r>
              <w:rPr>
                <w:b/>
                <w:bCs/>
                <w:color w:val="D97706"/>
                <w:sz w:val="15"/>
                <w:szCs w:val="15"/>
              </w:rPr>
              <w:t xml:space="preserve">3 requisitos por validar</w:t>
            </w:r>
          </w:p>
        </w:tc>
      </w:tr>
      <w:tr>
        <w:tc>
          <w:tcPr>
            <w:tcW w:type="pct" w:w="1250"/>
            <w:tcMar>
              <w:top w:type="dxa" w:w="113"/>
              <w:left w:type="dxa" w:w="113"/>
              <w:bottom w:type="dxa" w:w="113"/>
              <w:right w:type="dxa" w:w="113"/>
            </w:tcMar>
          </w:tcPr>
          <w:p>
            <w:r>
              <w:rPr>
                <w:b/>
                <w:bCs/>
                <w:sz w:val="16"/>
                <w:szCs w:val="16"/>
              </w:rPr>
              <w:t xml:space="preserve">IV. Gobernanza pública</w:t>
            </w:r>
          </w:p>
        </w:tc>
        <w:tc>
          <w:tcPr>
            <w:tcW w:type="pct" w:w="1250"/>
            <w:tcMar>
              <w:top w:type="dxa" w:w="113"/>
              <w:left w:type="dxa" w:w="113"/>
              <w:bottom w:type="dxa" w:w="113"/>
              <w:right w:type="dxa" w:w="113"/>
            </w:tcMar>
          </w:tcPr>
          <w:p>
            <w:r>
              <w:rPr>
                <w:color w:val="64748B"/>
                <w:sz w:val="15"/>
                <w:szCs w:val="15"/>
              </w:rPr>
              <w:t xml:space="preserve">Ley 40/2015 Art. 41 / Ley 15/2022 Art. 23</w:t>
            </w:r>
          </w:p>
        </w:tc>
        <w:tc>
          <w:tcPr>
            <w:tcW w:type="pct" w:w="1250"/>
            <w:tcMar>
              <w:top w:type="dxa" w:w="113"/>
              <w:left w:type="dxa" w:w="113"/>
              <w:bottom w:type="dxa" w:w="113"/>
              <w:right w:type="dxa" w:w="113"/>
            </w:tcMar>
          </w:tcPr>
          <w:p>
            <w:r>
              <w:rPr>
                <w:b/>
                <w:bCs/>
                <w:color w:val="0284C7"/>
                <w:sz w:val="15"/>
                <w:szCs w:val="15"/>
              </w:rPr>
              <w:t xml:space="preserve">Apoyo técnico declarado</w:t>
            </w:r>
          </w:p>
        </w:tc>
        <w:tc>
          <w:tcPr>
            <w:tcW w:type="pct" w:w="1250"/>
            <w:tcMar>
              <w:top w:type="dxa" w:w="113"/>
              <w:left w:type="dxa" w:w="113"/>
              <w:bottom w:type="dxa" w:w="113"/>
              <w:right w:type="dxa" w:w="113"/>
            </w:tcMar>
          </w:tcPr>
          <w:p>
            <w:r>
              <w:rPr>
                <w:b/>
                <w:bCs/>
                <w:color w:val="D97706"/>
                <w:sz w:val="15"/>
                <w:szCs w:val="15"/>
              </w:rPr>
              <w:t xml:space="preserve">3 requisitos por validar</w:t>
            </w:r>
          </w:p>
        </w:tc>
      </w:tr>
    </w:tbl>
    <w:p>
      <w:pPr>
        <w:spacing w:before="300"/>
      </w:pPr>
    </w:p>
    <w:p>
      <w:pPr>
        <w:spacing w:after="400"/>
      </w:pPr>
      <w:r>
        <w:rPr>
          <w:b/>
          <w:bCs/>
          <w:color w:val="D97706"/>
        </w:rPr>
        <w:t xml:space="preserve">Conclusión preliminar: FALTAN RESPUESTAS Y VALIDACIÓN HUMANA. Quedan 6 respuestas pendientes en la entrevista. 17 requisitos por validar: contestar la entrevista no los acredita; los acredita una persona registrando la validación con su evidencia. Las conclusiones se basan en lo declarado y deben validarlas el órgano competente, el Responsable de Seguridad y el DPD.</w:t>
      </w:r>
    </w:p>
    <w:p>
      <w:pPr>
        <w:spacing w:after="100"/>
      </w:pPr>
      <w:r>
        <w:rPr>
          <w:b/>
          <w:bCs/>
          <w:color w:val="B91C1C"/>
        </w:rPr>
        <w:t xml:space="preserve">Alertas para la revisión</w:t>
      </w:r>
    </w:p>
    <w:p>
      <w:pPr>
        <w:pStyle w:val="ListParagraph"/>
        <w:numPr>
          <w:ilvl w:val="0"/>
          <w:numId w:val="1"/>
        </w:numPr>
        <w:spacing w:after="80"/>
      </w:pPr>
      <w:r>
        <w:rPr>
          <w:sz w:val="20"/>
          <w:szCs w:val="20"/>
        </w:rPr>
        <w:t xml:space="preserve">Inexistencia de Registro de Trazabilidad: impide auditar sesgos, verificar respuestas erróneas o atender reclamaciones y requerimientos ([op.exp.8] ENS).</w:t>
      </w:r>
    </w:p>
    <w:p>
      <w:pPr>
        <w:pStyle w:val="ListParagraph"/>
        <w:numPr>
          <w:ilvl w:val="0"/>
          <w:numId w:val="1"/>
        </w:numPr>
        <w:spacing w:after="80"/>
      </w:pPr>
      <w:r>
        <w:rPr>
          <w:sz w:val="20"/>
          <w:szCs w:val="20"/>
        </w:rPr>
        <w:t xml:space="preserve">Alojamiento declarado y documentación discrepantes: se declara que el modelo se ejecuta en servidores propios, pero la documentación cita servicios en la nube (Google Gemini). Debe comprobarse qué proveedor procesa realmente los datos antes de aplicar las conclusiones sobre transferencias y ENS.</w:t>
      </w:r>
    </w:p>
    <w:p>
      <w:pPr>
        <w:spacing w:after="100" w:before="200"/>
      </w:pPr>
      <w:r>
        <w:rPr>
          <w:b/>
          <w:bCs/>
          <w:color w:val="1E3A8A"/>
        </w:rPr>
        <w:t xml:space="preserve">Recomendaciones</w:t>
      </w:r>
    </w:p>
    <w:p>
      <w:pPr>
        <w:pStyle w:val="ListParagraph"/>
        <w:numPr>
          <w:ilvl w:val="0"/>
          <w:numId w:val="1"/>
        </w:numPr>
        <w:spacing w:after="80"/>
      </w:pPr>
      <w:r>
        <w:rPr>
          <w:sz w:val="20"/>
          <w:szCs w:val="20"/>
        </w:rPr>
        <w:t xml:space="preserve">Implantar los avisos de transparencia (banner y pie de página) del Art. 50 del RIA.</w:t>
      </w:r>
    </w:p>
    <w:p>
      <w:pPr>
        <w:pStyle w:val="ListParagraph"/>
        <w:numPr>
          <w:ilvl w:val="0"/>
          <w:numId w:val="1"/>
        </w:numPr>
        <w:spacing w:after="80"/>
      </w:pPr>
      <w:r>
        <w:rPr>
          <w:sz w:val="20"/>
          <w:szCs w:val="20"/>
        </w:rPr>
        <w:t xml:space="preserve">Asegurar que las credenciales no viajen al navegador; priorizar modelos locales (Ollama/vLLM) en servidores corporativos.</w:t>
      </w:r>
    </w:p>
    <w:p>
      <w:pPr>
        <w:pStyle w:val="ListParagraph"/>
        <w:numPr>
          <w:ilvl w:val="0"/>
          <w:numId w:val="1"/>
        </w:numPr>
        <w:spacing w:after="80"/>
      </w:pPr>
      <w:r>
        <w:rPr>
          <w:sz w:val="20"/>
          <w:szCs w:val="20"/>
        </w:rPr>
        <w:t xml:space="preserve">Someter el expediente técnico a la revisión del Delegado de Protección de Datos (DPD) y del Responsable de Seguridad del ENS.</w:t>
      </w:r>
    </w:p>
    <w:p>
      <w:pPr>
        <w:pStyle w:val="ListParagraph"/>
        <w:numPr>
          <w:ilvl w:val="0"/>
          <w:numId w:val="1"/>
        </w:numPr>
        <w:spacing w:after="80"/>
      </w:pPr>
      <w:r>
        <w:rPr>
          <w:sz w:val="20"/>
          <w:szCs w:val="20"/>
        </w:rPr>
        <w:t xml:space="preserve">Se ha aportado un AGENTS.md: sus directivas son declaraciones del promotor y deben contrastarse con el comportamiento real del sistema.</w:t>
      </w:r>
    </w:p>
    <w:p>
      <w:pPr>
        <w:spacing w:after="300"/>
      </w:pPr>
    </w:p>
    <w:p>
      <w:pPr>
        <w:pStyle w:val="Heading2"/>
        <w:pBdr>
          <w:bottom w:val="single" w:color="0284C7" w:sz="6" w:space="4"/>
        </w:pBdr>
        <w:spacing w:after="150" w:before="400"/>
      </w:pPr>
      <w:r>
        <w:rPr>
          <w:rFonts w:ascii="Arial" w:cs="Arial" w:eastAsia="Arial" w:hAnsi="Arial"/>
          <w:b/>
          <w:bCs/>
          <w:color w:val="1E3A8A"/>
          <w:sz w:val="24"/>
          <w:szCs w:val="24"/>
        </w:rPr>
        <w:t xml:space="preserve">2. IDENTIFICACIÓN Y ARQUITECTURA DEL SISTEMA</w:t>
      </w:r>
    </w:p>
    <w:p>
      <w:pPr>
        <w:spacing w:after="150"/>
      </w:pPr>
      <w:r>
        <w:rPr>
          <w:b/>
          <w:bCs/>
        </w:rPr>
        <w:t xml:space="preserve">Descripción funcional: </w:t>
      </w:r>
      <w:r>
        <w:t xml:space="preserve">Asistente que extrae plazos, requisitos y criterios de convocatorias de ayudas y propone ideas de proyecto para la entidad local.</w:t>
      </w:r>
    </w:p>
    <w:p>
      <w:pPr>
        <w:spacing w:after="150"/>
      </w:pPr>
      <w:r>
        <w:rPr>
          <w:b/>
          <w:bCs/>
        </w:rPr>
        <w:t xml:space="preserve">Modelo de Inferencia y Soberanía: </w:t>
      </w:r>
      <w:r>
        <w:t xml:space="preserve">Declarado: ejecución local en servidores propios (Ollama / vLLM). No se ha comprobado el proveedor efectivamente utilizado.</w:t>
      </w:r>
    </w:p>
    <w:p>
      <w:pPr>
        <w:spacing w:after="150"/>
      </w:pPr>
      <w:r>
        <w:rPr>
          <w:b/>
          <w:bCs/>
        </w:rPr>
        <w:t xml:space="preserve">Documentación aportada: </w:t>
      </w:r>
      <w:r>
        <w:t xml:space="preserve">README.md y AGENTS.md (directivas del agente). Ambos son declaraciones del promotor.</w:t>
      </w:r>
    </w:p>
    <w:p>
      <w:pPr>
        <w:spacing w:after="150"/>
      </w:pPr>
      <w:r>
        <w:rPr>
          <w:b/>
          <w:bCs/>
        </w:rPr>
        <w:t xml:space="preserve">Datos de Entrada / Contexto Técnico: </w:t>
      </w:r>
      <w:r>
        <w:t xml:space="preserve">@google/genai, @radix-ui/react-dialog, @radix-ui/react-slot, @radix-ui/react-tabs, clsx, docx, file-saver, lucide-react, mammoth, marked, pdfjs-dist, react, react-dom, react-markdown, remark-gfm, tailwind-merge</w:t>
      </w:r>
    </w:p>
    <w:p>
      <w:pPr>
        <w:spacing w:after="400"/>
      </w:pPr>
      <w:r>
        <w:rPr>
          <w:b/>
          <w:bCs/>
        </w:rPr>
        <w:t xml:space="preserve">Directivas del agente (AGENTS.md): </w:t>
      </w:r>
      <w:r>
        <w:rPr>
          <w:i/>
          <w:iCs/>
        </w:rPr>
        <w:t xml:space="preserve">Se han tenido en cuenta como declaraciones del promotor. No se ha verificado que el sistema las cumpla en funcionamiento.</w:t>
      </w:r>
    </w:p>
    <w:p>
      <w:pPr>
        <w:pStyle w:val="Heading2"/>
        <w:pBdr>
          <w:bottom w:val="single" w:color="0284C7" w:sz="6" w:space="4"/>
        </w:pBdr>
        <w:spacing w:after="150" w:before="400"/>
      </w:pPr>
      <w:r>
        <w:rPr>
          <w:rFonts w:ascii="Arial" w:cs="Arial" w:eastAsia="Arial" w:hAnsi="Arial"/>
          <w:b/>
          <w:bCs/>
          <w:color w:val="1E3A8A"/>
          <w:sz w:val="24"/>
          <w:szCs w:val="24"/>
        </w:rPr>
        <w:t xml:space="preserve">3. EVALUACIÓN DE PRÁCTICAS PROHIBIDAS (ART. 5 RIA)</w:t>
      </w:r>
    </w:p>
    <w:p>
      <w:pPr>
        <w:spacing w:after="200"/>
      </w:pPr>
      <w:r>
        <w:t xml:space="preserve">Estado de cada práctica del Artículo 5 del Reglamento (UE) 2024/1689. «No evaluado» significa que la herramienta no la ha examinado y que debe confirmarse en la revisión jurídica; «Pendiente» indica un indicio que requiere verificación:</w:t>
      </w:r>
    </w:p>
    <w:p>
      <w:pPr>
        <w:pStyle w:val="ListParagraph"/>
        <w:numPr>
          <w:ilvl w:val="0"/>
          <w:numId w:val="1"/>
        </w:numPr>
        <w:spacing w:after="100"/>
      </w:pPr>
      <w:r>
        <w:rPr>
          <w:b/>
          <w:bCs/>
        </w:rPr>
        <w:t xml:space="preserve">Art. 5.1.a RIA (Manipulación subliminal o engañosa que cause perjuicio): </w:t>
      </w:r>
      <w:r>
        <w:rPr>
          <w:b/>
          <w:bCs/>
          <w:color w:val="2563EB"/>
        </w:rPr>
        <w:t xml:space="preserve">DECLARADO (sin verificar)</w:t>
      </w:r>
      <w:r>
        <w:t xml:space="preserve"> — Declarado por el promotor que no concurre. Exigible desde el 2/2/2025.</w:t>
      </w:r>
    </w:p>
    <w:p>
      <w:pPr>
        <w:pStyle w:val="ListParagraph"/>
        <w:numPr>
          <w:ilvl w:val="0"/>
          <w:numId w:val="1"/>
        </w:numPr>
        <w:spacing w:after="100"/>
      </w:pPr>
      <w:r>
        <w:rPr>
          <w:b/>
          <w:bCs/>
        </w:rPr>
        <w:t xml:space="preserve">Art. 5.1.b RIA (Explotación de vulnerabilidades por edad, discapacidad o situación socioeconómica): </w:t>
      </w:r>
      <w:r>
        <w:rPr>
          <w:b/>
          <w:bCs/>
          <w:color w:val="2563EB"/>
        </w:rPr>
        <w:t xml:space="preserve">DECLARADO (sin verificar)</w:t>
      </w:r>
      <w:r>
        <w:t xml:space="preserve"> — Declarado por el promotor que no concurre. Exigible desde el 2/2/2025.</w:t>
      </w:r>
    </w:p>
    <w:p>
      <w:pPr>
        <w:pStyle w:val="ListParagraph"/>
        <w:numPr>
          <w:ilvl w:val="0"/>
          <w:numId w:val="1"/>
        </w:numPr>
        <w:spacing w:after="100"/>
      </w:pPr>
      <w:r>
        <w:rPr>
          <w:b/>
          <w:bCs/>
        </w:rPr>
        <w:t xml:space="preserve">Art. 5.1.b bis RIA (Reglamento (UE) 2026/1744) (Generación o manipulación de imágenes, vídeos o audios íntimos realistas de personas identificables sin su consentimiento): </w:t>
      </w:r>
      <w:r>
        <w:rPr>
          <w:b/>
          <w:bCs/>
          <w:color w:val="2563EB"/>
        </w:rPr>
        <w:t xml:space="preserve">DECLARADO (sin verificar)</w:t>
      </w:r>
      <w:r>
        <w:t xml:space="preserve"> — Declarado por el promotor que no concurre. Aún no exigible: lo será desde el 2/12/2026. Conviene prepararla antes de la puesta en servicio.</w:t>
      </w:r>
    </w:p>
    <w:p>
      <w:pPr>
        <w:pStyle w:val="ListParagraph"/>
        <w:numPr>
          <w:ilvl w:val="0"/>
          <w:numId w:val="1"/>
        </w:numPr>
        <w:spacing w:after="100"/>
      </w:pPr>
      <w:r>
        <w:rPr>
          <w:b/>
          <w:bCs/>
        </w:rPr>
        <w:t xml:space="preserve">Art. 5.1.b ter RIA (Reglamento (UE) 2026/1744) (Generación o manipulación de material de abuso sexual infantil (Directiva 2011/93/UE)): </w:t>
      </w:r>
      <w:r>
        <w:rPr>
          <w:b/>
          <w:bCs/>
          <w:color w:val="2563EB"/>
        </w:rPr>
        <w:t xml:space="preserve">DECLARADO (sin verificar)</w:t>
      </w:r>
      <w:r>
        <w:t xml:space="preserve"> — Declarado por el promotor que no concurre. Aún no exigible: lo será desde el 2/12/2026. Conviene prepararla antes de la puesta en servicio.</w:t>
      </w:r>
    </w:p>
    <w:p>
      <w:pPr>
        <w:pStyle w:val="ListParagraph"/>
        <w:numPr>
          <w:ilvl w:val="0"/>
          <w:numId w:val="1"/>
        </w:numPr>
        <w:spacing w:after="100"/>
      </w:pPr>
      <w:r>
        <w:rPr>
          <w:b/>
          <w:bCs/>
        </w:rPr>
        <w:t xml:space="preserve">Art. 5.1.c RIA (Puntuación social o clasificación ciudadana general por las autoridades): </w:t>
      </w:r>
      <w:r>
        <w:rPr>
          <w:b/>
          <w:bCs/>
          <w:color w:val="2563EB"/>
        </w:rPr>
        <w:t xml:space="preserve">DECLARADO (sin verificar)</w:t>
      </w:r>
      <w:r>
        <w:t xml:space="preserve"> — Declarado por el promotor que no concurre. Exigible desde el 2/2/2025.</w:t>
      </w:r>
    </w:p>
    <w:p>
      <w:pPr>
        <w:pStyle w:val="ListParagraph"/>
        <w:numPr>
          <w:ilvl w:val="0"/>
          <w:numId w:val="1"/>
        </w:numPr>
        <w:spacing w:after="100"/>
      </w:pPr>
      <w:r>
        <w:rPr>
          <w:b/>
          <w:bCs/>
        </w:rPr>
        <w:t xml:space="preserve">Art. 5.1.d RIA (Evaluación del riesgo penal de personas individuales sin hechos constatables): </w:t>
      </w:r>
      <w:r>
        <w:rPr>
          <w:b/>
          <w:bCs/>
          <w:color w:val="2563EB"/>
        </w:rPr>
        <w:t xml:space="preserve">DECLARADO (sin verificar)</w:t>
      </w:r>
      <w:r>
        <w:t xml:space="preserve"> — Declarado por el promotor que no concurre. Exigible desde el 2/2/2025.</w:t>
      </w:r>
    </w:p>
    <w:p>
      <w:pPr>
        <w:pStyle w:val="ListParagraph"/>
        <w:numPr>
          <w:ilvl w:val="0"/>
          <w:numId w:val="1"/>
        </w:numPr>
        <w:spacing w:after="100"/>
      </w:pPr>
      <w:r>
        <w:rPr>
          <w:b/>
          <w:bCs/>
        </w:rPr>
        <w:t xml:space="preserve">Art. 5.1.e RIA (Creación indiscriminada de bases de reconocimiento facial mediante raspado de internet o CCTV): </w:t>
      </w:r>
      <w:r>
        <w:rPr>
          <w:b/>
          <w:bCs/>
          <w:color w:val="2563EB"/>
        </w:rPr>
        <w:t xml:space="preserve">DECLARADO (sin verificar)</w:t>
      </w:r>
      <w:r>
        <w:t xml:space="preserve"> — Declarado por el promotor que no concurre. Exigible desde el 2/2/2025.</w:t>
      </w:r>
    </w:p>
    <w:p>
      <w:pPr>
        <w:pStyle w:val="ListParagraph"/>
        <w:numPr>
          <w:ilvl w:val="0"/>
          <w:numId w:val="1"/>
        </w:numPr>
        <w:spacing w:after="100"/>
      </w:pPr>
      <w:r>
        <w:rPr>
          <w:b/>
          <w:bCs/>
        </w:rPr>
        <w:t xml:space="preserve">Art. 5.1.f RIA (Inferencia de emociones en el lugar de trabajo o instituciones educativas): </w:t>
      </w:r>
      <w:r>
        <w:rPr>
          <w:b/>
          <w:bCs/>
          <w:color w:val="2563EB"/>
        </w:rPr>
        <w:t xml:space="preserve">DECLARADO (sin verificar)</w:t>
      </w:r>
      <w:r>
        <w:t xml:space="preserve"> — Declarado por el promotor que no concurre. Exigible desde el 2/2/2025.</w:t>
      </w:r>
    </w:p>
    <w:p>
      <w:pPr>
        <w:pStyle w:val="ListParagraph"/>
        <w:numPr>
          <w:ilvl w:val="0"/>
          <w:numId w:val="1"/>
        </w:numPr>
        <w:spacing w:after="100"/>
      </w:pPr>
      <w:r>
        <w:rPr>
          <w:b/>
          <w:bCs/>
        </w:rPr>
        <w:t xml:space="preserve">Art. 5.1.g RIA (Categorización biométrica para deducir raza, opiniones políticas, creencias religiosas u orientación sexual): </w:t>
      </w:r>
      <w:r>
        <w:rPr>
          <w:b/>
          <w:bCs/>
          <w:color w:val="2563EB"/>
        </w:rPr>
        <w:t xml:space="preserve">DECLARADO (sin verificar)</w:t>
      </w:r>
      <w:r>
        <w:t xml:space="preserve"> — Declarado por el promotor que no concurre. Exigible desde el 2/2/2025.</w:t>
      </w:r>
    </w:p>
    <w:p>
      <w:pPr>
        <w:pStyle w:val="ListParagraph"/>
        <w:numPr>
          <w:ilvl w:val="0"/>
          <w:numId w:val="1"/>
        </w:numPr>
        <w:spacing w:after="100"/>
      </w:pPr>
      <w:r>
        <w:rPr>
          <w:b/>
          <w:bCs/>
        </w:rPr>
        <w:t xml:space="preserve">Art. 5.1.h RIA (Identificación biométrica remota en tiempo real en espacios de acceso público con fines de garantía del cumplimiento del Derecho): </w:t>
      </w:r>
      <w:r>
        <w:rPr>
          <w:b/>
          <w:bCs/>
          <w:color w:val="2563EB"/>
        </w:rPr>
        <w:t xml:space="preserve">DECLARADO (sin verificar)</w:t>
      </w:r>
      <w:r>
        <w:t xml:space="preserve"> — Declarado por el promotor que no concurre. Exigible desde el 2/2/2025.</w:t>
      </w:r>
    </w:p>
    <w:p>
      <w:pPr>
        <w:pStyle w:val="Heading2"/>
        <w:pBdr>
          <w:bottom w:val="single" w:color="0284C7" w:sz="6" w:space="4"/>
        </w:pBdr>
        <w:spacing w:after="150" w:before="400"/>
      </w:pPr>
      <w:r>
        <w:rPr>
          <w:rFonts w:ascii="Arial" w:cs="Arial" w:eastAsia="Arial" w:hAnsi="Arial"/>
          <w:b/>
          <w:bCs/>
          <w:color w:val="1E3A8A"/>
          <w:sz w:val="24"/>
          <w:szCs w:val="24"/>
        </w:rPr>
        <w:t xml:space="preserve">4. CLASIFICACIÓN SEGÚN EL RIA (ANEXO III Y EXCEPCIÓN DEL ART. 6.3)</w:t>
      </w:r>
    </w:p>
    <w:p>
      <w:pPr>
        <w:spacing w:after="150"/>
      </w:pPr>
      <w:r>
        <w:rPr>
          <w:b/>
          <w:bCs/>
          <w:color w:val="1E3A8A"/>
        </w:rPr>
        <w:t xml:space="preserve">Clasificación preliminar, basada en lo declarado: RIESGO DE TRANSPARENCIA (RIESGO LIMITADO - ART. 50 RIA).</w:t>
      </w:r>
    </w:p>
    <w:p>
      <w:pPr>
        <w:spacing w:after="200"/>
      </w:pPr>
      <w:r>
        <w:t xml:space="preserve">Nivel 4 - Riesgo de Transparencia (Art. 50 RIA): según lo declarado, el sistema interactúa con personas o genera contenido, por lo que debe informar de que se interactúa con una IA y marcar el contenido generado.</w:t>
      </w:r>
    </w:p>
    <w:p>
      <w:pPr>
        <w:spacing w:after="100" w:before="200"/>
      </w:pPr>
      <w:r>
        <w:rPr>
          <w:b/>
          <w:bCs/>
          <w:color w:val="0284C7"/>
          <w:sz w:val="20"/>
          <w:szCs w:val="20"/>
        </w:rPr>
        <w:t xml:space="preserve">4.3. TRAZA DE LA CLASIFICACIÓN</w:t>
      </w:r>
    </w:p>
    <w:p>
      <w:pPr>
        <w:spacing w:after="100"/>
      </w:pPr>
      <w:r>
        <w:rPr>
          <w:i/>
          <w:iCs/>
          <w:color w:val="64748B"/>
          <w:sz w:val="18"/>
          <w:szCs w:val="18"/>
        </w:rPr>
        <w:t xml:space="preserve">Corte normativo: Registro de fuentes de 05/10/2026: RIA (Reglamento (UE) 2024/1689) y Reglamento (UE) 2026/1744; Ley 40/2015; Ley 15/2022; RD 729/2023; ENS (RD 311/2022). Cada paso indica la pregunta, la respuesta declarada, la regla aplicada, la fuente y sus límites.</w:t>
      </w:r>
    </w:p>
    <w:p>
      <w:pPr>
        <w:spacing w:after="20" w:before="80"/>
      </w:pPr>
      <w:r>
        <w:rPr>
          <w:b/>
          <w:bCs/>
          <w:sz w:val="19"/>
          <w:szCs w:val="19"/>
        </w:rPr>
        <w:t xml:space="preserve">INDICIOS · ¿Qué sugiere la documentación aportada?</w:t>
      </w:r>
    </w:p>
    <w:p>
      <w:pPr>
        <w:spacing w:after="20"/>
      </w:pPr>
      <w:r>
        <w:rPr>
          <w:b/>
          <w:bCs/>
          <w:sz w:val="18"/>
          <w:szCs w:val="18"/>
        </w:rPr>
        <w:t xml:space="preserve">Respuesta: </w:t>
      </w:r>
      <w:r>
        <w:rPr>
          <w:sz w:val="18"/>
          <w:szCs w:val="18"/>
        </w:rPr>
        <w:t xml:space="preserve">Uso de IA: «style=for-the-badge&amp;logo=tailwindcss) ![gemini ai](https://img.shields.io/badge/google»</w:t>
      </w:r>
      <w:r>
        <w:rPr>
          <w:b/>
          <w:bCs/>
          <w:sz w:val="18"/>
          <w:szCs w:val="18"/>
        </w:rPr>
        <w:t xml:space="preserve"> · Conclusión: </w:t>
      </w:r>
      <w:r>
        <w:rPr>
          <w:sz w:val="18"/>
          <w:szCs w:val="18"/>
        </w:rPr>
        <w:t xml:space="preserve">Indicios para orientar la entrevista.</w:t>
      </w:r>
    </w:p>
    <w:p>
      <w:pPr>
        <w:spacing w:after="60"/>
      </w:pPr>
      <w:r>
        <w:rPr>
          <w:color w:val="64748B"/>
          <w:sz w:val="16"/>
          <w:szCs w:val="16"/>
        </w:rPr>
        <w:t xml:space="preserve">Regla: Los indicios por palabras clave nunca deciden la clasificación ni el estado de un requisito. Fuente: Documentación aportada (README, AGENTS.md, descripción). Límites: Coincidencias de texto con normalización de tildes y exclusión de negaciones; pueden existir falsos positivos y negativos.</w:t>
      </w:r>
    </w:p>
    <w:p>
      <w:pPr>
        <w:spacing w:after="20" w:before="80"/>
      </w:pPr>
      <w:r>
        <w:rPr>
          <w:b/>
          <w:bCs/>
          <w:sz w:val="19"/>
          <w:szCs w:val="19"/>
        </w:rPr>
        <w:t xml:space="preserve">ART-3-1 · ¿Infiere el sistema, a partir de la información de entrada, la manera de generar resultados de salida (predicciones, contenidos, recomendaciones o decisiones)?</w:t>
      </w:r>
    </w:p>
    <w:p>
      <w:pPr>
        <w:spacing w:after="20"/>
      </w:pPr>
      <w:r>
        <w:rPr>
          <w:b/>
          <w:bCs/>
          <w:sz w:val="18"/>
          <w:szCs w:val="18"/>
        </w:rPr>
        <w:t xml:space="preserve">Respuesta: </w:t>
      </w:r>
      <w:r>
        <w:rPr>
          <w:sz w:val="18"/>
          <w:szCs w:val="18"/>
        </w:rPr>
        <w:t xml:space="preserve">Sí</w:t>
      </w:r>
      <w:r>
        <w:rPr>
          <w:b/>
          <w:bCs/>
          <w:sz w:val="18"/>
          <w:szCs w:val="18"/>
        </w:rPr>
        <w:t xml:space="preserve"> · Conclusión: </w:t>
      </w:r>
      <w:r>
        <w:rPr>
          <w:sz w:val="18"/>
          <w:szCs w:val="18"/>
        </w:rPr>
        <w:t xml:space="preserve">Es un sistema de IA: se aplica el RIA.</w:t>
      </w:r>
    </w:p>
    <w:p>
      <w:pPr>
        <w:spacing w:after="60"/>
      </w:pPr>
      <w:r>
        <w:rPr>
          <w:color w:val="64748B"/>
          <w:sz w:val="16"/>
          <w:szCs w:val="16"/>
        </w:rPr>
        <w:t xml:space="preserve">Regla: Un sistema de IA es un sistema basado en una máquina que infiere de la información de entrada la manera de generar resultados de salida que pueden influir en entornos físicos o virtuales. Fuente: Reglamento (UE) 2024/1689, Art. 3.1. Límites: Respuesta declarada. Debe contrastarse con las capacidades reales del sistema y con las Directrices de la Comisión sobre la definición de sistema de IA.</w:t>
      </w:r>
    </w:p>
    <w:p>
      <w:pPr>
        <w:spacing w:after="20" w:before="80"/>
      </w:pPr>
      <w:r>
        <w:rPr>
          <w:b/>
          <w:bCs/>
          <w:sz w:val="19"/>
          <w:szCs w:val="19"/>
        </w:rPr>
        <w:t xml:space="preserve">ART-5 · ¿Incurre el sistema en alguna de las prácticas prohibidas del Art. 5?</w:t>
      </w:r>
    </w:p>
    <w:p>
      <w:pPr>
        <w:spacing w:after="20"/>
      </w:pPr>
      <w:r>
        <w:rPr>
          <w:b/>
          <w:bCs/>
          <w:sz w:val="18"/>
          <w:szCs w:val="18"/>
        </w:rPr>
        <w:t xml:space="preserve">Respuesta: </w:t>
      </w:r>
      <w:r>
        <w:rPr>
          <w:sz w:val="18"/>
          <w:szCs w:val="18"/>
        </w:rPr>
        <w:t xml:space="preserve">Declarado que no concurre ninguna</w:t>
      </w:r>
      <w:r>
        <w:rPr>
          <w:b/>
          <w:bCs/>
          <w:sz w:val="18"/>
          <w:szCs w:val="18"/>
        </w:rPr>
        <w:t xml:space="preserve"> · Conclusión: </w:t>
      </w:r>
      <w:r>
        <w:rPr>
          <w:sz w:val="18"/>
          <w:szCs w:val="18"/>
        </w:rPr>
        <w:t xml:space="preserve">No se declara ninguna práctica prohibida.</w:t>
      </w:r>
    </w:p>
    <w:p>
      <w:pPr>
        <w:spacing w:after="60"/>
      </w:pPr>
      <w:r>
        <w:rPr>
          <w:color w:val="64748B"/>
          <w:sz w:val="16"/>
          <w:szCs w:val="16"/>
        </w:rPr>
        <w:t xml:space="preserve">Regla: Quedan prohibidas la introducción en el mercado, la puesta en servicio y la utilización de sistemas que incurran en las prácticas del Art. 5.1. Fuente: Reglamento (UE) 2024/1689, Art. 5 (letras b bis y b ter añadidas por el Reglamento (UE) 2026/1744). Límites: Respuestas declaradas. Los indicios de la documentación solo orientan la revisión: no deciden.</w:t>
      </w:r>
    </w:p>
    <w:p>
      <w:pPr>
        <w:spacing w:after="20" w:before="80"/>
      </w:pPr>
      <w:r>
        <w:rPr>
          <w:b/>
          <w:bCs/>
          <w:sz w:val="19"/>
          <w:szCs w:val="19"/>
        </w:rPr>
        <w:t xml:space="preserve">ANEXO-III · ¿En qué ámbito del Anexo III se utiliza el sistema?</w:t>
      </w:r>
    </w:p>
    <w:p>
      <w:pPr>
        <w:spacing w:after="20"/>
      </w:pPr>
      <w:r>
        <w:rPr>
          <w:b/>
          <w:bCs/>
          <w:sz w:val="18"/>
          <w:szCs w:val="18"/>
        </w:rPr>
        <w:t xml:space="preserve">Respuesta: </w:t>
      </w:r>
      <w:r>
        <w:rPr>
          <w:sz w:val="18"/>
          <w:szCs w:val="18"/>
        </w:rPr>
        <w:t xml:space="preserve">Ninguno</w:t>
      </w:r>
      <w:r>
        <w:rPr>
          <w:b/>
          <w:bCs/>
          <w:sz w:val="18"/>
          <w:szCs w:val="18"/>
        </w:rPr>
        <w:t xml:space="preserve"> · Conclusión: </w:t>
      </w:r>
      <w:r>
        <w:rPr>
          <w:sz w:val="18"/>
          <w:szCs w:val="18"/>
        </w:rPr>
        <w:t xml:space="preserve">Fuera del ámbito del Anexo III.</w:t>
      </w:r>
    </w:p>
    <w:p>
      <w:pPr>
        <w:spacing w:after="60"/>
      </w:pPr>
      <w:r>
        <w:rPr>
          <w:color w:val="64748B"/>
          <w:sz w:val="16"/>
          <w:szCs w:val="16"/>
        </w:rPr>
        <w:t xml:space="preserve">Regla: Son de alto riesgo los sistemas de IA mencionados en el Anexo III, salvo la excepción del Art. 6.3. Fuente: Reglamento (UE) 2024/1689, Art. 6.2 y Anexo III. Límites: Se valora el ámbito declarado; no se comprueban por separado las letras de cada punto del Anexo III.</w:t>
      </w:r>
    </w:p>
    <w:p>
      <w:pPr>
        <w:spacing w:after="20" w:before="80"/>
      </w:pPr>
      <w:r>
        <w:rPr>
          <w:b/>
          <w:bCs/>
          <w:sz w:val="19"/>
          <w:szCs w:val="19"/>
        </w:rPr>
        <w:t xml:space="preserve">ART-50 · ¿Interactúa directamente con personas físicas? ¿Genera contenido sintético (texto, imagen, audio o vídeo)?</w:t>
      </w:r>
    </w:p>
    <w:p>
      <w:pPr>
        <w:spacing w:after="20"/>
      </w:pPr>
      <w:r>
        <w:rPr>
          <w:b/>
          <w:bCs/>
          <w:sz w:val="18"/>
          <w:szCs w:val="18"/>
        </w:rPr>
        <w:t xml:space="preserve">Respuesta: </w:t>
      </w:r>
      <w:r>
        <w:rPr>
          <w:sz w:val="18"/>
          <w:szCs w:val="18"/>
        </w:rPr>
        <w:t xml:space="preserve">Interacción: No · Contenido sintético: Sí</w:t>
      </w:r>
      <w:r>
        <w:rPr>
          <w:b/>
          <w:bCs/>
          <w:sz w:val="18"/>
          <w:szCs w:val="18"/>
        </w:rPr>
        <w:t xml:space="preserve"> · Conclusión: </w:t>
      </w:r>
      <w:r>
        <w:rPr>
          <w:sz w:val="18"/>
          <w:szCs w:val="18"/>
        </w:rPr>
        <w:t xml:space="preserve">Se aplican obligaciones de transparencia.</w:t>
      </w:r>
    </w:p>
    <w:p>
      <w:pPr>
        <w:spacing w:after="60"/>
      </w:pPr>
      <w:r>
        <w:rPr>
          <w:color w:val="64748B"/>
          <w:sz w:val="16"/>
          <w:szCs w:val="16"/>
        </w:rPr>
        <w:t xml:space="preserve">Regla: Los sistemas destinados a interactuar con personas físicas deben informarles de que interactúan con una IA; el contenido sintético debe marcarse. Fuente: Reglamento (UE) 2024/1689, Art. 50. Límites: Se acumula con el resto de obligaciones: no es una categoría alternativa al alto riesgo.</w:t>
      </w:r>
    </w:p>
    <w:p>
      <w:pPr>
        <w:spacing w:after="20" w:before="80"/>
      </w:pPr>
      <w:r>
        <w:rPr>
          <w:b/>
          <w:bCs/>
          <w:sz w:val="19"/>
          <w:szCs w:val="19"/>
        </w:rPr>
        <w:t xml:space="preserve">CLASIFICACION · Clasificación resultante</w:t>
      </w:r>
    </w:p>
    <w:p>
      <w:pPr>
        <w:spacing w:after="20"/>
      </w:pPr>
      <w:r>
        <w:rPr>
          <w:b/>
          <w:bCs/>
          <w:sz w:val="18"/>
          <w:szCs w:val="18"/>
        </w:rPr>
        <w:t xml:space="preserve">Respuesta: </w:t>
      </w:r>
      <w:r>
        <w:rPr>
          <w:sz w:val="18"/>
          <w:szCs w:val="18"/>
        </w:rPr>
        <w:t xml:space="preserve">Riesgo de Transparencia (Riesgo Limitado - Art. 50 RIA)</w:t>
      </w:r>
      <w:r>
        <w:rPr>
          <w:b/>
          <w:bCs/>
          <w:sz w:val="18"/>
          <w:szCs w:val="18"/>
        </w:rPr>
        <w:t xml:space="preserve"> · Conclusión: </w:t>
      </w:r>
      <w:r>
        <w:rPr>
          <w:sz w:val="18"/>
          <w:szCs w:val="18"/>
        </w:rPr>
        <w:t xml:space="preserve">Clasificación preliminar basada en lo declarado.</w:t>
      </w:r>
    </w:p>
    <w:p>
      <w:pPr>
        <w:spacing w:after="60"/>
      </w:pPr>
      <w:r>
        <w:rPr>
          <w:color w:val="64748B"/>
          <w:sz w:val="16"/>
          <w:szCs w:val="16"/>
        </w:rPr>
        <w:t xml:space="preserve">Regla: Orden de examen: definición de IA (Art. 3.1), prácticas prohibidas (Art. 5), alto riesgo (Art. 6 y Anexo III, con la excepción del Art. 6.3) y transparencia (Art. 50, acumulable). Las respuestas desconocidas o contradictorias impiden concluir. Fuente: Reglamento (UE) 2024/1689, Arts. 3.1, 5, 6 y 50. Límites: No sustituye la calificación del órgano competente ni la revisión jurídica.</w:t>
      </w:r>
    </w:p>
    <w:p>
      <w:pPr>
        <w:spacing w:before="200"/>
      </w:pPr>
    </w:p>
    <w:p>
      <w:pPr>
        <w:pStyle w:val="Heading2"/>
        <w:pBdr>
          <w:bottom w:val="single" w:color="0284C7" w:sz="6" w:space="4"/>
        </w:pBdr>
        <w:spacing w:after="150" w:before="400"/>
      </w:pPr>
      <w:r>
        <w:rPr>
          <w:rFonts w:ascii="Arial" w:cs="Arial" w:eastAsia="Arial" w:hAnsi="Arial"/>
          <w:b/>
          <w:bCs/>
          <w:color w:val="1E3A8A"/>
          <w:sz w:val="24"/>
          <w:szCs w:val="24"/>
        </w:rPr>
        <w:t xml:space="preserve">5. SUPERVISIÓN HUMANA EFECTIVA Y MARCO ESTATAL DE GOBERNANZA</w:t>
      </w:r>
    </w:p>
    <w:p>
      <w:pPr>
        <w:spacing w:after="150"/>
      </w:pPr>
      <w:r>
        <w:rPr>
          <w:b/>
          <w:bCs/>
        </w:rPr>
        <w:t xml:space="preserve">Nivel de Control Humano: </w:t>
      </w:r>
      <w:r>
        <w:t xml:space="preserve">Declarada supervisión humana previa: los resultados se presentan como borradores que revisa un empleado público antes de producir efectos. No se ha verificado el funcionamiento real del procedimiento.</w:t>
      </w:r>
    </w:p>
    <w:p>
      <w:pPr>
        <w:spacing w:after="150"/>
      </w:pPr>
      <w:r>
        <w:rPr>
          <w:b/>
          <w:bCs/>
        </w:rPr>
        <w:t xml:space="preserve">Órgano / Rol Supervisor: </w:t>
      </w:r>
      <w:r>
        <w:t xml:space="preserve">Personal técnico de la unidad de fondos europeos</w:t>
      </w:r>
    </w:p>
    <w:p>
      <w:pPr>
        <w:spacing w:after="200"/>
      </w:pPr>
      <w:r>
        <w:t xml:space="preserve">Deslinde con el Artículo 41 de la Ley 40/2015: El promotor declara que un empleado público interviene de forma directa en cada actuación, por lo que no habría actuación administrativa automatizada. Esta afirmación no se ha verificado y debe contrastarse con el funcionamiento real del procedimiento.</w:t>
      </w:r>
    </w:p>
    <w:p>
      <w:pPr>
        <w:spacing w:after="200"/>
      </w:pPr>
      <w:r>
        <w:t xml:space="preserve">Responsabilidad patrimonial: los particulares exigen directamente a la Administración Pública correspondiente la indemnización de las lesiones causadas por el funcionamiento de los servicios públicos, también cuando intervenga este sistema (Arts. 32.1 y 36.1 de la Ley 40/2015). La Administración solo puede exigir responsabilidad a sus autoridades y personal cuando haya concurrido dolo, o culpa o negligencia graves (Art. 36.2).</w:t>
      </w:r>
    </w:p>
    <w:p>
      <w:pPr>
        <w:spacing w:after="400"/>
      </w:pPr>
      <w:r>
        <w:t xml:space="preserve">No discriminación algorítmica (Ley 15/2022, Art. 23): las administraciones públicas favorecerán mecanismos de minimización de sesgos, transparencia y rendición de cuentas, y se promoverán evaluaciones del posible impacto discriminatorio. No se han aportado evaluaciones de sesgo, por lo que este extremo figura como no evaluado.</w:t>
      </w:r>
    </w:p>
    <w:p>
      <w:pPr>
        <w:pStyle w:val="Heading2"/>
        <w:pBdr>
          <w:bottom w:val="single" w:color="0284C7" w:sz="6" w:space="4"/>
        </w:pBdr>
        <w:spacing w:after="150" w:before="400"/>
      </w:pPr>
      <w:r>
        <w:rPr>
          <w:rFonts w:ascii="Arial" w:cs="Arial" w:eastAsia="Arial" w:hAnsi="Arial"/>
          <w:b/>
          <w:bCs/>
          <w:color w:val="1E3A8A"/>
          <w:sz w:val="24"/>
          <w:szCs w:val="24"/>
        </w:rPr>
        <w:t xml:space="preserve">6. MEDIDAS DE SEGURIDAD (ENS, RD 311/2022)</w:t>
      </w:r>
    </w:p>
    <w:p>
      <w:pPr>
        <w:spacing w:after="200"/>
      </w:pPr>
      <w:r>
        <w:rPr>
          <w:b/>
          <w:bCs/>
        </w:rPr>
        <w:t xml:space="preserve">Categoría ENS orientativa: BASICA. </w:t>
      </w:r>
      <w:r>
        <w:t xml:space="preserve">Categoría orientativa: no se ha valorado ninguna dimensión de seguridad. Se estima a partir de otras respuestas y debe sustituirse por la valoración del Anexo I del RD 311/2022.</w:t>
      </w:r>
    </w:p>
    <w:p>
      <w:pPr>
        <w:spacing w:after="100"/>
      </w:pPr>
      <w:r>
        <w:rPr>
          <w:b/>
          <w:bCs/>
        </w:rPr>
        <w:t xml:space="preserve">Medidas del Anexo II del ENS relacionadas con el uso de servicios de IA y su estado:</w:t>
      </w:r>
    </w:p>
    <w:p>
      <w:pPr>
        <w:pStyle w:val="ListParagraph"/>
        <w:numPr>
          <w:ilvl w:val="0"/>
          <w:numId w:val="1"/>
        </w:numPr>
        <w:spacing w:after="80"/>
      </w:pPr>
      <w:r>
        <w:rPr>
          <w:sz w:val="20"/>
          <w:szCs w:val="20"/>
        </w:rPr>
        <w:t xml:space="preserve">Arts. 40 y 41; Anexo I — PENDIENTE: Categoría orientativa: no se ha valorado ninguna dimensión de seguridad. Se estima a partir de otras respuestas y debe sustituirse por la valoración del Anexo I del RD 311/2022.</w:t>
      </w:r>
    </w:p>
    <w:p>
      <w:pPr>
        <w:pStyle w:val="ListParagraph"/>
        <w:numPr>
          <w:ilvl w:val="0"/>
          <w:numId w:val="1"/>
        </w:numPr>
        <w:spacing w:after="80"/>
      </w:pPr>
      <w:r>
        <w:rPr>
          <w:sz w:val="20"/>
          <w:szCs w:val="20"/>
        </w:rPr>
        <w:t xml:space="preserve">[op.acc.5] y [op.acc.6] mecanismos de autenticación; [mp.sw.1] desarrollo de aplicaciones — NO VERIFICADO: Las credenciales deben estar bajo control exclusivo y no exponerse en código cliente ni en repositorios. Esta evaluación no ha examinado el código del sistema auditado.</w:t>
      </w:r>
    </w:p>
    <w:p>
      <w:pPr>
        <w:pStyle w:val="ListParagraph"/>
        <w:numPr>
          <w:ilvl w:val="0"/>
          <w:numId w:val="1"/>
        </w:numPr>
        <w:spacing w:after="80"/>
      </w:pPr>
      <w:r>
        <w:rPr>
          <w:sz w:val="20"/>
          <w:szCs w:val="20"/>
        </w:rPr>
        <w:t xml:space="preserve">[op.exp.8] Registro de la actividad; Art. 12 RIA (alto riesgo) — PENDIENTE: Declarado que no existe registro de actividad.</w:t>
      </w:r>
    </w:p>
    <w:p>
      <w:pPr>
        <w:spacing w:before="200"/>
      </w:pPr>
    </w:p>
    <w:p>
      <w:pPr>
        <w:pStyle w:val="Heading2"/>
        <w:pBdr>
          <w:bottom w:val="single" w:color="0284C7" w:sz="6" w:space="4"/>
        </w:pBdr>
        <w:spacing w:after="150" w:before="400"/>
      </w:pPr>
      <w:r>
        <w:rPr>
          <w:rFonts w:ascii="Arial" w:cs="Arial" w:eastAsia="Arial" w:hAnsi="Arial"/>
          <w:b/>
          <w:bCs/>
          <w:color w:val="1E3A8A"/>
          <w:sz w:val="24"/>
          <w:szCs w:val="24"/>
        </w:rPr>
        <w:t xml:space="preserve">7. OBLIGACIONES Y ESTADO DE ACREDITACIÓN</w:t>
      </w:r>
    </w:p>
    <w:p>
      <w:pPr>
        <w:spacing w:after="150"/>
      </w:pPr>
      <w:r>
        <w:rPr>
          <w:i/>
          <w:iCs/>
          <w:color w:val="64748B"/>
          <w:sz w:val="18"/>
          <w:szCs w:val="18"/>
        </w:rPr>
        <w:t xml:space="preserve">Solo «Acreditado» equivale a cumplimiento y exige validación humana con evidencia. «Declarado» recoge lo afirmado por el promotor sin comprobar.</w:t>
      </w:r>
    </w:p>
    <w:p>
      <w:pPr>
        <w:spacing w:after="40" w:before="120"/>
      </w:pPr>
      <w:r>
        <w:rPr>
          <w:b/>
          <w:bCs/>
        </w:rPr>
        <w:t xml:space="preserve">Medidas de apoyo a la alfabetización en IA del personal: </w:t>
      </w:r>
      <w:r>
        <w:rPr>
          <w:b/>
          <w:bCs/>
          <w:color w:val="64748B"/>
        </w:rPr>
        <w:t xml:space="preserve">NO VERIFICADO</w:t>
      </w:r>
    </w:p>
    <w:p>
      <w:pPr>
        <w:spacing w:after="40"/>
      </w:pPr>
      <w:r>
        <w:rPr>
          <w:color w:val="64748B"/>
          <w:sz w:val="16"/>
          <w:szCs w:val="16"/>
        </w:rPr>
        <w:t xml:space="preserve">Reglamento (UE) 2024/1689, modificado por el Reglamento (UE) 2026/1744 · Art. 4 · Comprobación automática · Exigible desde 2/2/2025</w:t>
      </w:r>
    </w:p>
    <w:p>
      <w:pPr>
        <w:spacing w:after="40"/>
      </w:pPr>
      <w:r>
        <w:rPr>
          <w:sz w:val="19"/>
          <w:szCs w:val="19"/>
        </w:rPr>
        <w:t xml:space="preserve">Proveedores y responsables del despliegue deben adoptar medidas para apoyar la alfabetización en IA de su personal. No se han aportado evidencias de esas medidas. Exigible desde el 2/2/2025.</w:t>
      </w:r>
    </w:p>
    <w:p>
      <w:pPr>
        <w:spacing w:after="80"/>
      </w:pPr>
      <w:r>
        <w:rPr>
          <w:i/>
          <w:iCs/>
          <w:sz w:val="19"/>
          <w:szCs w:val="19"/>
        </w:rPr>
        <w:t xml:space="preserve">Acción: Documentar la formación o las medidas adoptadas para el personal que usa el sistema.</w:t>
      </w:r>
    </w:p>
    <w:p>
      <w:pPr>
        <w:spacing w:after="40" w:before="120"/>
      </w:pPr>
      <w:r>
        <w:rPr>
          <w:b/>
          <w:bCs/>
        </w:rPr>
        <w:t xml:space="preserve">Transparencia hacia las personas (interacción con IA y contenido sintético): </w:t>
      </w:r>
      <w:r>
        <w:rPr>
          <w:b/>
          <w:bCs/>
          <w:color w:val="D97706"/>
        </w:rPr>
        <w:t xml:space="preserve">PENDIENTE</w:t>
      </w:r>
    </w:p>
    <w:p>
      <w:pPr>
        <w:spacing w:after="40"/>
      </w:pPr>
      <w:r>
        <w:rPr>
          <w:color w:val="64748B"/>
          <w:sz w:val="16"/>
          <w:szCs w:val="16"/>
        </w:rPr>
        <w:t xml:space="preserve">Reglamento (UE) 2024/1689 · Art. 50 · Declaración del promotor · Exigible desde 2/8/2026</w:t>
      </w:r>
    </w:p>
    <w:p>
      <w:pPr>
        <w:spacing w:after="40"/>
      </w:pPr>
      <w:r>
        <w:rPr>
          <w:sz w:val="19"/>
          <w:szCs w:val="19"/>
        </w:rPr>
        <w:t xml:space="preserve">Declarado: el sistema interactúa con personas o genera contenido. La herramienta no comprueba que la información de transparencia esté implantada. Exigible desde el 2/8/2026.</w:t>
      </w:r>
    </w:p>
    <w:p>
      <w:pPr>
        <w:spacing w:after="80"/>
      </w:pPr>
      <w:r>
        <w:rPr>
          <w:i/>
          <w:iCs/>
          <w:sz w:val="19"/>
          <w:szCs w:val="19"/>
        </w:rPr>
        <w:t xml:space="preserve">Acción: Marcar el contenido generado en un formato legible por máquina (Art. 50.2). Corresponde al proveedor del sistema, salvo que solo apoye la edición estándar o no altere sustancialmente los datos de entrada. Conservar evidencia de lo implantado.</w:t>
      </w:r>
    </w:p>
    <w:p>
      <w:pPr>
        <w:spacing w:after="40" w:before="120"/>
      </w:pPr>
      <w:r>
        <w:rPr>
          <w:b/>
          <w:bCs/>
        </w:rPr>
        <w:t xml:space="preserve">Supervisión humana de los resultados: </w:t>
      </w:r>
      <w:r>
        <w:rPr>
          <w:b/>
          <w:bCs/>
          <w:color w:val="2563EB"/>
        </w:rPr>
        <w:t xml:space="preserve">DECLARADO (sin verificar)</w:t>
      </w:r>
    </w:p>
    <w:p>
      <w:pPr>
        <w:spacing w:after="40"/>
      </w:pPr>
      <w:r>
        <w:rPr>
          <w:color w:val="64748B"/>
          <w:sz w:val="16"/>
          <w:szCs w:val="16"/>
        </w:rPr>
        <w:t xml:space="preserve">Reglamento (UE) 2024/1689; RGPD; Ley 40/2015 · Art. 14 RIA (alto riesgo); Art. 22 RGPD; Art. 41 Ley 40/2015 · Declaración del promotor</w:t>
      </w:r>
    </w:p>
    <w:p>
      <w:pPr>
        <w:spacing w:after="40"/>
      </w:pPr>
      <w:r>
        <w:rPr>
          <w:sz w:val="19"/>
          <w:szCs w:val="19"/>
        </w:rPr>
        <w:t xml:space="preserve">Declarada revisión humana previa por: Personal técnico de la unidad de fondos europeos. No se ha comprobado el funcionamiento real del procedimiento.</w:t>
      </w:r>
    </w:p>
    <w:p>
      <w:pPr>
        <w:spacing w:after="80"/>
      </w:pPr>
      <w:r>
        <w:rPr>
          <w:i/>
          <w:iCs/>
          <w:sz w:val="19"/>
          <w:szCs w:val="19"/>
        </w:rPr>
        <w:t xml:space="preserve">Acción: Documentar quién revisa, en qué momento y con qué capacidad de modificar o descartar el resultado.</w:t>
      </w:r>
    </w:p>
    <w:p>
      <w:pPr>
        <w:spacing w:after="40" w:before="120"/>
      </w:pPr>
      <w:r>
        <w:rPr>
          <w:b/>
          <w:bCs/>
        </w:rPr>
        <w:t xml:space="preserve">Categorización del sistema según el impacto en cada dimensión: </w:t>
      </w:r>
      <w:r>
        <w:rPr>
          <w:b/>
          <w:bCs/>
          <w:color w:val="D97706"/>
        </w:rPr>
        <w:t xml:space="preserve">PENDIENTE</w:t>
      </w:r>
    </w:p>
    <w:p>
      <w:pPr>
        <w:spacing w:after="40"/>
      </w:pPr>
      <w:r>
        <w:rPr>
          <w:color w:val="64748B"/>
          <w:sz w:val="16"/>
          <w:szCs w:val="16"/>
        </w:rPr>
        <w:t xml:space="preserve">ENS (RD 311/2022) · Arts. 40 y 41; Anexo I · Declaración del promotor</w:t>
      </w:r>
    </w:p>
    <w:p>
      <w:pPr>
        <w:spacing w:after="40"/>
      </w:pPr>
      <w:r>
        <w:rPr>
          <w:sz w:val="19"/>
          <w:szCs w:val="19"/>
        </w:rPr>
        <w:t xml:space="preserve">Categoría orientativa: no se ha valorado ninguna dimensión de seguridad. Se estima a partir de otras respuestas y debe sustituirse por la valoración del Anexo I del RD 311/2022.</w:t>
      </w:r>
    </w:p>
    <w:p>
      <w:pPr>
        <w:spacing w:after="80"/>
      </w:pPr>
      <w:r>
        <w:rPr>
          <w:i/>
          <w:iCs/>
          <w:sz w:val="19"/>
          <w:szCs w:val="19"/>
        </w:rPr>
        <w:t xml:space="preserve">Acción: Valorar el nivel (bajo, medio o alto) de cada dimensión de seguridad afectada.</w:t>
      </w:r>
    </w:p>
    <w:p>
      <w:pPr>
        <w:spacing w:after="40" w:before="120"/>
      </w:pPr>
      <w:r>
        <w:rPr>
          <w:b/>
          <w:bCs/>
        </w:rPr>
        <w:t xml:space="preserve">Protección de las credenciales de acceso a servicios de IA: </w:t>
      </w:r>
      <w:r>
        <w:rPr>
          <w:b/>
          <w:bCs/>
          <w:color w:val="64748B"/>
        </w:rPr>
        <w:t xml:space="preserve">NO VERIFICADO</w:t>
      </w:r>
    </w:p>
    <w:p>
      <w:pPr>
        <w:spacing w:after="40"/>
      </w:pPr>
      <w:r>
        <w:rPr>
          <w:color w:val="64748B"/>
          <w:sz w:val="16"/>
          <w:szCs w:val="16"/>
        </w:rPr>
        <w:t xml:space="preserve">ENS (RD 311/2022), Anexo II · [op.acc.5] y [op.acc.6] mecanismos de autenticación; [mp.sw.1] desarrollo de aplicaciones · Comprobación automática</w:t>
      </w:r>
    </w:p>
    <w:p>
      <w:pPr>
        <w:spacing w:after="40"/>
      </w:pPr>
      <w:r>
        <w:rPr>
          <w:sz w:val="19"/>
          <w:szCs w:val="19"/>
        </w:rPr>
        <w:t xml:space="preserve">Las credenciales deben estar bajo control exclusivo y no exponerse en código cliente ni en repositorios. Esta evaluación no ha examinado el código del sistema auditado.</w:t>
      </w:r>
    </w:p>
    <w:p>
      <w:pPr>
        <w:spacing w:after="80"/>
      </w:pPr>
      <w:r>
        <w:rPr>
          <w:i/>
          <w:iCs/>
          <w:sz w:val="19"/>
          <w:szCs w:val="19"/>
        </w:rPr>
        <w:t xml:space="preserve">Acción: Revisar el código y la configuración del sistema auditado; trasladar las claves a un servidor o usar modelos locales.</w:t>
      </w:r>
    </w:p>
    <w:p>
      <w:pPr>
        <w:spacing w:after="40" w:before="120"/>
      </w:pPr>
      <w:r>
        <w:rPr>
          <w:b/>
          <w:bCs/>
        </w:rPr>
        <w:t xml:space="preserve">Registro de la actividad y trazabilidad: </w:t>
      </w:r>
      <w:r>
        <w:rPr>
          <w:b/>
          <w:bCs/>
          <w:color w:val="D97706"/>
        </w:rPr>
        <w:t xml:space="preserve">PENDIENTE</w:t>
      </w:r>
    </w:p>
    <w:p>
      <w:pPr>
        <w:spacing w:after="40"/>
      </w:pPr>
      <w:r>
        <w:rPr>
          <w:color w:val="64748B"/>
          <w:sz w:val="16"/>
          <w:szCs w:val="16"/>
        </w:rPr>
        <w:t xml:space="preserve">ENS (RD 311/2022), Anexo II; Reglamento (UE) 2024/1689 · [op.exp.8] Registro de la actividad; Art. 12 RIA (alto riesgo) · Declaración del promotor</w:t>
      </w:r>
    </w:p>
    <w:p>
      <w:pPr>
        <w:spacing w:after="40"/>
      </w:pPr>
      <w:r>
        <w:rPr>
          <w:sz w:val="19"/>
          <w:szCs w:val="19"/>
        </w:rPr>
        <w:t xml:space="preserve">Declarado que no existe registro de actividad.</w:t>
      </w:r>
    </w:p>
    <w:p>
      <w:pPr>
        <w:spacing w:after="80"/>
      </w:pPr>
      <w:r>
        <w:rPr>
          <w:i/>
          <w:iCs/>
          <w:sz w:val="19"/>
          <w:szCs w:val="19"/>
        </w:rPr>
        <w:t xml:space="preserve">Acción: Activar el registro de peticiones y respuestas con conservación definida en la documentación de seguridad.</w:t>
      </w:r>
    </w:p>
    <w:p>
      <w:pPr>
        <w:spacing w:after="40" w:before="120"/>
      </w:pPr>
      <w:r>
        <w:rPr>
          <w:b/>
          <w:bCs/>
        </w:rPr>
        <w:t xml:space="preserve">Base jurídica del tratamiento: </w:t>
      </w:r>
      <w:r>
        <w:rPr>
          <w:b/>
          <w:bCs/>
          <w:color w:val="64748B"/>
        </w:rPr>
        <w:t xml:space="preserve">No aplica</w:t>
      </w:r>
    </w:p>
    <w:p>
      <w:pPr>
        <w:spacing w:after="40"/>
      </w:pPr>
      <w:r>
        <w:rPr>
          <w:color w:val="64748B"/>
          <w:sz w:val="16"/>
          <w:szCs w:val="16"/>
        </w:rPr>
        <w:t xml:space="preserve">RGPD (UE 2016/679) · Art. 6.1 · Declaración del promotor</w:t>
      </w:r>
    </w:p>
    <w:p>
      <w:pPr>
        <w:spacing w:after="40"/>
      </w:pPr>
      <w:r>
        <w:rPr>
          <w:sz w:val="19"/>
          <w:szCs w:val="19"/>
        </w:rPr>
        <w:t xml:space="preserve">Declarado que no se tratan datos personales.</w:t>
      </w:r>
    </w:p>
    <w:p>
      <w:pPr>
        <w:spacing w:after="80"/>
      </w:pPr>
      <w:r>
        <w:rPr>
          <w:i/>
          <w:iCs/>
          <w:sz w:val="19"/>
          <w:szCs w:val="19"/>
        </w:rPr>
        <w:t xml:space="preserve">Acción: El DPD debe verificar la base jurídica y la norma que la sustenta.</w:t>
      </w:r>
    </w:p>
    <w:p>
      <w:pPr>
        <w:spacing w:after="40" w:before="120"/>
      </w:pPr>
      <w:r>
        <w:rPr>
          <w:b/>
          <w:bCs/>
        </w:rPr>
        <w:t xml:space="preserve">Registro de Actividades de Tratamiento: </w:t>
      </w:r>
      <w:r>
        <w:rPr>
          <w:b/>
          <w:bCs/>
          <w:color w:val="64748B"/>
        </w:rPr>
        <w:t xml:space="preserve">No aplica</w:t>
      </w:r>
    </w:p>
    <w:p>
      <w:pPr>
        <w:spacing w:after="40"/>
      </w:pPr>
      <w:r>
        <w:rPr>
          <w:color w:val="64748B"/>
          <w:sz w:val="16"/>
          <w:szCs w:val="16"/>
        </w:rPr>
        <w:t xml:space="preserve">RGPD (UE 2016/679) · Art. 30 · Declaración del promotor</w:t>
      </w:r>
    </w:p>
    <w:p>
      <w:pPr>
        <w:spacing w:after="40"/>
      </w:pPr>
      <w:r>
        <w:rPr>
          <w:sz w:val="19"/>
          <w:szCs w:val="19"/>
        </w:rPr>
        <w:t xml:space="preserve">Declarado que no se tratan datos personales.</w:t>
      </w:r>
    </w:p>
    <w:p>
      <w:pPr>
        <w:spacing w:after="80"/>
      </w:pPr>
      <w:r>
        <w:rPr>
          <w:i/>
          <w:iCs/>
          <w:sz w:val="19"/>
          <w:szCs w:val="19"/>
        </w:rPr>
        <w:t xml:space="preserve">Acción: El DPD debe verificar la inscripción en el RAT.</w:t>
      </w:r>
    </w:p>
    <w:p>
      <w:pPr>
        <w:spacing w:after="40" w:before="120"/>
      </w:pPr>
      <w:r>
        <w:rPr>
          <w:b/>
          <w:bCs/>
        </w:rPr>
        <w:t xml:space="preserve">Evaluación de impacto en la protección de datos: </w:t>
      </w:r>
      <w:r>
        <w:rPr>
          <w:b/>
          <w:bCs/>
          <w:color w:val="64748B"/>
        </w:rPr>
        <w:t xml:space="preserve">No aplica</w:t>
      </w:r>
    </w:p>
    <w:p>
      <w:pPr>
        <w:spacing w:after="40"/>
      </w:pPr>
      <w:r>
        <w:rPr>
          <w:color w:val="64748B"/>
          <w:sz w:val="16"/>
          <w:szCs w:val="16"/>
        </w:rPr>
        <w:t xml:space="preserve">RGPD (UE 2016/679) · Art. 35; lista de la AEPD (Art. 35.4) · Comprobación automática</w:t>
      </w:r>
    </w:p>
    <w:p>
      <w:pPr>
        <w:spacing w:after="40"/>
      </w:pPr>
      <w:r>
        <w:rPr>
          <w:sz w:val="19"/>
          <w:szCs w:val="19"/>
        </w:rPr>
        <w:t xml:space="preserve">Cribado preliminar: según lo declarado no concurren dos o más criterios.</w:t>
      </w:r>
    </w:p>
    <w:p>
      <w:pPr>
        <w:spacing w:after="80"/>
      </w:pPr>
      <w:r>
        <w:rPr>
          <w:i/>
          <w:iCs/>
          <w:sz w:val="19"/>
          <w:szCs w:val="19"/>
        </w:rPr>
        <w:t xml:space="preserve">Acción: Completar el borrador de EIPD con el asesoramiento del DPD.</w:t>
      </w:r>
    </w:p>
    <w:p>
      <w:pPr>
        <w:spacing w:after="40" w:before="120"/>
      </w:pPr>
      <w:r>
        <w:rPr>
          <w:b/>
          <w:bCs/>
        </w:rPr>
        <w:t xml:space="preserve">Gestión y notificación de brechas de datos personales: </w:t>
      </w:r>
      <w:r>
        <w:rPr>
          <w:b/>
          <w:bCs/>
          <w:color w:val="64748B"/>
        </w:rPr>
        <w:t xml:space="preserve">No aplica</w:t>
      </w:r>
    </w:p>
    <w:p>
      <w:pPr>
        <w:spacing w:after="40"/>
      </w:pPr>
      <w:r>
        <w:rPr>
          <w:color w:val="64748B"/>
          <w:sz w:val="16"/>
          <w:szCs w:val="16"/>
        </w:rPr>
        <w:t xml:space="preserve">RGPD (UE 2016/679) · Arts. 33 y 34 · Declaración del promotor</w:t>
      </w:r>
    </w:p>
    <w:p>
      <w:pPr>
        <w:spacing w:after="40"/>
      </w:pPr>
      <w:r>
        <w:rPr>
          <w:sz w:val="19"/>
          <w:szCs w:val="19"/>
        </w:rPr>
        <w:t xml:space="preserve">Declarado que no se tratan datos personales.</w:t>
      </w:r>
    </w:p>
    <w:p>
      <w:pPr>
        <w:spacing w:after="80"/>
      </w:pPr>
      <w:r>
        <w:rPr>
          <w:i/>
          <w:iCs/>
          <w:sz w:val="19"/>
          <w:szCs w:val="19"/>
        </w:rPr>
        <w:t xml:space="preserve">Acción: Prever cómo se detecta y documenta cualquier brecha (Art. 33.5) y quién la notifica a la AEPD sin dilación indebida y, de ser posible, en 72 horas (Art. 33.1), y a los interesados si entraña un alto riesgo (Art. 34). La AEPD ofrece las herramientas Asesora Brecha (notificación) y Comunica-Brecha RGPD (comunicación a los interesados).</w:t>
      </w:r>
    </w:p>
    <w:p>
      <w:pPr>
        <w:spacing w:after="40" w:before="120"/>
      </w:pPr>
      <w:r>
        <w:rPr>
          <w:b/>
          <w:bCs/>
        </w:rPr>
        <w:t xml:space="preserve">Actuación administrativa automatizada: </w:t>
      </w:r>
      <w:r>
        <w:rPr>
          <w:b/>
          <w:bCs/>
          <w:color w:val="64748B"/>
        </w:rPr>
        <w:t xml:space="preserve">No aplica</w:t>
      </w:r>
    </w:p>
    <w:p>
      <w:pPr>
        <w:spacing w:after="40"/>
      </w:pPr>
      <w:r>
        <w:rPr>
          <w:color w:val="64748B"/>
          <w:sz w:val="16"/>
          <w:szCs w:val="16"/>
        </w:rPr>
        <w:t xml:space="preserve">Ley 40/2015 · Art. 41 · Declaración del promotor</w:t>
      </w:r>
    </w:p>
    <w:p>
      <w:pPr>
        <w:spacing w:after="40"/>
      </w:pPr>
      <w:r>
        <w:rPr>
          <w:sz w:val="19"/>
          <w:szCs w:val="19"/>
        </w:rPr>
        <w:t xml:space="preserve">Declarado que un empleado público interviene de forma directa. Funcionamiento descrito: El personal técnico revisa cada ficha antes de usarla; la aplicación no tramita ni resuelve. No se ha verificado.</w:t>
      </w:r>
    </w:p>
    <w:p>
      <w:pPr>
        <w:spacing w:after="80"/>
      </w:pPr>
      <w:r>
        <w:rPr>
          <w:i/>
          <w:iCs/>
          <w:sz w:val="19"/>
          <w:szCs w:val="19"/>
        </w:rPr>
        <w:t xml:space="preserve">Acción: Describir el procedimiento real: quién interviene, en qué momento y con qué capacidad de decisión.</w:t>
      </w:r>
    </w:p>
    <w:p>
      <w:pPr>
        <w:spacing w:after="40" w:before="120"/>
      </w:pPr>
      <w:r>
        <w:rPr>
          <w:b/>
          <w:bCs/>
        </w:rPr>
        <w:t xml:space="preserve">Minimización de sesgos y no discriminación algorítmica: </w:t>
      </w:r>
      <w:r>
        <w:rPr>
          <w:b/>
          <w:bCs/>
          <w:color w:val="64748B"/>
        </w:rPr>
        <w:t xml:space="preserve">NO EVALUADO</w:t>
      </w:r>
    </w:p>
    <w:p>
      <w:pPr>
        <w:spacing w:after="40"/>
      </w:pPr>
      <w:r>
        <w:rPr>
          <w:color w:val="64748B"/>
          <w:sz w:val="16"/>
          <w:szCs w:val="16"/>
        </w:rPr>
        <w:t xml:space="preserve">Ley 15/2022 · Art. 23 · Comprobación automática</w:t>
      </w:r>
    </w:p>
    <w:p>
      <w:pPr>
        <w:spacing w:after="40"/>
      </w:pPr>
      <w:r>
        <w:rPr>
          <w:sz w:val="19"/>
          <w:szCs w:val="19"/>
        </w:rPr>
        <w:t xml:space="preserve">Las administraciones públicas favorecerán mecanismos de minimización de sesgos, transparencia y rendición de cuentas, y se promoverán evaluaciones de impacto. No se han aportado evaluaciones de sesgo.</w:t>
      </w:r>
    </w:p>
    <w:p>
      <w:pPr>
        <w:spacing w:after="80"/>
      </w:pPr>
      <w:r>
        <w:rPr>
          <w:i/>
          <w:iCs/>
          <w:sz w:val="19"/>
          <w:szCs w:val="19"/>
        </w:rPr>
        <w:t xml:space="preserve">Acción: Valorar y documentar una evaluación del posible impacto discriminatorio del sistema.</w:t>
      </w:r>
    </w:p>
    <w:p>
      <w:pPr>
        <w:pStyle w:val="Heading2"/>
        <w:pBdr>
          <w:bottom w:val="single" w:color="0284C7" w:sz="6" w:space="4"/>
        </w:pBdr>
        <w:spacing w:after="150" w:before="400"/>
      </w:pPr>
      <w:r>
        <w:rPr>
          <w:rFonts w:ascii="Arial" w:cs="Arial" w:eastAsia="Arial" w:hAnsi="Arial"/>
          <w:b/>
          <w:bCs/>
          <w:color w:val="1E3A8A"/>
          <w:sz w:val="24"/>
          <w:szCs w:val="24"/>
        </w:rPr>
        <w:t xml:space="preserve">NOTA SOBRE LAS FUENTES Y TRAZABILIDAD DEL DOCUMENTO</w:t>
      </w:r>
    </w:p>
    <w:p>
      <w:pPr>
        <w:spacing w:after="150"/>
      </w:pPr>
      <w:r>
        <w:rPr>
          <w:sz w:val="20"/>
          <w:szCs w:val="20"/>
        </w:rPr>
        <w:t xml:space="preserve">Los preceptos citados proceden de la base de conocimiento de la herramienta (Registro de fuentes de 05/10/2026: RIA (Reglamento (UE) 2024/1689) y Reglamento (UE) 2026/1744; Ley 40/2015; Ley 15/2022; RD 729/2023; ENS (RD 311/2022)). No se ha verificado su vigencia en el momento de emitir este documento: debe comprobarse en el BOE y en EUR-Lex antes de cualquier uso.</w:t>
      </w:r>
    </w:p>
    <w:p>
      <w:pPr>
        <w:pStyle w:val="ListParagraph"/>
        <w:numPr>
          <w:ilvl w:val="0"/>
          <w:numId w:val="1"/>
        </w:numPr>
        <w:spacing w:after="80"/>
      </w:pPr>
      <w:r>
        <w:rPr>
          <w:sz w:val="20"/>
          <w:szCs w:val="20"/>
        </w:rPr>
        <w:t xml:space="preserve">Versión del motor: 2.2.1</w:t>
      </w:r>
    </w:p>
    <w:p>
      <w:pPr>
        <w:pStyle w:val="ListParagraph"/>
        <w:numPr>
          <w:ilvl w:val="0"/>
          <w:numId w:val="1"/>
        </w:numPr>
        <w:spacing w:after="80"/>
      </w:pPr>
      <w:r>
        <w:rPr>
          <w:sz w:val="20"/>
          <w:szCs w:val="20"/>
        </w:rPr>
        <w:t xml:space="preserve">Huella SHA-256 de las entradas (ingesta y entrevista): 32fc18b517a8d79864c0cd2e6a1809d42bd387c0a0aca63ad74881377d07ff99 (permite comprobar que dos documentos parten de las mismas entradas; no acredita la integridad del documento)</w:t>
      </w:r>
    </w:p>
    <w:p>
      <w:pPr>
        <w:pStyle w:val="ListParagraph"/>
        <w:numPr>
          <w:ilvl w:val="0"/>
          <w:numId w:val="1"/>
        </w:numPr>
        <w:spacing w:after="80"/>
      </w:pPr>
      <w:r>
        <w:rPr>
          <w:sz w:val="20"/>
          <w:szCs w:val="20"/>
        </w:rPr>
        <w:t xml:space="preserve">Fecha de generación: 2026-10-13T14:42:43.186Z</w:t>
      </w:r>
    </w:p>
    <w:p>
      <w:pPr>
        <w:pStyle w:val="ListParagraph"/>
        <w:numPr>
          <w:ilvl w:val="0"/>
          <w:numId w:val="1"/>
        </w:numPr>
        <w:spacing w:after="80"/>
      </w:pPr>
      <w:r>
        <w:rPr>
          <w:sz w:val="20"/>
          <w:szCs w:val="20"/>
        </w:rPr>
        <w:t xml:space="preserve">Asistencia de IA: No se usó ningún modelo de IA: el diagnóstico procede solo del motor determinista.</w:t>
      </w:r>
    </w:p>
    <w:p>
      <w:pPr>
        <w:spacing w:after="100" w:before="200"/>
      </w:pPr>
      <w:r>
        <w:rPr>
          <w:b/>
          <w:bCs/>
          <w:color w:val="1E3A8A"/>
        </w:rPr>
        <w:t xml:space="preserve">Origen de las respuestas</w:t>
      </w:r>
    </w:p>
    <w:p>
      <w:pPr>
        <w:pStyle w:val="ListParagraph"/>
        <w:numPr>
          <w:ilvl w:val="0"/>
          <w:numId w:val="1"/>
        </w:numPr>
        <w:spacing w:after="80"/>
      </w:pPr>
      <w:r>
        <w:rPr>
          <w:sz w:val="20"/>
          <w:szCs w:val="20"/>
        </w:rPr>
        <w:t xml:space="preserve">Todas las respuestas las introdujo la persona usuaria.</w:t>
      </w:r>
    </w:p>
    <w:p>
      <w:pPr>
        <w:spacing w:before="200"/>
      </w:pPr>
    </w:p>
    <w:p>
      <w:pPr>
        <w:pStyle w:val="Heading2"/>
        <w:pBdr>
          <w:bottom w:val="single" w:color="0284C7" w:sz="6" w:space="4"/>
        </w:pBdr>
        <w:spacing w:after="150" w:before="400"/>
      </w:pPr>
      <w:r>
        <w:rPr>
          <w:rFonts w:ascii="Arial" w:cs="Arial" w:eastAsia="Arial" w:hAnsi="Arial"/>
          <w:b/>
          <w:bCs/>
          <w:color w:val="1E3A8A"/>
          <w:sz w:val="24"/>
          <w:szCs w:val="24"/>
        </w:rPr>
        <w:t xml:space="preserve">REVISIÓN Y FIRMA</w:t>
      </w:r>
    </w:p>
    <w:p>
      <w:pPr>
        <w:spacing w:after="300"/>
      </w:pPr>
      <w:r>
        <w:rPr>
          <w:i/>
          <w:iCs/>
          <w:color w:val="64748B"/>
          <w:sz w:val="18"/>
          <w:szCs w:val="18"/>
        </w:rPr>
        <w:t xml:space="preserve">NOTA: El presente documento es un informe técnico preliminar generado con una herramienta automatizada. No es un acto administrativo ni una actuación administrativa automatizada. Solo adquiere valor cuando lo revisan y firman los responsables competentes, que pueden modificar o rechazar sus conclusiones (firma electrónica del personal, Art. 43 de la Ley 40/2015):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94"/>
        <w:gridCol w:w="2994"/>
        <w:gridCol w:w="2994"/>
      </w:tblGrid>
      <w:tr>
        <w:tc>
          <w:tcPr>
            <w:tcW w:type="pct" w:w="1650"/>
            <w:tcMar>
              <w:top w:type="dxa" w:w="170"/>
              <w:left w:type="dxa" w:w="113"/>
              <w:bottom w:type="dxa" w:w="170"/>
              <w:right w:type="dxa" w:w="113"/>
            </w:tcMar>
          </w:tcPr>
          <w:p>
            <w:pPr>
              <w:spacing w:after="600"/>
              <w:jc w:val="center"/>
            </w:pPr>
            <w:r>
              <w:rPr>
                <w:b/>
                <w:bCs/>
                <w:color w:val="1E3A8A"/>
                <w:sz w:val="16"/>
                <w:szCs w:val="16"/>
              </w:rPr>
              <w:t xml:space="preserve">EL RESPONSABLE FUNCIONAL</w:t>
            </w:r>
          </w:p>
          <w:p>
            <w:pPr>
              <w:spacing w:after="200"/>
              <w:jc w:val="center"/>
            </w:pPr>
            <w:r>
              <w:rPr>
                <w:i/>
                <w:iCs/>
                <w:color w:val="64748B"/>
                <w:sz w:val="14"/>
                <w:szCs w:val="14"/>
              </w:rPr>
              <w:t xml:space="preserve">[ Firma electrónica ]</w:t>
            </w:r>
          </w:p>
          <w:p>
            <w:pPr>
              <w:jc w:val="center"/>
            </w:pPr>
            <w:r>
              <w:rPr>
                <w:b/>
                <w:bCs/>
                <w:sz w:val="16"/>
                <w:szCs w:val="16"/>
              </w:rPr>
              <w:t xml:space="preserve">Jefatura de Servicio Responsable</w:t>
            </w:r>
          </w:p>
          <w:p>
            <w:pPr>
              <w:jc w:val="center"/>
            </w:pPr>
            <w:r>
              <w:rPr>
                <w:color w:val="64748B"/>
                <w:sz w:val="14"/>
                <w:szCs w:val="14"/>
              </w:rPr>
              <w:t xml:space="preserve">Área de Régimen Jurídico y Transformación Digital</w:t>
            </w:r>
          </w:p>
        </w:tc>
        <w:tc>
          <w:tcPr>
            <w:tcW w:type="pct" w:w="1650"/>
            <w:tcMar>
              <w:top w:type="dxa" w:w="170"/>
              <w:left w:type="dxa" w:w="113"/>
              <w:bottom w:type="dxa" w:w="170"/>
              <w:right w:type="dxa" w:w="113"/>
            </w:tcMar>
          </w:tcPr>
          <w:p>
            <w:pPr>
              <w:spacing w:after="600"/>
              <w:jc w:val="center"/>
            </w:pPr>
            <w:r>
              <w:rPr>
                <w:b/>
                <w:bCs/>
                <w:color w:val="1E3A8A"/>
                <w:sz w:val="16"/>
                <w:szCs w:val="16"/>
              </w:rPr>
              <w:t xml:space="preserve">EL RESPONSABLE DE SEGURIDAD (CISO)</w:t>
            </w:r>
          </w:p>
          <w:p>
            <w:pPr>
              <w:spacing w:after="200"/>
              <w:jc w:val="center"/>
            </w:pPr>
            <w:r>
              <w:rPr>
                <w:i/>
                <w:iCs/>
                <w:color w:val="64748B"/>
                <w:sz w:val="14"/>
                <w:szCs w:val="14"/>
              </w:rPr>
              <w:t xml:space="preserve">[ Firma electrónica ]</w:t>
            </w:r>
          </w:p>
          <w:p>
            <w:pPr>
              <w:jc w:val="center"/>
            </w:pPr>
            <w:r>
              <w:rPr>
                <w:b/>
                <w:bCs/>
                <w:sz w:val="16"/>
                <w:szCs w:val="16"/>
              </w:rPr>
              <w:t xml:space="preserve">Responsable de Seguridad ENS (CISO)</w:t>
            </w:r>
          </w:p>
          <w:p>
            <w:pPr>
              <w:jc w:val="center"/>
            </w:pPr>
            <w:r>
              <w:rPr>
                <w:color w:val="64748B"/>
                <w:sz w:val="14"/>
                <w:szCs w:val="14"/>
              </w:rPr>
              <w:t xml:space="preserve">Centro de Tecnologías de la Información</w:t>
            </w:r>
          </w:p>
        </w:tc>
        <w:tc>
          <w:tcPr>
            <w:tcW w:type="pct" w:w="1650"/>
            <w:tcMar>
              <w:top w:type="dxa" w:w="170"/>
              <w:left w:type="dxa" w:w="113"/>
              <w:bottom w:type="dxa" w:w="170"/>
              <w:right w:type="dxa" w:w="113"/>
            </w:tcMar>
          </w:tcPr>
          <w:p>
            <w:pPr>
              <w:spacing w:after="600"/>
              <w:jc w:val="center"/>
            </w:pPr>
            <w:r>
              <w:rPr>
                <w:b/>
                <w:bCs/>
                <w:color w:val="1E3A8A"/>
                <w:sz w:val="16"/>
                <w:szCs w:val="16"/>
              </w:rPr>
              <w:t xml:space="preserve">EL DELEGADO DE PROTECCIÓN DE DATOS</w:t>
            </w:r>
          </w:p>
          <w:p>
            <w:pPr>
              <w:spacing w:after="200"/>
              <w:jc w:val="center"/>
            </w:pPr>
            <w:r>
              <w:rPr>
                <w:i/>
                <w:iCs/>
                <w:color w:val="64748B"/>
                <w:sz w:val="14"/>
                <w:szCs w:val="14"/>
              </w:rPr>
              <w:t xml:space="preserve">[ Firma electrónica ]</w:t>
            </w:r>
          </w:p>
          <w:p>
            <w:pPr>
              <w:jc w:val="center"/>
            </w:pPr>
            <w:r>
              <w:rPr>
                <w:b/>
                <w:bCs/>
                <w:sz w:val="16"/>
                <w:szCs w:val="16"/>
              </w:rPr>
              <w:t xml:space="preserve">Delegado de Protección de Datos (DPD / DPO)</w:t>
            </w:r>
          </w:p>
          <w:p>
            <w:pPr>
              <w:jc w:val="center"/>
            </w:pPr>
            <w:r>
              <w:rPr>
                <w:color w:val="64748B"/>
                <w:sz w:val="14"/>
                <w:szCs w:val="14"/>
              </w:rPr>
              <w:t xml:space="preserve">Administración Pública Promotora</w:t>
            </w:r>
          </w:p>
        </w:tc>
      </w:tr>
    </w:tbl>
    <w:sectPr>
      <w:headerReference w:type="default" r:id="rId6"/>
      <w:footerReference w:type="default" r:id="rId7"/>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64748B"/>
        <w:sz w:val="16"/>
        <w:szCs w:val="16"/>
      </w:rPr>
      <w:t xml:space="preserve">Informe técnico preliminar RIA (Reg. UE 2024/1689) y ENS (RD 311/2022) · Página </w:t>
    </w:r>
    <w:r>
      <w:rPr>
        <w:b/>
        <w:bCs/>
        <w:color w:val="64748B"/>
        <w:sz w:val="16"/>
        <w:szCs w:val="16"/>
      </w:rPr>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2DF" w:sz="6" w:space="6"/>
      </w:pBdr>
      <w:jc w:val="left"/>
    </w:pPr>
    <w:r>
      <w:drawing>
        <wp:inline distT="0" distB="0" distL="0" distR="0">
          <wp:extent cx="3238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161925"/>
                  </a:xfrm>
                  <a:prstGeom prst="rect">
                    <a:avLst/>
                  </a:prstGeom>
                </pic:spPr>
              </pic:pic>
            </a:graphicData>
          </a:graphic>
        </wp:inline>
      </w:drawing>
    </w:r>
    <w:r>
      <w:rPr>
        <w:rFonts w:ascii="Arial" w:cs="Arial" w:eastAsia="Arial" w:hAnsi="Arial"/>
        <w:color w:val="5D6875"/>
        <w:sz w:val="16"/>
        <w:szCs w:val="16"/>
      </w:rPr>
      <w:t xml:space="preserve">   Arias Lombardero · Aplicaciones | Expediente de Gobernanza IA · ADMINISTRACIÓN PÚBLICA PROMOTORA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0f73615d70e0280aeac585168753e3db005795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preliminar de adecuación normativa: Analizador de convocatorias de ayudas y subvenciones</dc:title>
  <dc:subject>Diagnóstico preliminar de un sistema de IA (RIA, RGPD, ENS y Ley 40/2015)</dc:subject>
  <dc:creator>Auditor IA, herramienta de apoyo (motor v2.2.1)</dc:creator>
  <cp:keywords>RIA; Reglamento (UE) 2024/1689; ENS; RGPD; informe preliminar</cp:keywords>
  <dc:description>Informe técnico preliminar generado a partir de lo declarado por el promotor. No es un acto administrativo ni acredita el cumplimiento: requiere la revisión y firma de los responsables competentes.</dc:description>
  <cp:lastModifiedBy>Auditor IA, herramienta de apoyo</cp:lastModifiedBy>
  <cp:revision>1</cp:revision>
  <dcterms:created xsi:type="dcterms:W3CDTF">2026-10-13T14:42:43.233Z</dcterms:created>
  <dcterms:modified xsi:type="dcterms:W3CDTF">2026-10-13T14:42:43.233Z</dcterms:modified>
</cp:coreProperties>
</file>

<file path=docProps/custom.xml><?xml version="1.0" encoding="utf-8"?>
<Properties xmlns="http://schemas.openxmlformats.org/officeDocument/2006/custom-properties" xmlns:vt="http://schemas.openxmlformats.org/officeDocument/2006/docPropsVTypes"/>
</file>