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jc w:val="center"/>
      </w:pPr>
      <w:r>
        <w:rPr>
          <w:rFonts w:ascii="Arial" w:cs="Arial" w:eastAsia="Arial" w:hAnsi="Arial"/>
          <w:b/>
          <w:bCs/>
          <w:color w:val="1E3A8A"/>
          <w:sz w:val="26"/>
          <w:szCs w:val="26"/>
        </w:rPr>
        <w:t xml:space="preserve">DIPUTACIÓN PROVINCIAL DE LUGO</w:t>
      </w:r>
    </w:p>
    <w:p>
      <w:pPr>
        <w:spacing w:after="600"/>
        <w:jc w:val="center"/>
      </w:pPr>
      <w:r>
        <w:rPr>
          <w:rFonts w:ascii="Arial" w:cs="Arial" w:eastAsia="Arial" w:hAnsi="Arial"/>
          <w:color w:val="64748B"/>
          <w:sz w:val="22"/>
          <w:szCs w:val="22"/>
        </w:rPr>
        <w:t xml:space="preserve">Área de Fondos Europeos, Innovación y Régimen Jurídico</w:t>
      </w:r>
    </w:p>
    <w:p>
      <w:pPr>
        <w:spacing w:after="300"/>
        <w:jc w:val="center"/>
      </w:pPr>
      <w:r>
        <w:rPr>
          <w:rFonts w:ascii="Arial" w:cs="Arial" w:eastAsia="Arial" w:hAnsi="Arial"/>
          <w:b/>
          <w:bCs/>
          <w:color w:val="1E3A8A"/>
          <w:sz w:val="34"/>
          <w:szCs w:val="34"/>
        </w:rPr>
        <w:t xml:space="preserve">EXPEDIENTE TÉCNICO Y DICTAMEN DE CONFORMIDAD NORMATIVA DE SISTEMA DE INTELIGENCIA ARTIFICIAL</w:t>
      </w:r>
    </w:p>
    <w:p>
      <w:pPr>
        <w:spacing w:after="500"/>
        <w:jc w:val="center"/>
      </w:pPr>
      <w:r>
        <w:rPr>
          <w:b/>
          <w:bCs/>
          <w:color w:val="0284C7"/>
          <w:sz w:val="24"/>
          <w:szCs w:val="24"/>
        </w:rPr>
        <w:t xml:space="preserve">SOFTWARE EVALUADO: "ANALIZADOR DE CONVOCATORIAS DE AYUDAS Y SUBVENCIONES"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175"/>
        <w:gridCol w:w="5897"/>
      </w:tblGrid>
      <w:tr>
        <w:tc>
          <w:tcPr>
            <w:tcW w:type="pct" w:w="1750"/>
            <w:tcMar>
              <w:top w:type="dxa" w:w="113"/>
              <w:left w:type="dxa" w:w="170"/>
              <w:bottom w:type="dxa" w:w="113"/>
              <w:right w:type="dxa" w:w="170"/>
            </w:tcMar>
          </w:tcPr>
          <w:p>
            <w:r>
              <w:rPr>
                <w:b/>
                <w:bCs/>
                <w:color w:val="0F172A"/>
                <w:sz w:val="18"/>
                <w:szCs w:val="18"/>
              </w:rPr>
              <w:t xml:space="preserve">Referencia del Expediente</w:t>
            </w:r>
          </w:p>
        </w:tc>
        <w:tc>
          <w:tcPr>
            <w:tcW w:type="pct" w:w="3250"/>
            <w:tcMar>
              <w:top w:type="dxa" w:w="113"/>
              <w:left w:type="dxa" w:w="170"/>
              <w:bottom w:type="dxa" w:w="113"/>
              <w:right w:type="dxa" w:w="170"/>
            </w:tcMar>
          </w:tcPr>
          <w:p>
            <w:r>
              <w:rPr>
                <w:color w:val="0F172A"/>
                <w:sz w:val="18"/>
                <w:szCs w:val="18"/>
              </w:rPr>
              <w:t xml:space="preserve">EXP-IA-2026-LUGO-0042</w:t>
            </w:r>
          </w:p>
        </w:tc>
      </w:tr>
      <w:tr>
        <w:tc>
          <w:tcPr>
            <w:tcW w:type="pct" w:w="1750"/>
            <w:tcMar>
              <w:top w:type="dxa" w:w="113"/>
              <w:left w:type="dxa" w:w="170"/>
              <w:bottom w:type="dxa" w:w="113"/>
              <w:right w:type="dxa" w:w="170"/>
            </w:tcMar>
          </w:tcPr>
          <w:p>
            <w:r>
              <w:rPr>
                <w:b/>
                <w:bCs/>
                <w:color w:val="0F172A"/>
                <w:sz w:val="18"/>
                <w:szCs w:val="18"/>
              </w:rPr>
              <w:t xml:space="preserve">Repositorio Oficial GitHub</w:t>
            </w:r>
          </w:p>
        </w:tc>
        <w:tc>
          <w:tcPr>
            <w:tcW w:type="pct" w:w="3250"/>
            <w:tcMar>
              <w:top w:type="dxa" w:w="113"/>
              <w:left w:type="dxa" w:w="170"/>
              <w:bottom w:type="dxa" w:w="113"/>
              <w:right w:type="dxa" w:w="170"/>
            </w:tcMar>
          </w:tcPr>
          <w:p>
            <w:r>
              <w:rPr>
                <w:color w:val="0F172A"/>
                <w:sz w:val="18"/>
                <w:szCs w:val="18"/>
              </w:rPr>
              <w:t xml:space="preserve">https://github.com/ariaslombardero/Analizador-de-ayudas-y-subvenciones</w:t>
            </w:r>
          </w:p>
        </w:tc>
      </w:tr>
      <w:tr>
        <w:tc>
          <w:tcPr>
            <w:tcW w:type="pct" w:w="1750"/>
            <w:tcMar>
              <w:top w:type="dxa" w:w="113"/>
              <w:left w:type="dxa" w:w="170"/>
              <w:bottom w:type="dxa" w:w="113"/>
              <w:right w:type="dxa" w:w="170"/>
            </w:tcMar>
          </w:tcPr>
          <w:p>
            <w:r>
              <w:rPr>
                <w:b/>
                <w:bCs/>
                <w:color w:val="0F172A"/>
                <w:sz w:val="18"/>
                <w:szCs w:val="18"/>
              </w:rPr>
              <w:t xml:space="preserve">Fecha de Auditoría</w:t>
            </w:r>
          </w:p>
        </w:tc>
        <w:tc>
          <w:tcPr>
            <w:tcW w:type="pct" w:w="3250"/>
            <w:tcMar>
              <w:top w:type="dxa" w:w="113"/>
              <w:left w:type="dxa" w:w="170"/>
              <w:bottom w:type="dxa" w:w="113"/>
              <w:right w:type="dxa" w:w="170"/>
            </w:tcMar>
          </w:tcPr>
          <w:p>
            <w:r>
              <w:rPr>
                <w:color w:val="0F172A"/>
                <w:sz w:val="18"/>
                <w:szCs w:val="18"/>
              </w:rPr>
              <w:t xml:space="preserve">03/10/2026</w:t>
            </w:r>
          </w:p>
        </w:tc>
      </w:tr>
      <w:tr>
        <w:tc>
          <w:tcPr>
            <w:tcW w:type="pct" w:w="1750"/>
            <w:tcMar>
              <w:top w:type="dxa" w:w="113"/>
              <w:left w:type="dxa" w:w="170"/>
              <w:bottom w:type="dxa" w:w="113"/>
              <w:right w:type="dxa" w:w="170"/>
            </w:tcMar>
          </w:tcPr>
          <w:p>
            <w:r>
              <w:rPr>
                <w:b/>
                <w:bCs/>
                <w:color w:val="0F172A"/>
                <w:sz w:val="18"/>
                <w:szCs w:val="18"/>
              </w:rPr>
              <w:t xml:space="preserve">Clasificación AI Act</w:t>
            </w:r>
          </w:p>
        </w:tc>
        <w:tc>
          <w:tcPr>
            <w:tcW w:type="pct" w:w="3250"/>
            <w:tcMar>
              <w:top w:type="dxa" w:w="113"/>
              <w:left w:type="dxa" w:w="170"/>
              <w:bottom w:type="dxa" w:w="113"/>
              <w:right w:type="dxa" w:w="170"/>
            </w:tcMar>
          </w:tcPr>
          <w:p>
            <w:r>
              <w:rPr>
                <w:color w:val="0F172A"/>
                <w:sz w:val="18"/>
                <w:szCs w:val="18"/>
              </w:rPr>
              <w:t xml:space="preserve">Riesgo de Transparencia (Riesgo Limitado - Art. 50 RIA)</w:t>
            </w:r>
          </w:p>
        </w:tc>
      </w:tr>
      <w:tr>
        <w:tc>
          <w:tcPr>
            <w:tcW w:type="pct" w:w="1750"/>
            <w:tcMar>
              <w:top w:type="dxa" w:w="113"/>
              <w:left w:type="dxa" w:w="170"/>
              <w:bottom w:type="dxa" w:w="113"/>
              <w:right w:type="dxa" w:w="170"/>
            </w:tcMar>
          </w:tcPr>
          <w:p>
            <w:r>
              <w:rPr>
                <w:b/>
                <w:bCs/>
                <w:color w:val="0F172A"/>
                <w:sz w:val="18"/>
                <w:szCs w:val="18"/>
              </w:rPr>
              <w:t xml:space="preserve">Categoría ENS (RD 311/2022)</w:t>
            </w:r>
          </w:p>
        </w:tc>
        <w:tc>
          <w:tcPr>
            <w:tcW w:type="pct" w:w="3250"/>
            <w:tcMar>
              <w:top w:type="dxa" w:w="113"/>
              <w:left w:type="dxa" w:w="170"/>
              <w:bottom w:type="dxa" w:w="113"/>
              <w:right w:type="dxa" w:w="170"/>
            </w:tcMar>
          </w:tcPr>
          <w:p>
            <w:r>
              <w:rPr>
                <w:color w:val="0F172A"/>
                <w:sz w:val="18"/>
                <w:szCs w:val="18"/>
              </w:rPr>
              <w:t xml:space="preserve">Nivel BÁSICA (con medidas de confidencialidad e integridad reforzadas)</w:t>
            </w:r>
          </w:p>
        </w:tc>
      </w:tr>
      <w:tr>
        <w:tc>
          <w:tcPr>
            <w:tcW w:type="pct" w:w="1750"/>
            <w:tcMar>
              <w:top w:type="dxa" w:w="113"/>
              <w:left w:type="dxa" w:w="170"/>
              <w:bottom w:type="dxa" w:w="113"/>
              <w:right w:type="dxa" w:w="170"/>
            </w:tcMar>
          </w:tcPr>
          <w:p>
            <w:r>
              <w:rPr>
                <w:b/>
                <w:bCs/>
                <w:color w:val="0F172A"/>
                <w:sz w:val="18"/>
                <w:szCs w:val="18"/>
              </w:rPr>
              <w:t xml:space="preserve">Régimen Administrativo</w:t>
            </w:r>
          </w:p>
        </w:tc>
        <w:tc>
          <w:tcPr>
            <w:tcW w:type="pct" w:w="3250"/>
            <w:tcMar>
              <w:top w:type="dxa" w:w="113"/>
              <w:left w:type="dxa" w:w="170"/>
              <w:bottom w:type="dxa" w:w="113"/>
              <w:right w:type="dxa" w:w="170"/>
            </w:tcMar>
          </w:tcPr>
          <w:p>
            <w:r>
              <w:rPr>
                <w:color w:val="0F172A"/>
                <w:sz w:val="18"/>
                <w:szCs w:val="18"/>
              </w:rPr>
              <w:t xml:space="preserve">Auxilio Técnico Instrumental Preparatorio (Art. 41 Ley 40/2015 deslindado)</w:t>
            </w:r>
          </w:p>
        </w:tc>
      </w:tr>
      <w:tr>
        <w:tc>
          <w:tcPr>
            <w:tcW w:type="pct" w:w="1750"/>
            <w:tcMar>
              <w:top w:type="dxa" w:w="113"/>
              <w:left w:type="dxa" w:w="170"/>
              <w:bottom w:type="dxa" w:w="113"/>
              <w:right w:type="dxa" w:w="170"/>
            </w:tcMar>
          </w:tcPr>
          <w:p>
            <w:r>
              <w:rPr>
                <w:b/>
                <w:bCs/>
                <w:color w:val="0F172A"/>
                <w:sz w:val="18"/>
                <w:szCs w:val="18"/>
              </w:rPr>
              <w:t xml:space="preserve">Responsable Funcional</w:t>
            </w:r>
          </w:p>
        </w:tc>
        <w:tc>
          <w:tcPr>
            <w:tcW w:type="pct" w:w="3250"/>
            <w:tcMar>
              <w:top w:type="dxa" w:w="113"/>
              <w:left w:type="dxa" w:w="170"/>
              <w:bottom w:type="dxa" w:w="113"/>
              <w:right w:type="dxa" w:w="170"/>
            </w:tcMar>
          </w:tcPr>
          <w:p>
            <w:r>
              <w:rPr>
                <w:color w:val="0F172A"/>
                <w:sz w:val="18"/>
                <w:szCs w:val="18"/>
              </w:rPr>
              <w:t xml:space="preserve">Jefatura de Servicio de Fondos Europeos y Subvenciones</w:t>
            </w:r>
          </w:p>
        </w:tc>
      </w:tr>
      <w:tr>
        <w:tc>
          <w:tcPr>
            <w:tcW w:type="pct" w:w="1750"/>
            <w:tcMar>
              <w:top w:type="dxa" w:w="113"/>
              <w:left w:type="dxa" w:w="170"/>
              <w:bottom w:type="dxa" w:w="113"/>
              <w:right w:type="dxa" w:w="170"/>
            </w:tcMar>
          </w:tcPr>
          <w:p>
            <w:r>
              <w:rPr>
                <w:b/>
                <w:bCs/>
                <w:color w:val="0F172A"/>
                <w:sz w:val="18"/>
                <w:szCs w:val="18"/>
              </w:rPr>
              <w:t xml:space="preserve">Responsable Técnico</w:t>
            </w:r>
          </w:p>
        </w:tc>
        <w:tc>
          <w:tcPr>
            <w:tcW w:type="pct" w:w="3250"/>
            <w:tcMar>
              <w:top w:type="dxa" w:w="113"/>
              <w:left w:type="dxa" w:w="170"/>
              <w:bottom w:type="dxa" w:w="113"/>
              <w:right w:type="dxa" w:w="170"/>
            </w:tcMar>
          </w:tcPr>
          <w:p>
            <w:r>
              <w:rPr>
                <w:color w:val="0F172A"/>
                <w:sz w:val="18"/>
                <w:szCs w:val="18"/>
              </w:rPr>
              <w:t xml:space="preserve">Dirección de Tecnologías de la Información y Transformación Digital</w:t>
            </w:r>
          </w:p>
        </w:tc>
      </w:tr>
      <w:tr>
        <w:tc>
          <w:tcPr>
            <w:tcW w:type="pct" w:w="1750"/>
            <w:tcMar>
              <w:top w:type="dxa" w:w="113"/>
              <w:left w:type="dxa" w:w="170"/>
              <w:bottom w:type="dxa" w:w="113"/>
              <w:right w:type="dxa" w:w="170"/>
            </w:tcMar>
          </w:tcPr>
          <w:p>
            <w:r>
              <w:rPr>
                <w:b/>
                <w:bCs/>
                <w:color w:val="0F172A"/>
                <w:sz w:val="18"/>
                <w:szCs w:val="18"/>
              </w:rPr>
              <w:t xml:space="preserve">Responsable de Seguridad (CISO)</w:t>
            </w:r>
          </w:p>
        </w:tc>
        <w:tc>
          <w:tcPr>
            <w:tcW w:type="pct" w:w="3250"/>
            <w:tcMar>
              <w:top w:type="dxa" w:w="113"/>
              <w:left w:type="dxa" w:w="170"/>
              <w:bottom w:type="dxa" w:w="113"/>
              <w:right w:type="dxa" w:w="170"/>
            </w:tcMar>
          </w:tcPr>
          <w:p>
            <w:r>
              <w:rPr>
                <w:color w:val="0F172A"/>
                <w:sz w:val="18"/>
                <w:szCs w:val="18"/>
              </w:rPr>
              <w:t xml:space="preserve">Responsable de Seguridad de la Información (CISO)</w:t>
            </w:r>
          </w:p>
        </w:tc>
      </w:tr>
      <w:tr>
        <w:tc>
          <w:tcPr>
            <w:tcW w:type="pct" w:w="1750"/>
            <w:tcMar>
              <w:top w:type="dxa" w:w="113"/>
              <w:left w:type="dxa" w:w="170"/>
              <w:bottom w:type="dxa" w:w="113"/>
              <w:right w:type="dxa" w:w="170"/>
            </w:tcMar>
          </w:tcPr>
          <w:p>
            <w:r>
              <w:rPr>
                <w:b/>
                <w:bCs/>
                <w:color w:val="0F172A"/>
                <w:sz w:val="18"/>
                <w:szCs w:val="18"/>
              </w:rPr>
              <w:t xml:space="preserve">Delegado de Protección de Datos</w:t>
            </w:r>
          </w:p>
        </w:tc>
        <w:tc>
          <w:tcPr>
            <w:tcW w:type="pct" w:w="3250"/>
            <w:tcMar>
              <w:top w:type="dxa" w:w="113"/>
              <w:left w:type="dxa" w:w="170"/>
              <w:bottom w:type="dxa" w:w="113"/>
              <w:right w:type="dxa" w:w="170"/>
            </w:tcMar>
          </w:tcPr>
          <w:p>
            <w:r>
              <w:rPr>
                <w:color w:val="0F172A"/>
                <w:sz w:val="18"/>
                <w:szCs w:val="18"/>
              </w:rPr>
              <w:t xml:space="preserve">Delegado de Protección de Datos (DPD / DPO)</w:t>
            </w:r>
          </w:p>
        </w:tc>
      </w:tr>
    </w:tbl>
    <w:p>
      <w:pPr>
        <w:spacing w:before="800"/>
      </w:pPr>
    </w:p>
    <w:p>
      <w:pPr>
        <w:spacing w:after="600"/>
      </w:pPr>
      <w:r>
        <w:rPr>
          <w:i/>
          <w:iCs/>
          <w:color w:val="64748B"/>
          <w:sz w:val="18"/>
          <w:szCs w:val="18"/>
        </w:rPr>
        <w:t xml:space="preserve">MARCO JURÍDICO APLICABLE: Reglamento (UE) 2024/1689 (AI Act), Reglamento Ómnibus Digital (UE 2026/1744), Real Decreto 311/2022 (ENS), Guía CCN-STIC 884D, Ley 40/2015 de Régimen Jurídico del Sector Público (Art. 41), Ley 7/1985 de Bases de Régimen Local, Reglamento (UE) 2016/679 (RGPD) y Ley Orgánica 3/2018 (LOPDGDD).</w:t>
      </w:r>
    </w:p>
    <w:p>
      <w:pPr>
        <w:pStyle w:val="Heading2"/>
        <w:pBdr>
          <w:bottom w:val="single" w:color="0284C7" w:sz="6" w:space="4"/>
        </w:pBdr>
        <w:spacing w:after="150" w:before="400"/>
      </w:pPr>
      <w:r>
        <w:rPr>
          <w:rFonts w:ascii="Arial" w:cs="Arial" w:eastAsia="Arial" w:hAnsi="Arial"/>
          <w:b/>
          <w:bCs/>
          <w:color w:val="1E3A8A"/>
          <w:sz w:val="24"/>
          <w:szCs w:val="24"/>
        </w:rPr>
        <w:t xml:space="preserve">1. RESUMEN EJECUTIVO Y DICTAMEN DE CONFORMIDAD</w:t>
      </w:r>
    </w:p>
    <w:p>
      <w:pPr>
        <w:spacing w:after="200"/>
      </w:pPr>
      <w:r>
        <w:t xml:space="preserve">El sistema "Analizador de convocatorias de ayudas y subvenciones" ha sido sometido a una auditoría técnica y jurídica exhaustiva conforme a los requerimientos del Reglamento (UE) 2024/1689 sobre Inteligencia Artificial (AI Act), el Esquema Nacional de Seguridad (Real Decreto 311/2022) y el marco de procedimiento administrativo del sector público español.</w:t>
      </w:r>
    </w:p>
    <w:p>
      <w:pPr>
        <w:spacing w:after="400"/>
      </w:pPr>
      <w:r>
        <w:rPr>
          <w:b/>
          <w:bCs/>
        </w:rPr>
        <w:t xml:space="preserve">Conclusión del Dictamen: El despliegue y utilización de esta aplicación en el ámbito de la Diputación Provincial de Lugo y sus municipios vinculados resulta JURÍDICA Y TÉCNICAMENTE PROCEDENTE. Se clasifica como sistema de RIESGO DE TRANSPARENCIA (Art. 50 RIA) al operar como un auxilio técnico preparatorio desprovisto de autonomía resolutoria, con retención íntegra de la supervisión por el funcionario tramitador.</w:t>
      </w:r>
    </w:p>
    <w:p>
      <w:pPr>
        <w:pStyle w:val="Heading2"/>
        <w:pBdr>
          <w:bottom w:val="single" w:color="0284C7" w:sz="6" w:space="4"/>
        </w:pBdr>
        <w:spacing w:after="150" w:before="400"/>
      </w:pPr>
      <w:r>
        <w:rPr>
          <w:rFonts w:ascii="Arial" w:cs="Arial" w:eastAsia="Arial" w:hAnsi="Arial"/>
          <w:b/>
          <w:bCs/>
          <w:color w:val="1E3A8A"/>
          <w:sz w:val="24"/>
          <w:szCs w:val="24"/>
        </w:rPr>
        <w:t xml:space="preserve">2. IDENTIFICACIÓN Y ARQUITECTURA DEL SISTEMA</w:t>
      </w:r>
    </w:p>
    <w:p>
      <w:pPr>
        <w:pStyle w:val="ListParagraph"/>
        <w:numPr>
          <w:ilvl w:val="0"/>
          <w:numId w:val="1"/>
        </w:numPr>
        <w:spacing w:after="100"/>
      </w:pPr>
      <w:r>
        <w:rPr>
          <w:b/>
          <w:bCs/>
          <w:sz w:val="20"/>
          <w:szCs w:val="20"/>
        </w:rPr>
        <w:t xml:space="preserve">Objeto Funcional: </w:t>
      </w:r>
      <w:r>
        <w:rPr>
          <w:sz w:val="20"/>
          <w:szCs w:val="20"/>
        </w:rPr>
        <w:t xml:space="preserve">Aplicación orientada al análisis estructurado de convocatorias de fondos públicos (FEDER, FSE+, PRTR, Horizon, Estatales y Autonómicos) extrayendo plazos, beneficiarios, gastos subvencionables y generando borradores de fichas resumen con Score de encaje institucional.</w:t>
      </w:r>
    </w:p>
    <w:p>
      <w:pPr>
        <w:pStyle w:val="ListParagraph"/>
        <w:numPr>
          <w:ilvl w:val="0"/>
          <w:numId w:val="1"/>
        </w:numPr>
        <w:spacing w:after="100"/>
      </w:pPr>
      <w:r>
        <w:rPr>
          <w:b/>
          <w:bCs/>
          <w:sz w:val="20"/>
          <w:szCs w:val="20"/>
        </w:rPr>
        <w:t xml:space="preserve">Pila Tecnológica y Despliegue: </w:t>
      </w:r>
      <w:r>
        <w:rPr>
          <w:sz w:val="20"/>
          <w:szCs w:val="20"/>
        </w:rPr>
        <w:t xml:space="preserve">Arquitectura React 19, TypeScript y Vite. Integración con Google Gemini API (@google/genai) mediante política Bring Your Own Key (BYOK) y compatibilidad con inferencia local on-premise mediante Ollama / vLLM (modelos de pesos abiertos como Gemma o ALIA en servidores corporativos propios).</w:t>
      </w:r>
    </w:p>
    <w:p>
      <w:pPr>
        <w:pStyle w:val="ListParagraph"/>
        <w:numPr>
          <w:ilvl w:val="0"/>
          <w:numId w:val="1"/>
        </w:numPr>
        <w:spacing w:after="100"/>
      </w:pPr>
      <w:r>
        <w:rPr>
          <w:b/>
          <w:bCs/>
          <w:sz w:val="20"/>
          <w:szCs w:val="20"/>
        </w:rPr>
        <w:t xml:space="preserve">Cobertura Documental: </w:t>
      </w:r>
      <w:r>
        <w:rPr>
          <w:sz w:val="20"/>
          <w:szCs w:val="20"/>
        </w:rPr>
        <w:t xml:space="preserve">Protección pericial reforzada. Se ha verificado el archivo AGENTS.md que codifica formalmente las directrices del modelo, el sistema de citación obligatoria (Ref: Pág. X), la prohibición de inferir datos no escritos y la cláusula imperativa "No consta".</w:t>
      </w:r>
    </w:p>
    <w:p>
      <w:pPr>
        <w:spacing w:before="200"/>
      </w:pPr>
    </w:p>
    <w:p>
      <w:pPr>
        <w:pStyle w:val="Heading2"/>
        <w:pBdr>
          <w:bottom w:val="single" w:color="0284C7" w:sz="6" w:space="4"/>
        </w:pBdr>
        <w:spacing w:after="150" w:before="400"/>
      </w:pPr>
      <w:r>
        <w:rPr>
          <w:rFonts w:ascii="Arial" w:cs="Arial" w:eastAsia="Arial" w:hAnsi="Arial"/>
          <w:b/>
          <w:bCs/>
          <w:color w:val="1E3A8A"/>
          <w:sz w:val="24"/>
          <w:szCs w:val="24"/>
        </w:rPr>
        <w:t xml:space="preserve">3. VERIFICACIÓN DE PRÁCTICAS PROHIBIDAS (ART. 5 RIA)</w:t>
      </w:r>
    </w:p>
    <w:p>
      <w:pPr>
        <w:pStyle w:val="ListParagraph"/>
        <w:numPr>
          <w:ilvl w:val="0"/>
          <w:numId w:val="1"/>
        </w:numPr>
        <w:spacing w:after="100"/>
      </w:pPr>
      <w:r>
        <w:rPr>
          <w:b/>
          <w:bCs/>
          <w:sz w:val="20"/>
          <w:szCs w:val="20"/>
        </w:rPr>
        <w:t xml:space="preserve">Puntuación Social (Art. 5.1.c RIA): </w:t>
      </w:r>
      <w:r>
        <w:rPr>
          <w:sz w:val="20"/>
          <w:szCs w:val="20"/>
        </w:rPr>
        <w:t xml:space="preserve">No detectado. El sistema analiza convocatorias normativas abstractas, no perfiles ni conductas ciudadanas.</w:t>
      </w:r>
    </w:p>
    <w:p>
      <w:pPr>
        <w:pStyle w:val="ListParagraph"/>
        <w:numPr>
          <w:ilvl w:val="0"/>
          <w:numId w:val="1"/>
        </w:numPr>
        <w:spacing w:after="100"/>
      </w:pPr>
      <w:r>
        <w:rPr>
          <w:b/>
          <w:bCs/>
          <w:sz w:val="20"/>
          <w:szCs w:val="20"/>
        </w:rPr>
        <w:t xml:space="preserve">Reconocimiento de Emociones en el Trabajo (Art. 5.1.f RIA): </w:t>
      </w:r>
      <w:r>
        <w:rPr>
          <w:sz w:val="20"/>
          <w:szCs w:val="20"/>
        </w:rPr>
        <w:t xml:space="preserve">No detectado. La herramienta no incorpora módulos biométricos ni inferencia de estados anímicos de empleados ni candidatos.</w:t>
      </w:r>
    </w:p>
    <w:p>
      <w:pPr>
        <w:pStyle w:val="ListParagraph"/>
        <w:numPr>
          <w:ilvl w:val="0"/>
          <w:numId w:val="1"/>
        </w:numPr>
        <w:spacing w:after="100"/>
      </w:pPr>
      <w:r>
        <w:rPr>
          <w:b/>
          <w:bCs/>
          <w:sz w:val="20"/>
          <w:szCs w:val="20"/>
        </w:rPr>
        <w:t xml:space="preserve">Categorización Biométrica Sensible (Art. 5.1.g RIA): </w:t>
      </w:r>
      <w:r>
        <w:rPr>
          <w:sz w:val="20"/>
          <w:szCs w:val="20"/>
        </w:rPr>
        <w:t xml:space="preserve">No detectado. Ausencia total de procesamiento de imágenes o datos biológicos.</w:t>
      </w:r>
    </w:p>
    <w:p>
      <w:pPr>
        <w:pStyle w:val="ListParagraph"/>
        <w:numPr>
          <w:ilvl w:val="0"/>
          <w:numId w:val="1"/>
        </w:numPr>
        <w:spacing w:after="100"/>
      </w:pPr>
      <w:r>
        <w:rPr>
          <w:b/>
          <w:bCs/>
          <w:sz w:val="20"/>
          <w:szCs w:val="20"/>
        </w:rPr>
        <w:t xml:space="preserve">Manipulación Cognitiva o Engaño Subliminal (Art. 5.1.a RIA): </w:t>
      </w:r>
      <w:r>
        <w:rPr>
          <w:sz w:val="20"/>
          <w:szCs w:val="20"/>
        </w:rPr>
        <w:t xml:space="preserve">No detectado. El software procesa textos oficiales sin técnicas subliminales ni distorsión intencionada.</w:t>
      </w:r>
    </w:p>
    <w:p>
      <w:pPr>
        <w:spacing w:before="200"/>
      </w:pPr>
    </w:p>
    <w:p>
      <w:pPr>
        <w:pStyle w:val="Heading2"/>
        <w:pBdr>
          <w:bottom w:val="single" w:color="0284C7" w:sz="6" w:space="4"/>
        </w:pBdr>
        <w:spacing w:after="150" w:before="400"/>
      </w:pPr>
      <w:r>
        <w:rPr>
          <w:rFonts w:ascii="Arial" w:cs="Arial" w:eastAsia="Arial" w:hAnsi="Arial"/>
          <w:b/>
          <w:bCs/>
          <w:color w:val="1E3A8A"/>
          <w:sz w:val="24"/>
          <w:szCs w:val="24"/>
        </w:rPr>
        <w:t xml:space="preserve">4. DELIMITACIÓN CON EL ANEXO III Y REGLAMENTO ÓMNIBUS DIGITAL (UE 2026/1744)</w:t>
      </w:r>
    </w:p>
    <w:p>
      <w:pPr>
        <w:spacing w:after="300"/>
      </w:pPr>
      <w:r>
        <w:t xml:space="preserve">El sistema se desvincula formalmente del catálogo de Alto Riesgo del Anexo III del RIA. Si bien interviene en el ecosistema de subvenciones y ayudas públicas, NO evalúa ni barema a personas físicas ni candidatos privados solicitantes de prestaciones; evalúa las bases reguladoras de las subvenciones para facilitar que la propia Administración solicite fondos públicos competitivos. Se ampara en el Reglamento Ómnibus Digital (UE 2026/1744) que agiliza el uso de herramientas instrumentales internas.</w:t>
      </w:r>
    </w:p>
    <w:p>
      <w:pPr>
        <w:pStyle w:val="Heading2"/>
        <w:pBdr>
          <w:bottom w:val="single" w:color="0284C7" w:sz="6" w:space="4"/>
        </w:pBdr>
        <w:spacing w:after="150" w:before="400"/>
      </w:pPr>
      <w:r>
        <w:rPr>
          <w:rFonts w:ascii="Arial" w:cs="Arial" w:eastAsia="Arial" w:hAnsi="Arial"/>
          <w:b/>
          <w:bCs/>
          <w:color w:val="1E3A8A"/>
          <w:sz w:val="24"/>
          <w:szCs w:val="24"/>
        </w:rPr>
        <w:t xml:space="preserve">5. SUPERVISIÓN HUMANA EFECTIVA (ART. 14 RIA) Y ART. 41 LEY 40/2015</w:t>
      </w:r>
    </w:p>
    <w:p>
      <w:pPr>
        <w:pStyle w:val="ListParagraph"/>
        <w:numPr>
          <w:ilvl w:val="0"/>
          <w:numId w:val="1"/>
        </w:numPr>
        <w:spacing w:after="100"/>
      </w:pPr>
      <w:r>
        <w:rPr>
          <w:b/>
          <w:bCs/>
          <w:sz w:val="20"/>
          <w:szCs w:val="20"/>
        </w:rPr>
        <w:t xml:space="preserve">Nivel de Supervisión Humana: </w:t>
      </w:r>
      <w:r>
        <w:rPr>
          <w:sz w:val="20"/>
          <w:szCs w:val="20"/>
        </w:rPr>
        <w:t xml:space="preserve">Human-in-the-Loop preceptivo. La ficha resumen generada tiene carácter orientativo y borrador técnico; el funcionario instructor verifica personalmente los plazos y cuantías antes de iniciar cualquier solicitud.</w:t>
      </w:r>
    </w:p>
    <w:p>
      <w:pPr>
        <w:pStyle w:val="ListParagraph"/>
        <w:numPr>
          <w:ilvl w:val="0"/>
          <w:numId w:val="1"/>
        </w:numPr>
        <w:spacing w:after="100"/>
      </w:pPr>
      <w:r>
        <w:rPr>
          <w:b/>
          <w:bCs/>
          <w:sz w:val="20"/>
          <w:szCs w:val="20"/>
        </w:rPr>
        <w:t xml:space="preserve">Deslinde con la Actuación Administrativa Automatizada: </w:t>
      </w:r>
      <w:r>
        <w:rPr>
          <w:sz w:val="20"/>
          <w:szCs w:val="20"/>
        </w:rPr>
        <w:t xml:space="preserve">El sistema NO emite actos administrativos automatizados ni resoluciones administrativas. Carece de firma electrónica delegada o capacidad resolutoria. La decisión es adoptada siempre por el órgano competente.</w:t>
      </w:r>
    </w:p>
    <w:p>
      <w:pPr>
        <w:spacing w:before="200"/>
      </w:pPr>
    </w:p>
    <w:p>
      <w:pPr>
        <w:pStyle w:val="Heading2"/>
        <w:pBdr>
          <w:bottom w:val="single" w:color="0284C7" w:sz="6" w:space="4"/>
        </w:pBdr>
        <w:spacing w:after="150" w:before="400"/>
      </w:pPr>
      <w:r>
        <w:rPr>
          <w:rFonts w:ascii="Arial" w:cs="Arial" w:eastAsia="Arial" w:hAnsi="Arial"/>
          <w:b/>
          <w:bCs/>
          <w:color w:val="1E3A8A"/>
          <w:sz w:val="24"/>
          <w:szCs w:val="24"/>
        </w:rPr>
        <w:t xml:space="preserve">6. SEGURIDAD DE LA INFORMACIÓN CCN-STIC 884D Y ENS</w:t>
      </w:r>
    </w:p>
    <w:p>
      <w:pPr>
        <w:pStyle w:val="ListParagraph"/>
        <w:numPr>
          <w:ilvl w:val="0"/>
          <w:numId w:val="1"/>
        </w:numPr>
        <w:spacing w:after="100"/>
      </w:pPr>
      <w:r>
        <w:rPr>
          <w:b/>
          <w:bCs/>
          <w:sz w:val="20"/>
          <w:szCs w:val="20"/>
        </w:rPr>
        <w:t xml:space="preserve">Medida IA-01 (Protección de Credenciales): </w:t>
      </w:r>
      <w:r>
        <w:rPr>
          <w:sz w:val="20"/>
          <w:szCs w:val="20"/>
        </w:rPr>
        <w:t xml:space="preserve">En producción institucional, se recomienda canalizar las peticiones a través de un proxy corporativo seguro o emplear el motor Ollama en servidor on-premise propio.</w:t>
      </w:r>
    </w:p>
    <w:p>
      <w:pPr>
        <w:pStyle w:val="ListParagraph"/>
        <w:numPr>
          <w:ilvl w:val="0"/>
          <w:numId w:val="1"/>
        </w:numPr>
        <w:spacing w:after="100"/>
      </w:pPr>
      <w:r>
        <w:rPr>
          <w:b/>
          <w:bCs/>
          <w:sz w:val="20"/>
          <w:szCs w:val="20"/>
        </w:rPr>
        <w:t xml:space="preserve">Medida IA-04 (Sanitización y Clasificación): </w:t>
      </w:r>
      <w:r>
        <w:rPr>
          <w:sz w:val="20"/>
          <w:szCs w:val="20"/>
        </w:rPr>
        <w:t xml:space="preserve">Las bases y textos analizados provienen de boletines públicos. Queda prohibida la carga de memorias que contengan datos clasificados o secretos oficiales.</w:t>
      </w:r>
    </w:p>
    <w:p>
      <w:pPr>
        <w:pStyle w:val="ListParagraph"/>
        <w:numPr>
          <w:ilvl w:val="0"/>
          <w:numId w:val="1"/>
        </w:numPr>
        <w:spacing w:after="100"/>
      </w:pPr>
      <w:r>
        <w:rPr>
          <w:b/>
          <w:bCs/>
          <w:sz w:val="20"/>
          <w:szCs w:val="20"/>
        </w:rPr>
        <w:t xml:space="preserve">Medida IA-08 (Trazabilidad y Logs): </w:t>
      </w:r>
      <w:r>
        <w:rPr>
          <w:sz w:val="20"/>
          <w:szCs w:val="20"/>
        </w:rPr>
        <w:t xml:space="preserve">Se habilita el módulo de registro criptográfico de consultas, respuestas y marcas de tiempo con huella SHA-256 durante un plazo de 24 meses.</w:t>
      </w:r>
    </w:p>
    <w:p>
      <w:pPr>
        <w:spacing w:before="200"/>
      </w:pPr>
    </w:p>
    <w:p>
      <w:pPr>
        <w:pStyle w:val="Heading2"/>
        <w:pBdr>
          <w:bottom w:val="single" w:color="0284C7" w:sz="6" w:space="4"/>
        </w:pBdr>
        <w:spacing w:after="150" w:before="400"/>
      </w:pPr>
      <w:r>
        <w:rPr>
          <w:rFonts w:ascii="Arial" w:cs="Arial" w:eastAsia="Arial" w:hAnsi="Arial"/>
          <w:b/>
          <w:bCs/>
          <w:color w:val="1E3A8A"/>
          <w:sz w:val="24"/>
          <w:szCs w:val="24"/>
        </w:rPr>
        <w:t xml:space="preserve">7. DILIGENCIA DE COTEJO NORMATIVO TELEMÁTICO (BOE Y DOUE CELLAR)</w:t>
      </w:r>
    </w:p>
    <w:p>
      <w:pPr>
        <w:spacing w:after="150"/>
      </w:pPr>
      <w:r>
        <w:rPr>
          <w:sz w:val="20"/>
          <w:szCs w:val="20"/>
        </w:rPr>
        <w:t xml:space="preserve">Se hace constar mediante la presente diligencia técnica que los preceptos jurídicos invocados y auditados en este expediente han sido verificados telemáticamente en tiempo real frente a los repositorios normativos oficiales a fecha de emisión de este dictamen:</w:t>
      </w:r>
    </w:p>
    <w:p>
      <w:pPr>
        <w:pStyle w:val="ListParagraph"/>
        <w:numPr>
          <w:ilvl w:val="0"/>
          <w:numId w:val="1"/>
        </w:numPr>
        <w:spacing w:after="100"/>
      </w:pPr>
      <w:r>
        <w:rPr>
          <w:b/>
          <w:bCs/>
          <w:sz w:val="20"/>
          <w:szCs w:val="20"/>
        </w:rPr>
        <w:t xml:space="preserve">Diario Oficial de la Unión Europea (DOUE / Repositorio Cellar REST API): </w:t>
      </w:r>
      <w:r>
        <w:rPr>
          <w:sz w:val="20"/>
          <w:szCs w:val="20"/>
        </w:rPr>
        <w:t xml:space="preserve">Reglamento (UE) 2024/1689 (AI Act) [CELEX 32024R1689 - Arts. 5, 12, 14, 50] y Reglamento (UE) 2016/679 (RGPD) [CELEX 32016R0679]. Estado: Vigente y consolidado telemáticamente.</w:t>
      </w:r>
    </w:p>
    <w:p>
      <w:pPr>
        <w:pStyle w:val="ListParagraph"/>
        <w:numPr>
          <w:ilvl w:val="0"/>
          <w:numId w:val="1"/>
        </w:numPr>
        <w:spacing w:after="100"/>
      </w:pPr>
      <w:r>
        <w:rPr>
          <w:b/>
          <w:bCs/>
          <w:sz w:val="20"/>
          <w:szCs w:val="20"/>
        </w:rPr>
        <w:t xml:space="preserve">Boletín Oficial del Estado (BOE / Repositorio Legalize-ES): </w:t>
      </w:r>
      <w:r>
        <w:rPr>
          <w:sz w:val="20"/>
          <w:szCs w:val="20"/>
        </w:rPr>
        <w:t xml:space="preserve">Ley 40/2015 de Régimen Jurídico del Sector Público [BOE-A-2015-10566 - Art. 41 Actuación Administrativa Automatizada], Ley 7/1985 (LRBRL) y Real Decreto 311/2022 del Esquema Nacional de Seguridad (ENS) [BOE-A-2022-7191]. Estado: Vigente y consolidado telemáticamente.</w:t>
      </w:r>
    </w:p>
    <w:p>
      <w:pPr>
        <w:spacing w:after="400" w:before="100"/>
      </w:pPr>
      <w:r>
        <w:rPr>
          <w:i/>
          <w:iCs/>
          <w:color w:val="64748B"/>
          <w:sz w:val="18"/>
          <w:szCs w:val="18"/>
        </w:rPr>
        <w:t xml:space="preserve">Conclusión del cotejo: No se han detectado modificaciones derogatorias sobrevenidas ni alteraciones materiales en los preceptos aplicables que invaliden la presente calificación jurídica.</w:t>
      </w:r>
    </w:p>
    <w:p>
      <w:pPr>
        <w:pStyle w:val="Heading2"/>
        <w:pBdr>
          <w:bottom w:val="single" w:color="0284C7" w:sz="6" w:space="4"/>
        </w:pBdr>
        <w:spacing w:after="150" w:before="400"/>
      </w:pPr>
      <w:r>
        <w:rPr>
          <w:rFonts w:ascii="Arial" w:cs="Arial" w:eastAsia="Arial" w:hAnsi="Arial"/>
          <w:b/>
          <w:bCs/>
          <w:color w:val="1E3A8A"/>
          <w:sz w:val="24"/>
          <w:szCs w:val="24"/>
        </w:rPr>
        <w:t xml:space="preserve">DILIGENCIA FORMAL DE CONFORMIDAD Y RÚBRICAS</w:t>
      </w:r>
    </w:p>
    <w:p>
      <w:pPr>
        <w:spacing w:after="400"/>
      </w:pPr>
      <w:r>
        <w:t xml:space="preserve">Habiéndose analizado los requisitos técnicos, organizativos y jurídicos, los suscritos prestan su conformidad al presente expediente para la puesta en explotación del sistema bajo las directrices reseñadas: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94"/>
        <w:gridCol w:w="2994"/>
        <w:gridCol w:w="2994"/>
      </w:tblGrid>
      <w:tr>
        <w:tc>
          <w:tcPr>
            <w:tcW w:type="pct" w:w="1650"/>
            <w:tcMar>
              <w:top w:type="dxa" w:w="170"/>
              <w:left w:type="dxa" w:w="113"/>
              <w:bottom w:type="dxa" w:w="170"/>
              <w:right w:type="dxa" w:w="113"/>
            </w:tcMar>
          </w:tcPr>
          <w:p>
            <w:pPr>
              <w:spacing w:after="600"/>
              <w:jc w:val="center"/>
            </w:pPr>
            <w:r>
              <w:rPr>
                <w:b/>
                <w:bCs/>
                <w:color w:val="1E3A8A"/>
                <w:sz w:val="16"/>
                <w:szCs w:val="16"/>
              </w:rPr>
              <w:t xml:space="preserve">EL RESPONSABLE FUNCIONAL</w:t>
            </w:r>
          </w:p>
          <w:p>
            <w:pPr>
              <w:spacing w:after="200"/>
              <w:jc w:val="center"/>
            </w:pPr>
            <w:r>
              <w:rPr>
                <w:i/>
                <w:iCs/>
                <w:color w:val="64748B"/>
                <w:sz w:val="14"/>
                <w:szCs w:val="14"/>
              </w:rPr>
              <w:t xml:space="preserve">[ Firma Electrónica / CSV ]</w:t>
            </w:r>
          </w:p>
          <w:p>
            <w:pPr>
              <w:jc w:val="center"/>
            </w:pPr>
            <w:r>
              <w:rPr>
                <w:b/>
                <w:bCs/>
                <w:sz w:val="16"/>
                <w:szCs w:val="16"/>
              </w:rPr>
              <w:t xml:space="preserve">Jefatura de Servicio de Fondos Europeos</w:t>
            </w:r>
          </w:p>
          <w:p>
            <w:pPr>
              <w:jc w:val="center"/>
            </w:pPr>
            <w:r>
              <w:rPr>
                <w:color w:val="64748B"/>
                <w:sz w:val="14"/>
                <w:szCs w:val="14"/>
              </w:rPr>
              <w:t xml:space="preserve">Área de Régimen Jurídico e Innovación</w:t>
            </w:r>
          </w:p>
        </w:tc>
        <w:tc>
          <w:tcPr>
            <w:tcW w:type="pct" w:w="1650"/>
            <w:tcMar>
              <w:top w:type="dxa" w:w="170"/>
              <w:left w:type="dxa" w:w="113"/>
              <w:bottom w:type="dxa" w:w="170"/>
              <w:right w:type="dxa" w:w="113"/>
            </w:tcMar>
          </w:tcPr>
          <w:p>
            <w:pPr>
              <w:spacing w:after="600"/>
              <w:jc w:val="center"/>
            </w:pPr>
            <w:r>
              <w:rPr>
                <w:b/>
                <w:bCs/>
                <w:color w:val="1E3A8A"/>
                <w:sz w:val="16"/>
                <w:szCs w:val="16"/>
              </w:rPr>
              <w:t xml:space="preserve">EL RESPONSABLE DE SEGURIDAD (CISO)</w:t>
            </w:r>
          </w:p>
          <w:p>
            <w:pPr>
              <w:spacing w:after="200"/>
              <w:jc w:val="center"/>
            </w:pPr>
            <w:r>
              <w:rPr>
                <w:i/>
                <w:iCs/>
                <w:color w:val="64748B"/>
                <w:sz w:val="14"/>
                <w:szCs w:val="14"/>
              </w:rPr>
              <w:t xml:space="preserve">[ Firma Electrónica / CSV ]</w:t>
            </w:r>
          </w:p>
          <w:p>
            <w:pPr>
              <w:jc w:val="center"/>
            </w:pPr>
            <w:r>
              <w:rPr>
                <w:b/>
                <w:bCs/>
                <w:sz w:val="16"/>
                <w:szCs w:val="16"/>
              </w:rPr>
              <w:t xml:space="preserve">Responsable de Seguridad ENS</w:t>
            </w:r>
          </w:p>
          <w:p>
            <w:pPr>
              <w:jc w:val="center"/>
            </w:pPr>
            <w:r>
              <w:rPr>
                <w:color w:val="64748B"/>
                <w:sz w:val="14"/>
                <w:szCs w:val="14"/>
              </w:rPr>
              <w:t xml:space="preserve">Centro de Tecnologías de la Información</w:t>
            </w:r>
          </w:p>
        </w:tc>
        <w:tc>
          <w:tcPr>
            <w:tcW w:type="pct" w:w="1650"/>
            <w:tcMar>
              <w:top w:type="dxa" w:w="170"/>
              <w:left w:type="dxa" w:w="113"/>
              <w:bottom w:type="dxa" w:w="170"/>
              <w:right w:type="dxa" w:w="113"/>
            </w:tcMar>
          </w:tcPr>
          <w:p>
            <w:pPr>
              <w:spacing w:after="600"/>
              <w:jc w:val="center"/>
            </w:pPr>
            <w:r>
              <w:rPr>
                <w:b/>
                <w:bCs/>
                <w:color w:val="1E3A8A"/>
                <w:sz w:val="16"/>
                <w:szCs w:val="16"/>
              </w:rPr>
              <w:t xml:space="preserve">EL DELEGADO DE PROTECCIÓN DE DATOS</w:t>
            </w:r>
          </w:p>
          <w:p>
            <w:pPr>
              <w:spacing w:after="200"/>
              <w:jc w:val="center"/>
            </w:pPr>
            <w:r>
              <w:rPr>
                <w:i/>
                <w:iCs/>
                <w:color w:val="64748B"/>
                <w:sz w:val="14"/>
                <w:szCs w:val="14"/>
              </w:rPr>
              <w:t xml:space="preserve">[ Firma Electrónica / CSV ]</w:t>
            </w:r>
          </w:p>
          <w:p>
            <w:pPr>
              <w:jc w:val="center"/>
            </w:pPr>
            <w:r>
              <w:rPr>
                <w:b/>
                <w:bCs/>
                <w:sz w:val="16"/>
                <w:szCs w:val="16"/>
              </w:rPr>
              <w:t xml:space="preserve">Delegado de Protección de Datos (DPD)</w:t>
            </w:r>
          </w:p>
          <w:p>
            <w:pPr>
              <w:jc w:val="center"/>
            </w:pPr>
            <w:r>
              <w:rPr>
                <w:color w:val="64748B"/>
                <w:sz w:val="14"/>
                <w:szCs w:val="14"/>
              </w:rPr>
              <w:t xml:space="preserve">Diputación Provincial de Lugo</w:t>
            </w:r>
          </w:p>
        </w:tc>
      </w:tr>
    </w:tbl>
    <w:sectPr>
      <w:headerReference w:type="default" r:id="rId6"/>
      <w:footerReference w:type="default" r:id="rId7"/>
      <w:pgSz w:w="11906" w:h="16838" w:orient="portrait"/>
      <w:pgMar w:top="1417" w:right="1417" w:bottom="1417" w:left="1417"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color w:val="64748B"/>
        <w:sz w:val="16"/>
        <w:szCs w:val="16"/>
      </w:rPr>
      <w:t xml:space="preserve">Expediente Oficial de Conformidad RIA (Reg. UE 2024/1689) y ENS (RD 311/2022) · Página </w:t>
    </w:r>
    <w:r>
      <w:rPr>
        <w:b/>
        <w:bCs/>
        <w:color w:val="64748B"/>
        <w:sz w:val="16"/>
        <w:szCs w:val="16"/>
      </w:rPr>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CE2DF" w:sz="6" w:space="6"/>
      </w:pBdr>
      <w:jc w:val="left"/>
    </w:pPr>
    <w:r>
      <w:drawing>
        <wp:inline distT="0" distB="0" distL="0" distR="0">
          <wp:extent cx="323850"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23850" cy="161925"/>
                  </a:xfrm>
                  <a:prstGeom prst="rect">
                    <a:avLst/>
                  </a:prstGeom>
                </pic:spPr>
              </pic:pic>
            </a:graphicData>
          </a:graphic>
        </wp:inline>
      </w:drawing>
    </w:r>
    <w:r>
      <w:rPr>
        <w:rFonts w:ascii="Arial" w:cs="Arial" w:eastAsia="Arial" w:hAnsi="Arial"/>
        <w:color w:val="5D6875"/>
        <w:sz w:val="16"/>
        <w:szCs w:val="16"/>
      </w:rPr>
      <w:t xml:space="preserve">   Arias Lombardero · Aplicaciones | Expediente de Gobernanza IA · DIPUTACIÓN PROVINCIAL DE LUGO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F172A"/>
        <w:sz w:val="22"/>
        <w:szCs w:val="22"/>
      </w:rPr>
    </w:rPrDefault>
    <w:pPrDefault>
      <w:pPr>
        <w:spacing w:line="276"/>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c0f73615d70e0280aeac585168753e3db005795d.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2026-10-03T11:48:43.679Z</dcterms:created>
  <dcterms:modified xsi:type="dcterms:W3CDTF">2026-10-03T11:48:43.681Z</dcterms:modified>
</cp:coreProperties>
</file>

<file path=docProps/custom.xml><?xml version="1.0" encoding="utf-8"?>
<Properties xmlns="http://schemas.openxmlformats.org/officeDocument/2006/custom-properties" xmlns:vt="http://schemas.openxmlformats.org/officeDocument/2006/docPropsVTypes"/>
</file>