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13/10/2026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No consta la norma que regula el procedimiento del que proceden los datos.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 que no existe registro de actividad.</w:t>
      </w:r>
    </w:p>
    <w:p>
      <w:pPr>
        <w:pStyle w:val="Heading1"/>
        <w:spacing w:after="200" w:before="400"/>
      </w:pPr>
      <w:r>
        <w:t xml:space="preserve">3 bis. EVALUACIÓN DE LA NECESIDAD Y LA PROPORCIONALIDAD (ART. 35.7.b RGPD)</w:t>
      </w:r>
    </w:p>
    <w:p>
      <w:pPr>
        <w:spacing w:after="150"/>
      </w:pPr>
      <w:r>
        <w:t xml:space="preserve">La EIPD debe incluir una evaluación de la necesidad y la proporcionalidad de las operaciones de tratamiento con respecto a su finalidad (Art. 35.7.b RGPD). La herramienta recoge lo declarado y plantea las preguntas; no las responde. Las preguntas siguen el objetivo «Análisis de la proporcionalidad y necesidad» de los Requisitos para auditorías de tratamientos que incluyan IA de la AEPD.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2903"/>
        <w:gridCol w:w="2722"/>
        <w:gridCol w:w="1814"/>
      </w:tblGrid>
      <w:tr>
        <w:tc>
          <w:tcPr>
            <w:tcW w:type="pct" w:w="9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Juicio</w:t>
            </w:r>
          </w:p>
        </w:tc>
        <w:tc>
          <w:tcPr>
            <w:tcW w:type="pct" w:w="16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Pregunta</w:t>
            </w:r>
          </w:p>
        </w:tc>
        <w:tc>
          <w:tcPr>
            <w:tcW w:type="pct" w:w="15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Lo que consta</w:t>
            </w:r>
          </w:p>
        </w:tc>
        <w:tc>
          <w:tcPr>
            <w:tcW w:type="pct" w:w="1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Conclusión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Idoneidad</w:t>
            </w:r>
          </w:p>
        </w:tc>
        <w:tc>
          <w:p>
            <w:r>
              <w:rPr>
                <w:sz w:val="20"/>
                <w:szCs w:val="20"/>
              </w:rPr>
              <w:t xml:space="preserve">¿Sirve el tratamiento para alcanzar la finalidad declarada?</w:t>
            </w:r>
          </w:p>
        </w:tc>
        <w:tc>
          <w:p>
            <w:r>
              <w:rPr>
                <w:sz w:val="20"/>
                <w:szCs w:val="20"/>
              </w:rPr>
              <w:t xml:space="preserve">Finalidad declarada: «Asistente que extrae plazos, requisitos y criterios de convocatorias de ayudas y propone ideas de proyecto para la entidad local.».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Alternativas menos intrusivas</w:t>
            </w:r>
          </w:p>
        </w:tc>
        <w:tc>
          <w:p>
            <w:r>
              <w:rPr>
                <w:sz w:val="20"/>
                <w:szCs w:val="20"/>
              </w:rPr>
              <w:t xml:space="preserve">¿Se ha comparado con opciones que traten menos datos o supongan menos riesgo: sin IA, sin datos personales o con datos seudonimizados, con un modelo en servidores propios?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el sistema usa IA (infiere sus resultados). Se declara ejecución en servidores propios de la entidad.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Motivos para usar este sistema</w:t>
            </w:r>
          </w:p>
        </w:tc>
        <w:tc>
          <w:p>
            <w:r>
              <w:rPr>
                <w:sz w:val="20"/>
                <w:szCs w:val="20"/>
              </w:rPr>
              <w:t xml:space="preserve">¿Por qué se usa este sistema y no el procedimiento anterior? Si se aborda un problema nuevo, ¿por qué con IA?</w:t>
            </w:r>
          </w:p>
        </w:tc>
        <w:tc>
          <w:p>
            <w:r>
              <w:rPr>
                <w:sz w:val="20"/>
                <w:szCs w:val="20"/>
              </w:rPr>
              <w:t xml:space="preserve">No consta en la entrevista.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Minimización</w:t>
            </w:r>
          </w:p>
        </w:tc>
        <w:tc>
          <w:p>
            <w:r>
              <w:rPr>
                <w:sz w:val="20"/>
                <w:szCs w:val="20"/>
              </w:rPr>
              <w:t xml:space="preserve">¿Se tratan solo los datos imprescindibles para la finalidad?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se tratan datos personales.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Proporcionalidad en sentido estricto</w:t>
            </w:r>
          </w:p>
        </w:tc>
        <w:tc>
          <w:p>
            <w:r>
              <w:rPr>
                <w:sz w:val="20"/>
                <w:szCs w:val="20"/>
              </w:rPr>
              <w:t xml:space="preserve">¿Compensan los beneficios para el interés público los riesgos para los derechos de los interesados?</w:t>
            </w:r>
          </w:p>
        </w:tc>
        <w:tc>
          <w:p>
            <w:r>
              <w:rPr>
                <w:sz w:val="20"/>
                <w:szCs w:val="20"/>
              </w:rPr>
              <w:t xml:space="preserve">Cribado: según lo declarado no concurren dos o más criterios de riesgo. Véase el apartado 4 bis.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2026-10-13T06:20:22.996Z</dcterms:created>
  <dcterms:modified xsi:type="dcterms:W3CDTF">2026-10-13T06:20:22.996Z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