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Alta play3VTR.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Añade dirección de la promoción y se suma el alta play 3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Se llena los campos de cliente nuevo y genera el RUT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Selecciona la promocion 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A nivel de la orden, solicitar TSQ, Generar documento y se Envía el pedido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genera la actividad 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Instalamos equipo y aprovisionamos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>Finalizamos actividad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En Siebel se revisa que la actividad aparezca completada </w:t>
      </w:r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a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