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308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137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DANIELA</w:t>
            </w:r>
          </w:p>
          <w:p>
            <w:r>
              <w:rPr>
                <w:rFonts w:ascii="Arial" w:cs="Arial" w:eastAsia="Arial" w:hAnsi="Arial"/>
                <w:color w:val="C49A28"/>
                <w:sz w:val="24"/>
                <w:szCs w:val="24"/>
              </w:rPr>
              <w:t xml:space="preserve">by TierCore</w:t>
            </w:r>
          </w:p>
          <w:p>
            <w:r>
              <w:rPr>
                <w:rFonts w:ascii="Arial" w:cs="Arial" w:eastAsia="Arial" w:hAnsi="Arial"/>
                <w:color w:val="B0BEC5"/>
                <w:sz w:val="20"/>
                <w:szCs w:val="20"/>
              </w:rPr>
              <w:t xml:space="preserve">Infrastructure Intelligence for Luxury Hospitality</w:t>
            </w:r>
          </w:p>
        </w:tc>
        <w:tc>
          <w:tcPr>
            <w:tcW w:type="dxa" w:w="3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49A28" w:val="clear"/>
            <w:tcMar>
              <w:top w:type="dxa" w:w="200"/>
              <w:left w:type="dxa" w:w="280"/>
              <w:bottom w:type="dxa" w:w="200"/>
              <w:right w:type="dxa" w:w="2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18"/>
                <w:szCs w:val="18"/>
              </w:rPr>
              <w:t xml:space="preserve">PILOT PROJECT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137"/>
                <w:sz w:val="20"/>
                <w:szCs w:val="20"/>
              </w:rPr>
              <w:t xml:space="preserve">BCH-Villa Colony Resort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Kempinski | Turks &amp; Caicos</w:t>
            </w:r>
          </w:p>
        </w:tc>
      </w:tr>
    </w:tbl>
    <w:p>
      <w:pPr>
        <w:spacing w:before="0" w:after="20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0D2137"/>
          <w:sz w:val="20"/>
          <w:szCs w:val="20"/>
        </w:rPr>
        <w:t xml:space="preserve">THE PROBLEM</w:t>
      </w:r>
    </w:p>
    <w:p>
      <w:pPr>
        <w:pBdr>
          <w:bottom w:val="single" w:color="C49A28" w:sz="8" w:space="2"/>
        </w:pBdr>
        <w:spacing w:before="0" w:after="160"/>
      </w:pPr>
    </w:p>
    <w:p>
      <w:pPr>
        <w:spacing w:before="0"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A 191-unit Kempinski resort runs 3x573kW chillers, 18 VFD pump circuits, 5 solar inverters and 1,438 BMS points across 4 protocols. The Director of Operations has no real-time view of efficiency loss or its cost.</w:t>
      </w:r>
    </w:p>
    <w:p>
      <w:pPr>
        <w:spacing w:before="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32"/>
                <w:szCs w:val="32"/>
              </w:rPr>
              <w:t xml:space="preserve">$180K-$240K</w:t>
            </w:r>
          </w:p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Annual HVAC energy cost at BCH scale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32"/>
                <w:szCs w:val="32"/>
              </w:rPr>
              <w:t xml:space="preserve">18-25%</w:t>
            </w:r>
          </w:p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Efficiency loss from undetected chiller degradation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0D2137"/>
                <w:sz w:val="32"/>
                <w:szCs w:val="32"/>
              </w:rPr>
              <w:t xml:space="preserve">$15-$50/day</w:t>
            </w:r>
          </w:p>
          <w:p>
            <w:r>
              <w:rPr>
                <w:rFonts w:ascii="Arial" w:cs="Arial" w:eastAsia="Arial" w:hAnsi="Arial"/>
                <w:color w:val="4A5568"/>
                <w:sz w:val="16"/>
                <w:szCs w:val="16"/>
              </w:rPr>
              <w:t xml:space="preserve">Cost of undetected water leak per unit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0D2137"/>
          <w:sz w:val="20"/>
          <w:szCs w:val="20"/>
        </w:rPr>
        <w:t xml:space="preserve">THE SOLUTION</w:t>
      </w:r>
    </w:p>
    <w:p>
      <w:pPr>
        <w:pBdr>
          <w:bottom w:val="single" w:color="C49A28" w:sz="8" w:space="2"/>
        </w:pBdr>
        <w:spacing w:before="0" w:after="160"/>
      </w:pPr>
    </w:p>
    <w:p>
      <w:pPr>
        <w:spacing w:before="0"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DANIELA reads 1,438 live BMS points and translates raw sensor data into business decisions in natural language — EN or ES — with financial impact and next action. Max 3 paragraphs. Always ends with a decision.</w:t>
      </w:r>
    </w:p>
    <w:p>
      <w:pPr>
        <w:spacing w:before="0" w:after="8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7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BUSINESS IMPACT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Chiller COP Monitor</w:t>
            </w:r>
          </w:p>
        </w:tc>
        <w:tc>
          <w:tcPr>
            <w:tcW w:type="dxa" w:w="7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Detects degradation &gt;8% and alerts with $ extra cost/day and intervention cost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Leak Detection</w:t>
            </w:r>
          </w:p>
        </w:tc>
        <w:tc>
          <w:tcPr>
            <w:tcW w:type="dxa" w:w="7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3-night nocturnal flow pattern identifies slow leaks before they cause damage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Conversational AI (EN/ES)</w:t>
            </w:r>
          </w:p>
        </w:tc>
        <w:tc>
          <w:tcPr>
            <w:tcW w:type="dxa" w:w="7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Natural language Q&amp;A with financial impact and next action — Claude Sonnet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Protocol Agnostic</w:t>
            </w:r>
          </w:p>
        </w:tc>
        <w:tc>
          <w:tcPr>
            <w:tcW w:type="dxa" w:w="7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BACnet IP, BACnet MSTP, M-Bus, Modbus — no vendor lock-in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0D2137"/>
          <w:sz w:val="20"/>
          <w:szCs w:val="20"/>
        </w:rPr>
        <w:t xml:space="preserve">TECHNICAL STATUS — FEB 2026</w:t>
      </w:r>
    </w:p>
    <w:p>
      <w:pPr>
        <w:pBdr>
          <w:bottom w:val="single" w:color="C49A28" w:sz="8" w:space="2"/>
        </w:pBdr>
        <w:spacing w:before="0"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9A28"/>
                <w:sz w:val="36"/>
                <w:szCs w:val="36"/>
              </w:rPr>
              <w:t xml:space="preserve">39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Python modules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9A28"/>
                <w:sz w:val="36"/>
                <w:szCs w:val="36"/>
              </w:rPr>
              <w:t xml:space="preserve">5,633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Lines of code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9A28"/>
                <w:sz w:val="36"/>
                <w:szCs w:val="36"/>
              </w:rPr>
              <w:t xml:space="preserve">31/31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Tests passing</w:t>
            </w:r>
          </w:p>
        </w:tc>
        <w:tc>
          <w:tcPr>
            <w:tcW w:type="dxa" w:w="25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49A28"/>
                <w:sz w:val="36"/>
                <w:szCs w:val="36"/>
              </w:rPr>
              <w:t xml:space="preserve">1,438</w:t>
            </w:r>
          </w:p>
          <w:p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Real BMS points (Talat)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0D2137"/>
          <w:sz w:val="20"/>
          <w:szCs w:val="20"/>
        </w:rPr>
        <w:t xml:space="preserve">WHY THIS IS HARD TO COPY</w:t>
      </w:r>
    </w:p>
    <w:p>
      <w:pPr>
        <w:pBdr>
          <w:bottom w:val="single" w:color="C49A28" w:sz="8" w:space="2"/>
        </w:pBdr>
        <w:spacing w:before="0" w:after="160"/>
      </w:pPr>
    </w:p>
    <w:p>
      <w:pPr>
        <w:spacing w:before="0" w:after="80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The MEP Manager behind Daniela is the same engineer specifying the BMS from design. BCH is under construction and Daniela is built into it from day one — a commissioning-time digital twin. Schneider, Siemens and Vertiv cannot replicate this without changing their delivery model.</w:t>
      </w:r>
    </w:p>
    <w:p>
      <w:pPr>
        <w:spacing w:before="0" w:after="16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0D2137"/>
          <w:sz w:val="20"/>
          <w:szCs w:val="20"/>
        </w:rPr>
        <w:t xml:space="preserve">GO-TO-MARKET</w:t>
      </w:r>
    </w:p>
    <w:p>
      <w:pPr>
        <w:pBdr>
          <w:bottom w:val="single" w:color="C49A28" w:sz="8" w:space="2"/>
        </w:pBdr>
        <w:spacing w:before="0"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8640"/>
      </w:tblGrid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1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BCH pilot — live commissioning data. Document $ savings and operational hours recovered.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2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ROI case study. Entry to Kempinski corporate and Caribbean hospitality portfolio operators.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3</w:t>
            </w:r>
          </w:p>
        </w:tc>
        <w:tc>
          <w:tcPr>
            <w:tcW w:type="dxa" w:w="86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Data center vertical. ATD-certified MEP engineer with live hospitality reference.</w:t>
            </w:r>
          </w:p>
        </w:tc>
      </w:tr>
    </w:tbl>
    <w:p>
      <w:pPr>
        <w:spacing w:before="0" w:after="160"/>
      </w:pPr>
    </w:p>
    <w:p>
      <w:pPr>
        <w:spacing w:before="280" w:after="80"/>
      </w:pPr>
      <w:r>
        <w:rPr>
          <w:rFonts w:ascii="Arial" w:cs="Arial" w:eastAsia="Arial" w:hAnsi="Arial"/>
          <w:b/>
          <w:bCs/>
          <w:color w:val="0D2137"/>
          <w:sz w:val="20"/>
          <w:szCs w:val="20"/>
        </w:rPr>
        <w:t xml:space="preserve">INVESTMENT ASK</w:t>
      </w:r>
    </w:p>
    <w:p>
      <w:pPr>
        <w:pBdr>
          <w:bottom w:val="single" w:color="C49A28" w:sz="8" w:space="2"/>
        </w:pBdr>
        <w:spacing w:before="0" w:after="16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720"/>
      </w:tblGrid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of Funds</w:t>
            </w:r>
          </w:p>
        </w:tc>
        <w:tc>
          <w:tcPr>
            <w:tcW w:type="dxa" w:w="6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213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 — 6 months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Productization</w:t>
            </w:r>
          </w:p>
        </w:tc>
        <w:tc>
          <w:tcPr>
            <w:tcW w:type="dxa" w:w="6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M-Bus driver, API endpoints, multi-site dashboard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BCH commissioning</w:t>
            </w:r>
          </w:p>
        </w:tc>
        <w:tc>
          <w:tcPr>
            <w:tcW w:type="dxa" w:w="6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Live point mapping during MEP installation phase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Technical B2B sales</w:t>
            </w:r>
          </w:p>
        </w:tc>
        <w:tc>
          <w:tcPr>
            <w:tcW w:type="dxa" w:w="6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First signed pilot contract + ROI dossier</w:t>
            </w:r>
          </w:p>
        </w:tc>
      </w:tr>
      <w:tr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4F6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ATD certification</w:t>
            </w:r>
          </w:p>
        </w:tc>
        <w:tc>
          <w:tcPr>
            <w:tcW w:type="dxa" w:w="67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D2137"/>
                <w:sz w:val="18"/>
                <w:szCs w:val="18"/>
              </w:rPr>
              <w:t xml:space="preserve">Uptime Institute ATD (June 2026) — opens data center vertical</w:t>
            </w:r>
          </w:p>
        </w:tc>
      </w:tr>
    </w:tbl>
    <w:p>
      <w:pPr>
        <w:spacing w:before="0" w:after="200"/>
      </w:pPr>
    </w:p>
    <w:p>
      <w:pPr>
        <w:pBdr>
          <w:top w:val="single" w:color="C49A28" w:sz="4" w:space="2"/>
        </w:pBdr>
        <w:spacing w:before="160" w:after="80"/>
        <w:jc w:val="center"/>
      </w:pPr>
      <w:r>
        <w:rPr>
          <w:rFonts w:ascii="Arial" w:cs="Arial" w:eastAsia="Arial" w:hAnsi="Arial"/>
          <w:color w:val="4A5568"/>
          <w:sz w:val="16"/>
          <w:szCs w:val="16"/>
        </w:rPr>
        <w:t xml:space="preserve">TierCore | DANIELA v0.2 | BCH-Villa Colony Resort, Grace Bay, Turks &amp; Caicos | February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556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2026-02-26T04:55:08.258Z</dcterms:created>
  <dcterms:modified xsi:type="dcterms:W3CDTF">2026-02-26T04:55:08.260Z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