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60" w:before="0"/>
      </w:pPr>
      <w:r>
        <w:rPr>
          <w:rFonts w:ascii="Helvetica Neue" w:cs="Helvetica Neue" w:eastAsia="Helvetica Neue" w:hAnsi="Helvetica Neue"/>
          <w:b/>
          <w:bCs/>
          <w:color w:val="111111"/>
          <w:sz w:val="56"/>
          <w:szCs w:val="56"/>
        </w:rPr>
        <w:t xml:space="preserve">GenUI</w:t>
      </w:r>
    </w:p>
    <w:p>
      <w:pPr>
        <w:spacing w:after="80" w:before="0"/>
      </w:pPr>
      <w:r>
        <w:rPr>
          <w:rFonts w:ascii="Helvetica Neue" w:cs="Helvetica Neue" w:eastAsia="Helvetica Neue" w:hAnsi="Helvetica Neue"/>
          <w:b w:val="false"/>
          <w:bCs w:val="false"/>
          <w:color w:val="111111"/>
          <w:sz w:val="30"/>
          <w:szCs w:val="30"/>
        </w:rPr>
        <w:t xml:space="preserve">AI and the Designer's Workflow</w:t>
      </w:r>
    </w:p>
    <w:p>
      <w:pPr>
        <w:spacing w:after="400" w:before="0"/>
      </w:pPr>
      <w:r>
        <w:rPr>
          <w:rFonts w:ascii="Helvetica Neue" w:cs="Helvetica Neue" w:eastAsia="Helvetica Neue" w:hAnsi="Helvetica Neue"/>
          <w:color w:val="888888"/>
          <w:sz w:val="20"/>
          <w:szCs w:val="20"/>
        </w:rPr>
        <w:t xml:space="preserve">Presentation companion document</w:t>
      </w:r>
    </w:p>
    <w:p>
      <w:pPr>
        <w:pBdr>
          <w:bottom w:val="single" w:color="E0E0E0" w:sz="4" w:space="0"/>
        </w:pBdr>
        <w:spacing w:after="320" w:before="0"/>
      </w:pPr>
      <w:r>
        <w:t xml:space="preserve"/>
      </w:r>
    </w:p>
    <w:p>
      <w:pPr>
        <w:spacing w:after="80" w:before="480"/>
      </w:pPr>
      <w:r>
        <w:rPr>
          <w:rFonts w:ascii="Helvetica Neue" w:cs="Helvetica Neue" w:eastAsia="Helvetica Neue" w:hAnsi="Helvetica Neue"/>
          <w:color w:val="888888"/>
          <w:sz w:val="20"/>
          <w:szCs w:val="20"/>
        </w:rPr>
        <w:t xml:space="preserve">01  </w:t>
      </w:r>
      <w:r>
        <w:rPr>
          <w:rFonts w:ascii="Helvetica Neue" w:cs="Helvetica Neue" w:eastAsia="Helvetica Neue" w:hAnsi="Helvetica Neue"/>
          <w:color w:val="888888"/>
          <w:spacing w:val="60"/>
          <w:sz w:val="20"/>
          <w:szCs w:val="20"/>
        </w:rPr>
        <w:t xml:space="preserve">CONTEXT</w:t>
      </w:r>
    </w:p>
    <w:p>
      <w:pPr>
        <w:spacing w:after="280" w:before="0"/>
      </w:pPr>
      <w:r>
        <w:rPr>
          <w:rFonts w:ascii="Helvetica Neue" w:cs="Helvetica Neue" w:eastAsia="Helvetica Neue" w:hAnsi="Helvetica Neue"/>
          <w:b/>
          <w:bCs/>
          <w:color w:val="111111"/>
          <w:sz w:val="32"/>
          <w:szCs w:val="32"/>
        </w:rPr>
        <w:t xml:space="preserve">Shape morphing wasn't prototypable.</w:t>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Figma's prototyping model connects screens. You define a starting state and an ending state, and Figma handles the transition between them — but only within the constraints of its own animation system. When a container needs to change shape fundamentally — from a dot to a pill, from a pill to a card — that change isn't representable. The tool has no concept of a single UI element morphing through geometrically distinct states.</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This was the original friction. Designing AI interfaces requires modeling states that are structurally different from each other: an idle indicator, a listening surface, a thinking container, a response card. These aren't separate screens. They're conditions of the same object at different points in an interaction. Figma treats them as separate frames connected by arrows, which means every prototype misrepresents what the motion will actually feel like.</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GenUI started as an answer to that specific problem. The goal was a tool that could represent shape-state morphing as a first-class design property — something editable, testable, and consistent across scenarios.</w:t>
      </w:r>
    </w:p>
    <w:p>
      <w:pPr>
        <w:spacing w:after="80" w:before="480"/>
      </w:pPr>
      <w:r>
        <w:rPr>
          <w:rFonts w:ascii="Helvetica Neue" w:cs="Helvetica Neue" w:eastAsia="Helvetica Neue" w:hAnsi="Helvetica Neue"/>
          <w:color w:val="888888"/>
          <w:sz w:val="20"/>
          <w:szCs w:val="20"/>
        </w:rPr>
        <w:t xml:space="preserve">02  </w:t>
      </w:r>
      <w:r>
        <w:rPr>
          <w:rFonts w:ascii="Helvetica Neue" w:cs="Helvetica Neue" w:eastAsia="Helvetica Neue" w:hAnsi="Helvetica Neue"/>
          <w:color w:val="888888"/>
          <w:spacing w:val="60"/>
          <w:sz w:val="20"/>
          <w:szCs w:val="20"/>
        </w:rPr>
        <w:t xml:space="preserve">WHAT CHANGED</w:t>
      </w:r>
    </w:p>
    <w:p>
      <w:pPr>
        <w:spacing w:after="280" w:before="0"/>
      </w:pPr>
      <w:r>
        <w:rPr>
          <w:rFonts w:ascii="Helvetica Neue" w:cs="Helvetica Neue" w:eastAsia="Helvetica Neue" w:hAnsi="Helvetica Neue"/>
          <w:b/>
          <w:bCs/>
          <w:color w:val="111111"/>
          <w:sz w:val="32"/>
          <w:szCs w:val="32"/>
        </w:rPr>
        <w:t xml:space="preserve">Design, build, test. One loop.</w:t>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The traditional design process operates in phases separated by handoffs. A designer produces specifications and representations — wireframes, mockups, annotated flows — that get translated by an engineer into working code. That code is tested, feedback returns to the designer, and the cycle repeats. Each handoff is a point of translation loss. Intent degrades as it moves between people, tools, and formats.</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What AI changed for this project was the structure of that loop. With AI handling implementation work, design intent could move directly to working prototype within the same session — no handoff, no translation, no delay. The feedback came from the real behavior of the thing, not from a simulation of it. A transition felt wrong, so it got adjusted, immediately, in the actual code that ran it. That's a different quality of feedback than looking at a Figma prototype and inferring how a motion might feel.</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This is meaningfully different from a speed improvement. When you test a representation, you're checking whether the representation is accurate. When you test the implementation directly, you're checking whether the behavior is right. Those are different questions with different answers. GenUI was designed by working on the implementation itself — which meant the design insights came from real interaction with actual motion, real easing curves, real visual weight in context. The capability that expanded wasn't just building; it was the ability to design, build, and test as one continuous act, without switching roles or waiting for a handoff to complete.</w:t>
      </w:r>
    </w:p>
    <w:p>
      <w:pPr>
        <w:spacing w:after="80" w:before="480"/>
      </w:pPr>
      <w:r>
        <w:rPr>
          <w:rFonts w:ascii="Helvetica Neue" w:cs="Helvetica Neue" w:eastAsia="Helvetica Neue" w:hAnsi="Helvetica Neue"/>
          <w:color w:val="888888"/>
          <w:sz w:val="20"/>
          <w:szCs w:val="20"/>
        </w:rPr>
        <w:t xml:space="preserve">03  </w:t>
      </w:r>
      <w:r>
        <w:rPr>
          <w:rFonts w:ascii="Helvetica Neue" w:cs="Helvetica Neue" w:eastAsia="Helvetica Neue" w:hAnsi="Helvetica Neue"/>
          <w:color w:val="888888"/>
          <w:spacing w:val="60"/>
          <w:sz w:val="20"/>
          <w:szCs w:val="20"/>
        </w:rPr>
        <w:t xml:space="preserve">HOW IT WORKS</w:t>
      </w:r>
    </w:p>
    <w:p>
      <w:pPr>
        <w:spacing w:after="280" w:before="0"/>
      </w:pPr>
      <w:r>
        <w:rPr>
          <w:rFonts w:ascii="Helvetica Neue" w:cs="Helvetica Neue" w:eastAsia="Helvetica Neue" w:hAnsi="Helvetica Neue"/>
          <w:b/>
          <w:bCs/>
          <w:color w:val="111111"/>
          <w:sz w:val="32"/>
          <w:szCs w:val="32"/>
        </w:rPr>
        <w:t xml:space="preserve">State, not screens.</w:t>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GenUI models interface states as geometric conditions of a single container element. The container transitions between a dot, a pill, a card, and a full surface based on scenario data — not by switching between separate frames. Width, height, border-radius, and position all interpolate simultaneously using a shared cubic-bezier curve.</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Scenarios are defined as data structures, not as wired screen connections. Testing a different transition sequence doesn't require rebuilding the prototype — it requires editing a value. Procedural animation also means motion consistency is structural: because all shape transitions share the same easing definition, there's no convention to maintain. The system enforces it.</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The visual language — color, type, spacing — is carried by CSS custom properties that propagate across all states. A single token change affects every surface simultaneously. The design system exists as an architecture, not as a separate document that has to be kept in sync.</w:t>
      </w:r>
    </w:p>
    <w:p>
      <w:pPr>
        <w:spacing w:after="80" w:before="480"/>
      </w:pPr>
      <w:r>
        <w:rPr>
          <w:rFonts w:ascii="Helvetica Neue" w:cs="Helvetica Neue" w:eastAsia="Helvetica Neue" w:hAnsi="Helvetica Neue"/>
          <w:color w:val="888888"/>
          <w:sz w:val="20"/>
          <w:szCs w:val="20"/>
        </w:rPr>
        <w:t xml:space="preserve">04  </w:t>
      </w:r>
      <w:r>
        <w:rPr>
          <w:rFonts w:ascii="Helvetica Neue" w:cs="Helvetica Neue" w:eastAsia="Helvetica Neue" w:hAnsi="Helvetica Neue"/>
          <w:color w:val="888888"/>
          <w:spacing w:val="60"/>
          <w:sz w:val="20"/>
          <w:szCs w:val="20"/>
        </w:rPr>
        <w:t xml:space="preserve">OBSERVATION</w:t>
      </w:r>
    </w:p>
    <w:p>
      <w:pPr>
        <w:spacing w:after="280" w:before="0"/>
      </w:pPr>
      <w:r>
        <w:rPr>
          <w:rFonts w:ascii="Helvetica Neue" w:cs="Helvetica Neue" w:eastAsia="Helvetica Neue" w:hAnsi="Helvetica Neue"/>
          <w:b/>
          <w:bCs/>
          <w:color w:val="111111"/>
          <w:sz w:val="32"/>
          <w:szCs w:val="32"/>
        </w:rPr>
        <w:t xml:space="preserve">Built with AI. Used to design AI behavior.</w:t>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GenUI's primary subject matter is AI interaction design: what an interface looks like when it's listening, when it's processing, when it confirms, when it responds. These are the states the tool is used to prototype and test.</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The tool itself was built with AI as an implementation collaborator. AI generated the code for the core systems. The designer directed what the tool needed to do; AI produced the working implementation.</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This creates a situation where the collaborator and the subject matter are the same. The tool sits at the intersection of both. This isn't a designed relationship — it emerged from a designer solving a design problem about AI interfaces using the most capable available tool, which happened to be AI. The practical effect is that working with GenUI produces direct insight into how AI interfaces should behave, informed by someone who built the tool that models that behavior.</w:t>
      </w:r>
    </w:p>
    <w:p>
      <w:pPr>
        <w:spacing w:after="80" w:before="480"/>
      </w:pPr>
      <w:r>
        <w:rPr>
          <w:rFonts w:ascii="Helvetica Neue" w:cs="Helvetica Neue" w:eastAsia="Helvetica Neue" w:hAnsi="Helvetica Neue"/>
          <w:color w:val="888888"/>
          <w:sz w:val="20"/>
          <w:szCs w:val="20"/>
        </w:rPr>
        <w:t xml:space="preserve">05  </w:t>
      </w:r>
      <w:r>
        <w:rPr>
          <w:rFonts w:ascii="Helvetica Neue" w:cs="Helvetica Neue" w:eastAsia="Helvetica Neue" w:hAnsi="Helvetica Neue"/>
          <w:color w:val="888888"/>
          <w:spacing w:val="60"/>
          <w:sz w:val="20"/>
          <w:szCs w:val="20"/>
        </w:rPr>
        <w:t xml:space="preserve">IMPLICATION</w:t>
      </w:r>
    </w:p>
    <w:p>
      <w:pPr>
        <w:spacing w:after="280" w:before="0"/>
      </w:pPr>
      <w:r>
        <w:rPr>
          <w:rFonts w:ascii="Helvetica Neue" w:cs="Helvetica Neue" w:eastAsia="Helvetica Neue" w:hAnsi="Helvetica Neue"/>
          <w:b/>
          <w:bCs/>
          <w:color w:val="111111"/>
          <w:sz w:val="32"/>
          <w:szCs w:val="32"/>
        </w:rPr>
        <w:t xml:space="preserve">Designer as toolmaker.</w:t>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The workflow that produced GenUI suggests a shift in what a designer can independently own. Historically, the designer's output is artifacts produced with tools built by others. Those tools constrain what's expressible. When a constraint exists in the tool — like Figma's inability to morph container shapes — the design either works around it or waits for the tool to be updated.</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AI changes the calculation. When the cost of building a custom tool is low enough that a single designer can absorb it, the tooling constraint becomes a design decision. GenUI exists because the alternative — working around Figma's limitations or waiting for them to be addressed — was worse than building something that worked correctly.</w:t>
      </w:r>
    </w:p>
    <w:p>
      <w:pPr>
        <w:spacing w:after="100" w:before="0"/>
      </w:pPr>
      <w:r>
        <w:t xml:space="preserve"/>
      </w:r>
    </w:p>
    <w:p>
      <w:pPr>
        <w:spacing w:after="180" w:before="0" w:line="320" w:lineRule="auto"/>
      </w:pPr>
      <w:r>
        <w:rPr>
          <w:rFonts w:ascii="Helvetica Neue" w:cs="Helvetica Neue" w:eastAsia="Helvetica Neue" w:hAnsi="Helvetica Neue"/>
          <w:b w:val="false"/>
          <w:bCs w:val="false"/>
          <w:i w:val="false"/>
          <w:iCs w:val="false"/>
          <w:color w:val="111111"/>
          <w:sz w:val="22"/>
          <w:szCs w:val="22"/>
        </w:rPr>
        <w:t xml:space="preserve">The broader implication is a change in the scope of the designer's role. The question is no longer only "what can I make with this tool." It also becomes "what tool do I need." Whether that shift is durable depends on how consistently AI can support that kind of implementation work — but for this project, it held.</w:t>
      </w:r>
    </w:p>
    <w:p>
      <w:pPr>
        <w:spacing w:after="400" w:before="0"/>
      </w:pPr>
      <w:r>
        <w:t xml:space="preserve"/>
      </w:r>
    </w:p>
    <w:p>
      <w:pPr>
        <w:pBdr>
          <w:bottom w:val="single" w:color="E0E0E0" w:sz="4" w:space="0"/>
        </w:pBdr>
        <w:spacing w:after="320" w:before="0"/>
      </w:pPr>
      <w:r>
        <w:t xml:space="preserve"/>
      </w:r>
    </w:p>
    <w:p>
      <w:pPr>
        <w:spacing w:after="80" w:before="0"/>
      </w:pPr>
      <w:r>
        <w:t xml:space="preserve"/>
      </w:r>
    </w:p>
    <w:p>
      <w:pPr>
        <w:spacing w:after="0" w:before="0"/>
      </w:pPr>
      <w:r>
        <w:rPr>
          <w:rFonts w:ascii="Helvetica Neue" w:cs="Helvetica Neue" w:eastAsia="Helvetica Neue" w:hAnsi="Helvetica Neue"/>
          <w:color w:val="888888"/>
          <w:sz w:val="20"/>
          <w:szCs w:val="20"/>
        </w:rPr>
        <w:t xml:space="preserve">GenUI  ·  2025  ·  Browser-native generative UI prototyping tool</w:t>
      </w:r>
    </w:p>
    <w:sectPr>
      <w:footerReference w:type="default" r:id="rId7"/>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Helvetica Neue" w:cs="Helvetica Neue" w:eastAsia="Helvetica Neue" w:hAnsi="Helvetica Neue"/>
        <w:color w:val="888888"/>
        <w:sz w:val="20"/>
        <w:szCs w:val="20"/>
      </w:rPr>
      <w:t xml:space="preserve">GenUI  ·  </w:t>
    </w:r>
    <w:r>
      <w:rPr>
        <w:rFonts w:ascii="Helvetica Neue" w:cs="Helvetica Neue" w:eastAsia="Helvetica Neue" w:hAnsi="Helvetica Neue"/>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2026-05-26T21:41:26.612Z</dcterms:created>
  <dcterms:modified xsi:type="dcterms:W3CDTF">2026-05-26T21:41:26.612Z</dcterms:modified>
</cp:coreProperties>
</file>

<file path=docProps/custom.xml><?xml version="1.0" encoding="utf-8"?>
<Properties xmlns="http://schemas.openxmlformats.org/officeDocument/2006/custom-properties" xmlns:vt="http://schemas.openxmlformats.org/officeDocument/2006/docPropsVTypes"/>
</file>