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gif" ContentType="image/gif"/>
  <Override PartName="/word/media/image3.gif" ContentType="image/gif"/>
  <Override PartName="/word/media/image4.gif" ContentType="image/gif"/>
  <Override PartName="/word/media/image5.gif" ContentType="image/gif"/>
  <Override PartName="/word/media/image6.gif" ContentType="image/gif"/>
  <Override PartName="/word/media/image7.gif" ContentType="image/gif"/>
  <Override PartName="/word/media/image8.gif" ContentType="image/gi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4055" cy="80835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360" cy="80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4.55pt;height:63.5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color w:val="000000"/>
              </w:rPr>
              <w:t>6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“29 октября 2021г”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  <w:tab/>
      </w:r>
      <w:r>
        <w:rPr>
          <w:sz w:val="19"/>
          <w:szCs w:val="19"/>
          <w:u w:val="single"/>
        </w:rPr>
        <w:tab/>
        <w:tab/>
        <w:t xml:space="preserve">     </w:t>
      </w:r>
      <w:bookmarkStart w:id="0" w:name="page3R_mcid18"/>
      <w:bookmarkEnd w:id="0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Конструирование диаграмм Тьюринга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9"/>
          <w:szCs w:val="19"/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bookmarkStart w:id="1" w:name="page3R_mcid19"/>
      <w:bookmarkEnd w:id="1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Научиться составлять диаграммы и под диаграммы Тьюринга для реализации </w:t>
        <w:br/>
        <w:t>поставленных задач.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</w:t>
      </w:r>
      <w:r>
        <w:rPr>
          <w:sz w:val="19"/>
          <w:szCs w:val="19"/>
        </w:rPr>
        <w:t>28</w:t>
      </w:r>
      <w:r>
        <w:rPr>
          <w:sz w:val="19"/>
          <w:szCs w:val="19"/>
        </w:rPr>
        <w:t xml:space="preserve">):   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0"/>
        <w:rPr/>
      </w:pPr>
      <w:r>
        <w:rPr>
          <w:color w:val="000000"/>
          <w:sz w:val="18"/>
          <w:szCs w:val="18"/>
        </w:rPr>
        <w:t>Вычисление поразрядной конъюнкции двух двоичных чисел (слова разной длины, дополнятся О слева).</w:t>
      </w:r>
      <w:r>
        <w:rPr>
          <w:sz w:val="19"/>
          <w:szCs w:val="19"/>
        </w:rPr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Сначала мы находимся справа от 2 числа. Первым действием выполняется копия исходных чисел, затем на одну ячейку </w:t>
      </w:r>
      <w:r>
        <w:rPr>
          <w:b w:val="false"/>
          <w:bCs w:val="false"/>
        </w:rPr>
        <w:t xml:space="preserve">правее от копии второго числа ставится ноль. Далее мы сравниваем </w:t>
      </w:r>
      <w:r>
        <w:rPr>
          <w:b w:val="false"/>
          <w:bCs w:val="false"/>
        </w:rPr>
        <w:t>с конца</w:t>
      </w:r>
      <w:r>
        <w:rPr>
          <w:b w:val="false"/>
          <w:bCs w:val="false"/>
        </w:rPr>
        <w:t xml:space="preserve"> соответствующие циф</w:t>
      </w:r>
      <w:r>
        <w:rPr>
          <w:b w:val="false"/>
          <w:bCs w:val="false"/>
        </w:rPr>
        <w:t>р</w:t>
      </w:r>
      <w:r>
        <w:rPr>
          <w:b w:val="false"/>
          <w:bCs w:val="false"/>
        </w:rPr>
        <w:t xml:space="preserve">ы </w:t>
      </w:r>
      <w:r>
        <w:rPr>
          <w:b w:val="false"/>
          <w:bCs w:val="false"/>
        </w:rPr>
        <w:t>чисел если хоть одна цифра равна 0, то в итоговый результат записываем 0, если обе цифры равны 1, то записываем 1. Е</w:t>
      </w:r>
      <w:r>
        <w:rPr>
          <w:rFonts w:eastAsia="Tahoma" w:cs="Times New Roman"/>
          <w:b w:val="false"/>
          <w:bCs w:val="false"/>
          <w:color w:val="auto"/>
          <w:kern w:val="2"/>
          <w:sz w:val="24"/>
          <w:szCs w:val="24"/>
          <w:lang w:val="ru-RU" w:eastAsia="ru-RU" w:bidi="ar-SA"/>
        </w:rPr>
        <w:t xml:space="preserve">сли второе число оказалось меньше, то каждое сравнение мы вначале дописываем 0, пока не закончится первое число. После того, как закончилось </w:t>
      </w:r>
      <w:r>
        <w:rPr>
          <w:rFonts w:eastAsia="Tahoma" w:cs="Times New Roman"/>
          <w:b w:val="false"/>
          <w:bCs w:val="false"/>
          <w:color w:val="auto"/>
          <w:kern w:val="2"/>
          <w:sz w:val="24"/>
          <w:szCs w:val="24"/>
          <w:lang w:val="ru-RU" w:eastAsia="ru-RU" w:bidi="ar-SA"/>
        </w:rPr>
        <w:t>первое</w:t>
      </w:r>
      <w:r>
        <w:rPr>
          <w:rFonts w:eastAsia="Tahoma" w:cs="Times New Roman"/>
          <w:b w:val="false"/>
          <w:bCs w:val="false"/>
          <w:color w:val="auto"/>
          <w:kern w:val="2"/>
          <w:sz w:val="24"/>
          <w:szCs w:val="24"/>
          <w:lang w:val="ru-RU" w:eastAsia="ru-RU" w:bidi="ar-SA"/>
        </w:rPr>
        <w:t xml:space="preserve"> число, </w:t>
      </w:r>
      <w:r>
        <w:rPr>
          <w:rFonts w:eastAsia="Tahoma" w:cs="Times New Roman"/>
          <w:b w:val="false"/>
          <w:bCs w:val="false"/>
          <w:color w:val="auto"/>
          <w:kern w:val="2"/>
          <w:sz w:val="24"/>
          <w:szCs w:val="24"/>
          <w:lang w:val="ru-RU" w:eastAsia="ru-RU" w:bidi="ar-SA"/>
        </w:rPr>
        <w:t>даже если второе еще нет, мы стираем все оставшиеся цифры на ленте, кроме нашего результата. Так как мы сравнивали числа с конца, то итоговое число нужно еще перевернуть и стереть незначащие нули. Итоговое число будет являться результатом работы диаграммы.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Тест №1: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1011101  1000100  → 1000100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Тест №2: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  <w:t>01</w:t>
      </w:r>
      <w:r>
        <w:rPr>
          <w:sz w:val="20"/>
          <w:szCs w:val="20"/>
        </w:rPr>
        <w:t xml:space="preserve">  11  → 1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Тест №3: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  <w:t>0</w:t>
      </w: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  <w:t>1011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0000000001</w:t>
      </w:r>
      <w:r>
        <w:rPr>
          <w:sz w:val="20"/>
          <w:szCs w:val="20"/>
        </w:rPr>
        <w:t xml:space="preserve">  → 1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Тест №</w:t>
      </w:r>
      <w:r>
        <w:rPr>
          <w:sz w:val="20"/>
          <w:szCs w:val="20"/>
        </w:rPr>
        <w:t>4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  <w:t>0</w:t>
      </w: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  <w:t>1011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11111111111</w:t>
      </w:r>
      <w:r>
        <w:rPr>
          <w:sz w:val="20"/>
          <w:szCs w:val="20"/>
        </w:rPr>
        <w:t xml:space="preserve">  → 1</w:t>
      </w:r>
      <w:r>
        <w:rPr>
          <w:sz w:val="20"/>
          <w:szCs w:val="20"/>
        </w:rPr>
        <w:t>001011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Тест №</w:t>
      </w:r>
      <w:r>
        <w:rPr>
          <w:sz w:val="20"/>
          <w:szCs w:val="20"/>
        </w:rPr>
        <w:t>5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  <w:t>1011101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000</w:t>
      </w:r>
      <w:r>
        <w:rPr>
          <w:sz w:val="20"/>
          <w:szCs w:val="20"/>
        </w:rPr>
        <w:t xml:space="preserve">  → 1</w:t>
      </w:r>
      <w:r>
        <w:rPr>
          <w:sz w:val="20"/>
          <w:szCs w:val="20"/>
        </w:rPr>
        <w:t>000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Основная диаграма</w:t>
      </w:r>
      <w:r>
        <w:rPr>
          <w:rFonts w:eastAsia="Tahoma" w:cs="Times New Roman"/>
          <w:sz w:val="18"/>
          <w:szCs w:val="18"/>
          <w:lang w:val="en-US" w:eastAsia="ru-RU" w:bidi="ar-SA"/>
        </w:rPr>
        <w:t>:</w:t>
      </w:r>
    </w:p>
    <w:p>
      <w:pPr>
        <w:pStyle w:val="Normal"/>
        <w:rPr>
          <w:rFonts w:ascii="Times New Roman" w:hAnsi="Times New Roman" w:eastAsia="Tahoma" w:cs="Times New Roman"/>
          <w:sz w:val="18"/>
          <w:szCs w:val="18"/>
          <w:lang w:val="en-US" w:eastAsia="ru-RU" w:bidi="ar-S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Под диаграмма «begin»: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7810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Под диаграмма «Copy»: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33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Под диаграмма «add_one»: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3649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Под диаграмма «add_zero»: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004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Под диаграмма «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Go_back</w:t>
      </w:r>
      <w:r>
        <w:rPr>
          <w:sz w:val="18"/>
          <w:szCs w:val="18"/>
        </w:rPr>
        <w:t>»: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1473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Под диаграмма «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reverse</w:t>
      </w:r>
      <w:r>
        <w:rPr>
          <w:sz w:val="18"/>
          <w:szCs w:val="18"/>
        </w:rPr>
        <w:t>»: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844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85"/>
        <w:gridCol w:w="1078"/>
        <w:gridCol w:w="1971"/>
        <w:gridCol w:w="2859"/>
        <w:gridCol w:w="1606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bookmarkStart w:id="2" w:name="page84R_mcid25"/>
      <w:bookmarkEnd w:id="2"/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 xml:space="preserve">Я научился создавать диаграммы Тьюринга. Овладел различными встроенными под </w:t>
        <w:br/>
        <w:t xml:space="preserve">диаграммами, научился создавать под диаграммы и применять их в нужном месте. </w:t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8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18"/>
          <w:szCs w:val="20"/>
          <w:u w:val="single"/>
        </w:rPr>
        <w:t xml:space="preserve">   Больше практики и чтение дополнительного материала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10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gif"/><Relationship Id="rId9" Type="http://schemas.openxmlformats.org/officeDocument/2006/relationships/image" Target="media/image8.gif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LibreOffice/6.4.7.2$Linux_X86_64 LibreOffice_project/40$Build-2</Application>
  <Pages>5</Pages>
  <Words>543</Words>
  <Characters>3352</Characters>
  <CharactersWithSpaces>4528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2021-11-04T13:01:09Z</dcterms:modified>
  <cp:revision>13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