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30FD4" w14:textId="1B21FE2E" w:rsidR="007908A9" w:rsidRDefault="007908A9">
      <w:pPr>
        <w:rPr>
          <w:rFonts w:ascii="Segoe UI Emoji" w:hAnsi="Segoe UI Emoji" w:cs="Segoe UI Emoji"/>
        </w:rPr>
      </w:pPr>
      <w:r>
        <w:rPr>
          <w:noProof/>
        </w:rPr>
        <w:drawing>
          <wp:inline distT="0" distB="0" distL="0" distR="0" wp14:anchorId="0220DBB8" wp14:editId="08747779">
            <wp:extent cx="498060" cy="307025"/>
            <wp:effectExtent l="0" t="0" r="0" b="0"/>
            <wp:docPr id="58" name="Picture 57">
              <a:extLst xmlns:a="http://schemas.openxmlformats.org/drawingml/2006/main">
                <a:ext uri="{FF2B5EF4-FFF2-40B4-BE49-F238E27FC236}">
                  <a16:creationId xmlns:a16="http://schemas.microsoft.com/office/drawing/2014/main" id="{A0B54701-F695-8725-5958-AE7473DC7B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A0B54701-F695-8725-5958-AE7473DC7B1B}"/>
                        </a:ext>
                      </a:extLst>
                    </pic:cNvPr>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8628" cy="313540"/>
                    </a:xfrm>
                    <a:prstGeom prst="rect">
                      <a:avLst/>
                    </a:prstGeom>
                    <a:noFill/>
                    <a:ln>
                      <a:noFill/>
                    </a:ln>
                  </pic:spPr>
                </pic:pic>
              </a:graphicData>
            </a:graphic>
          </wp:inline>
        </w:drawing>
      </w:r>
    </w:p>
    <w:p w14:paraId="7B6589F5" w14:textId="641501B5" w:rsidR="00E75097" w:rsidRPr="004140D9" w:rsidRDefault="007908A9" w:rsidP="00810FDB">
      <w:pPr>
        <w:spacing w:after="0" w:line="240" w:lineRule="auto"/>
        <w:rPr>
          <w:rFonts w:cs="Segoe UI Emoji"/>
          <w:color w:val="385623" w:themeColor="accent6" w:themeShade="80"/>
          <w:sz w:val="28"/>
          <w:szCs w:val="28"/>
        </w:rPr>
      </w:pPr>
      <w:r w:rsidRPr="004140D9">
        <w:rPr>
          <w:rFonts w:cs="Segoe UI Emoji"/>
          <w:color w:val="385623" w:themeColor="accent6" w:themeShade="80"/>
          <w:sz w:val="28"/>
          <w:szCs w:val="28"/>
        </w:rPr>
        <w:t>EXECUTIVE SUMMARY</w:t>
      </w:r>
    </w:p>
    <w:p w14:paraId="5FA8D572" w14:textId="453AC241" w:rsidR="00331FF6" w:rsidRPr="004140D9" w:rsidRDefault="007908A9" w:rsidP="00331FF6">
      <w:pPr>
        <w:spacing w:after="0" w:line="240" w:lineRule="auto"/>
        <w:rPr>
          <w:rFonts w:cs="Calibri"/>
          <w:color w:val="385623" w:themeColor="accent6" w:themeShade="80"/>
        </w:rPr>
      </w:pPr>
      <w:r w:rsidRPr="004140D9">
        <w:rPr>
          <w:rFonts w:cs="Calibri"/>
          <w:color w:val="385623" w:themeColor="accent6" w:themeShade="80"/>
        </w:rPr>
        <w:t>ESG Data Quality Analysis</w:t>
      </w:r>
      <w:r w:rsidR="00DC17AF" w:rsidRPr="004140D9">
        <w:rPr>
          <w:rFonts w:cs="Calibri"/>
          <w:color w:val="385623" w:themeColor="accent6" w:themeShade="80"/>
        </w:rPr>
        <w:t xml:space="preserve"> at WM</w:t>
      </w:r>
    </w:p>
    <w:p w14:paraId="676FEEA1" w14:textId="08BCBDB5" w:rsidR="00331FF6" w:rsidRPr="00FD360F" w:rsidRDefault="009F0BA5" w:rsidP="00331FF6">
      <w:pPr>
        <w:spacing w:after="0" w:line="240" w:lineRule="auto"/>
        <w:rPr>
          <w:rFonts w:cs="Calibri"/>
        </w:rPr>
      </w:pPr>
      <w:r w:rsidRPr="00FD360F">
        <w:rPr>
          <w:rFonts w:cs="Calibri"/>
        </w:rPr>
        <w:t xml:space="preserve">Aribo Damilola </w:t>
      </w:r>
      <w:r w:rsidR="00331FF6" w:rsidRPr="00FD360F">
        <w:rPr>
          <w:rFonts w:cs="Calibri"/>
        </w:rPr>
        <w:t>|</w:t>
      </w:r>
      <w:r w:rsidRPr="00FD360F">
        <w:rPr>
          <w:rFonts w:cs="Calibri"/>
        </w:rPr>
        <w:t>May 202</w:t>
      </w:r>
      <w:r w:rsidR="00810FDB" w:rsidRPr="00FD360F">
        <w:rPr>
          <w:rFonts w:cs="Calibri"/>
        </w:rPr>
        <w:t>6</w:t>
      </w:r>
    </w:p>
    <w:p w14:paraId="4BE0989F" w14:textId="77777777" w:rsidR="00DC17AF" w:rsidRDefault="00DC17AF" w:rsidP="00331FF6">
      <w:pPr>
        <w:pBdr>
          <w:top w:val="single" w:sz="8" w:space="1" w:color="385623" w:themeColor="accent6" w:themeShade="80"/>
        </w:pBdr>
        <w:spacing w:after="0" w:line="240" w:lineRule="auto"/>
        <w:rPr>
          <w:rFonts w:ascii="Calibri heading" w:hAnsi="Calibri heading" w:cs="Calibri"/>
          <w:color w:val="385623" w:themeColor="accent6" w:themeShade="80"/>
          <w:sz w:val="28"/>
          <w:szCs w:val="28"/>
        </w:rPr>
      </w:pPr>
    </w:p>
    <w:p w14:paraId="7CA3AAAD" w14:textId="330DA4FE" w:rsidR="00DC17AF" w:rsidRPr="00FD360F" w:rsidRDefault="00DC17AF" w:rsidP="00DC17AF">
      <w:pPr>
        <w:pBdr>
          <w:top w:val="single" w:sz="8" w:space="1" w:color="385623" w:themeColor="accent6" w:themeShade="80"/>
        </w:pBdr>
        <w:spacing w:after="0" w:line="276" w:lineRule="auto"/>
        <w:rPr>
          <w:rFonts w:cs="Calibri"/>
          <w:b/>
          <w:bCs/>
          <w:color w:val="385623" w:themeColor="accent6" w:themeShade="80"/>
        </w:rPr>
      </w:pPr>
      <w:r w:rsidRPr="00FD360F">
        <w:rPr>
          <w:rFonts w:cs="Calibri"/>
          <w:b/>
          <w:bCs/>
          <w:color w:val="385623" w:themeColor="accent6" w:themeShade="80"/>
        </w:rPr>
        <w:t>O</w:t>
      </w:r>
      <w:r w:rsidR="00FD360F">
        <w:rPr>
          <w:rFonts w:cs="Calibri"/>
          <w:b/>
          <w:bCs/>
          <w:color w:val="385623" w:themeColor="accent6" w:themeShade="80"/>
        </w:rPr>
        <w:t>verview</w:t>
      </w:r>
    </w:p>
    <w:p w14:paraId="79520F30" w14:textId="6224A746" w:rsidR="00DC17AF" w:rsidRPr="00FD360F" w:rsidRDefault="00DC17AF" w:rsidP="001F646B">
      <w:pPr>
        <w:pStyle w:val="Standard"/>
        <w:jc w:val="both"/>
        <w:rPr>
          <w:rFonts w:asciiTheme="minorHAnsi" w:hAnsiTheme="minorHAnsi" w:cs="Arial"/>
          <w:sz w:val="20"/>
          <w:szCs w:val="20"/>
        </w:rPr>
      </w:pPr>
      <w:r w:rsidRPr="00FD360F">
        <w:rPr>
          <w:rFonts w:asciiTheme="minorHAnsi" w:hAnsiTheme="minorHAnsi" w:cs="Arial"/>
          <w:b/>
          <w:bCs/>
          <w:sz w:val="20"/>
          <w:szCs w:val="20"/>
        </w:rPr>
        <w:t>WM</w:t>
      </w:r>
      <w:r w:rsidRPr="00FD360F">
        <w:rPr>
          <w:rFonts w:asciiTheme="minorHAnsi" w:hAnsiTheme="minorHAnsi" w:cs="Arial"/>
          <w:sz w:val="20"/>
          <w:szCs w:val="20"/>
        </w:rPr>
        <w:t xml:space="preserve"> (formerly </w:t>
      </w:r>
      <w:r w:rsidRPr="00FD360F">
        <w:rPr>
          <w:rFonts w:asciiTheme="minorHAnsi" w:hAnsiTheme="minorHAnsi" w:cs="Arial"/>
          <w:b/>
          <w:bCs/>
          <w:sz w:val="20"/>
          <w:szCs w:val="20"/>
        </w:rPr>
        <w:t>Waste Management</w:t>
      </w:r>
      <w:r w:rsidRPr="00FD360F">
        <w:rPr>
          <w:rFonts w:asciiTheme="minorHAnsi" w:hAnsiTheme="minorHAnsi" w:cs="Arial"/>
          <w:sz w:val="20"/>
          <w:szCs w:val="20"/>
        </w:rPr>
        <w:t>) is one of the largest environmental services companies in North America. Their main job is helping cities, businesses, and households manage waste responsibly.</w:t>
      </w:r>
      <w:r w:rsidR="000A0A0F" w:rsidRPr="00FD360F">
        <w:rPr>
          <w:rFonts w:asciiTheme="minorHAnsi" w:hAnsiTheme="minorHAnsi" w:cs="Arial"/>
          <w:sz w:val="20"/>
          <w:szCs w:val="20"/>
        </w:rPr>
        <w:t xml:space="preserve"> WM operates across different business </w:t>
      </w:r>
      <w:r w:rsidR="00B60D90" w:rsidRPr="00FD360F">
        <w:rPr>
          <w:rFonts w:asciiTheme="minorHAnsi" w:hAnsiTheme="minorHAnsi" w:cs="Arial"/>
          <w:sz w:val="20"/>
          <w:szCs w:val="20"/>
        </w:rPr>
        <w:t>units</w:t>
      </w:r>
      <w:r w:rsidR="000A0A0F" w:rsidRPr="00FD360F">
        <w:rPr>
          <w:rFonts w:asciiTheme="minorHAnsi" w:hAnsiTheme="minorHAnsi" w:cs="Arial"/>
          <w:sz w:val="20"/>
          <w:szCs w:val="20"/>
        </w:rPr>
        <w:t xml:space="preserve"> and is interested in knowing the </w:t>
      </w:r>
      <w:r w:rsidR="00B60D90" w:rsidRPr="00FD360F">
        <w:rPr>
          <w:rFonts w:asciiTheme="minorHAnsi" w:hAnsiTheme="minorHAnsi" w:cs="Arial"/>
          <w:sz w:val="20"/>
          <w:szCs w:val="20"/>
        </w:rPr>
        <w:t>environmental,</w:t>
      </w:r>
      <w:r w:rsidR="00A41CEF" w:rsidRPr="00FD360F">
        <w:rPr>
          <w:rFonts w:asciiTheme="minorHAnsi" w:hAnsiTheme="minorHAnsi" w:cs="Arial"/>
          <w:sz w:val="20"/>
          <w:szCs w:val="20"/>
        </w:rPr>
        <w:t xml:space="preserve"> </w:t>
      </w:r>
      <w:r w:rsidR="00B60D90" w:rsidRPr="00FD360F">
        <w:rPr>
          <w:rFonts w:asciiTheme="minorHAnsi" w:hAnsiTheme="minorHAnsi" w:cs="Arial"/>
          <w:sz w:val="20"/>
          <w:szCs w:val="20"/>
        </w:rPr>
        <w:t>social and governance</w:t>
      </w:r>
      <w:r w:rsidR="00B60D90" w:rsidRPr="00FD360F">
        <w:rPr>
          <w:rFonts w:asciiTheme="minorHAnsi" w:hAnsiTheme="minorHAnsi" w:cs="Arial"/>
          <w:sz w:val="20"/>
          <w:szCs w:val="20"/>
        </w:rPr>
        <w:t xml:space="preserve"> reporting</w:t>
      </w:r>
      <w:r w:rsidR="00A41CEF" w:rsidRPr="00FD360F">
        <w:rPr>
          <w:rFonts w:asciiTheme="minorHAnsi" w:hAnsiTheme="minorHAnsi" w:cs="Arial"/>
          <w:sz w:val="20"/>
          <w:szCs w:val="20"/>
        </w:rPr>
        <w:t>,</w:t>
      </w:r>
      <w:r w:rsidR="00B60D90" w:rsidRPr="00FD360F">
        <w:rPr>
          <w:rFonts w:asciiTheme="minorHAnsi" w:hAnsiTheme="minorHAnsi" w:cs="Arial"/>
          <w:sz w:val="20"/>
          <w:szCs w:val="20"/>
        </w:rPr>
        <w:t xml:space="preserve"> and data quality </w:t>
      </w:r>
      <w:r w:rsidR="00A41CEF" w:rsidRPr="00FD360F">
        <w:rPr>
          <w:rFonts w:asciiTheme="minorHAnsi" w:hAnsiTheme="minorHAnsi" w:cs="Arial"/>
          <w:sz w:val="20"/>
          <w:szCs w:val="20"/>
        </w:rPr>
        <w:t>issues. This</w:t>
      </w:r>
      <w:r w:rsidR="00B60D90" w:rsidRPr="00FD360F">
        <w:rPr>
          <w:rFonts w:asciiTheme="minorHAnsi" w:hAnsiTheme="minorHAnsi" w:cs="Arial"/>
          <w:sz w:val="20"/>
          <w:szCs w:val="20"/>
        </w:rPr>
        <w:t xml:space="preserve"> </w:t>
      </w:r>
      <w:r w:rsidR="00B35A4C" w:rsidRPr="00FD360F">
        <w:rPr>
          <w:rFonts w:asciiTheme="minorHAnsi" w:hAnsiTheme="minorHAnsi" w:cs="Arial"/>
          <w:sz w:val="20"/>
          <w:szCs w:val="20"/>
        </w:rPr>
        <w:t>analysis examined</w:t>
      </w:r>
      <w:r w:rsidR="00A41CEF" w:rsidRPr="00FD360F">
        <w:rPr>
          <w:rFonts w:asciiTheme="minorHAnsi" w:hAnsiTheme="minorHAnsi" w:cs="Arial"/>
          <w:sz w:val="20"/>
          <w:szCs w:val="20"/>
        </w:rPr>
        <w:t xml:space="preserve"> </w:t>
      </w:r>
      <w:r w:rsidR="000676FF" w:rsidRPr="00FD360F">
        <w:rPr>
          <w:rFonts w:asciiTheme="minorHAnsi" w:hAnsiTheme="minorHAnsi" w:cs="Arial"/>
          <w:sz w:val="20"/>
          <w:szCs w:val="20"/>
        </w:rPr>
        <w:t>2035</w:t>
      </w:r>
      <w:r w:rsidR="00A41CEF" w:rsidRPr="00FD360F">
        <w:rPr>
          <w:rFonts w:asciiTheme="minorHAnsi" w:hAnsiTheme="minorHAnsi" w:cs="Arial"/>
          <w:sz w:val="20"/>
          <w:szCs w:val="20"/>
        </w:rPr>
        <w:t xml:space="preserve"> data </w:t>
      </w:r>
      <w:proofErr w:type="gramStart"/>
      <w:r w:rsidR="00A41CEF" w:rsidRPr="00FD360F">
        <w:rPr>
          <w:rFonts w:asciiTheme="minorHAnsi" w:hAnsiTheme="minorHAnsi" w:cs="Arial"/>
          <w:sz w:val="20"/>
          <w:szCs w:val="20"/>
        </w:rPr>
        <w:t>set</w:t>
      </w:r>
      <w:proofErr w:type="gramEnd"/>
      <w:r w:rsidR="00A41CEF" w:rsidRPr="00FD360F">
        <w:rPr>
          <w:rFonts w:asciiTheme="minorHAnsi" w:hAnsiTheme="minorHAnsi" w:cs="Arial"/>
          <w:sz w:val="20"/>
          <w:szCs w:val="20"/>
        </w:rPr>
        <w:t xml:space="preserve"> to assess the data quality </w:t>
      </w:r>
      <w:r w:rsidR="006D64B7" w:rsidRPr="00FD360F">
        <w:rPr>
          <w:rFonts w:asciiTheme="minorHAnsi" w:hAnsiTheme="minorHAnsi" w:cs="Arial"/>
          <w:sz w:val="20"/>
          <w:szCs w:val="20"/>
        </w:rPr>
        <w:t xml:space="preserve">across four critical sustainability metrics: Carbon Emissions, ESG Metric, ESG Target and ESG </w:t>
      </w:r>
      <w:r w:rsidR="004140D9" w:rsidRPr="00FD360F">
        <w:rPr>
          <w:rFonts w:asciiTheme="minorHAnsi" w:hAnsiTheme="minorHAnsi" w:cs="Arial"/>
          <w:sz w:val="20"/>
          <w:szCs w:val="20"/>
        </w:rPr>
        <w:t>a</w:t>
      </w:r>
      <w:r w:rsidR="006D64B7" w:rsidRPr="00FD360F">
        <w:rPr>
          <w:rFonts w:asciiTheme="minorHAnsi" w:hAnsiTheme="minorHAnsi" w:cs="Arial"/>
          <w:sz w:val="20"/>
          <w:szCs w:val="20"/>
        </w:rPr>
        <w:t xml:space="preserve">ctual </w:t>
      </w:r>
      <w:r w:rsidR="000676FF" w:rsidRPr="00FD360F">
        <w:rPr>
          <w:rFonts w:asciiTheme="minorHAnsi" w:hAnsiTheme="minorHAnsi" w:cs="Arial"/>
          <w:sz w:val="20"/>
          <w:szCs w:val="20"/>
        </w:rPr>
        <w:t xml:space="preserve">and </w:t>
      </w:r>
      <w:r w:rsidR="006D64B7" w:rsidRPr="00FD360F">
        <w:rPr>
          <w:rFonts w:asciiTheme="minorHAnsi" w:hAnsiTheme="minorHAnsi" w:cs="Arial"/>
          <w:sz w:val="20"/>
          <w:szCs w:val="20"/>
        </w:rPr>
        <w:t xml:space="preserve">the </w:t>
      </w:r>
      <w:r w:rsidR="000676FF" w:rsidRPr="00FD360F">
        <w:rPr>
          <w:rFonts w:asciiTheme="minorHAnsi" w:hAnsiTheme="minorHAnsi" w:cs="Arial"/>
          <w:sz w:val="20"/>
          <w:szCs w:val="20"/>
        </w:rPr>
        <w:t xml:space="preserve">reporting </w:t>
      </w:r>
      <w:r w:rsidR="00B35A4C" w:rsidRPr="00FD360F">
        <w:rPr>
          <w:rFonts w:asciiTheme="minorHAnsi" w:hAnsiTheme="minorHAnsi" w:cs="Arial"/>
          <w:sz w:val="20"/>
          <w:szCs w:val="20"/>
        </w:rPr>
        <w:t>performance.</w:t>
      </w:r>
    </w:p>
    <w:p w14:paraId="21D593FF" w14:textId="3D899DBF" w:rsidR="004140D9" w:rsidRPr="00FD360F" w:rsidRDefault="004140D9" w:rsidP="001F646B">
      <w:pPr>
        <w:pStyle w:val="Standard"/>
        <w:jc w:val="both"/>
        <w:rPr>
          <w:rFonts w:asciiTheme="minorHAnsi" w:hAnsiTheme="minorHAnsi" w:cs="Arial"/>
          <w:b/>
          <w:bCs/>
          <w:color w:val="385623" w:themeColor="accent6" w:themeShade="80"/>
        </w:rPr>
      </w:pPr>
      <w:r w:rsidRPr="00FD360F">
        <w:rPr>
          <w:rFonts w:asciiTheme="minorHAnsi" w:hAnsiTheme="minorHAnsi" w:cs="Arial"/>
          <w:b/>
          <w:bCs/>
          <w:color w:val="385623" w:themeColor="accent6" w:themeShade="80"/>
        </w:rPr>
        <w:t>Objective</w:t>
      </w:r>
    </w:p>
    <w:p w14:paraId="28F30D8B" w14:textId="7AD79B51" w:rsidR="004140D9" w:rsidRPr="004140D9" w:rsidRDefault="004140D9" w:rsidP="001F646B">
      <w:pPr>
        <w:pStyle w:val="Standard"/>
        <w:jc w:val="both"/>
        <w:rPr>
          <w:rFonts w:ascii="Arial" w:hAnsi="Arial" w:cs="Arial"/>
          <w:color w:val="000000" w:themeColor="text1"/>
          <w:sz w:val="20"/>
          <w:szCs w:val="20"/>
        </w:rPr>
      </w:pPr>
      <w:r w:rsidRPr="004140D9">
        <w:rPr>
          <w:rFonts w:ascii="Arial" w:hAnsi="Arial" w:cs="Arial"/>
          <w:color w:val="000000" w:themeColor="text1"/>
          <w:sz w:val="20"/>
          <w:szCs w:val="20"/>
        </w:rPr>
        <w:t xml:space="preserve">To evaluate the quality and reliability of ESG reporting data and identify areas for improvement </w:t>
      </w:r>
    </w:p>
    <w:p w14:paraId="4A952E3E" w14:textId="591B48C4" w:rsidR="000676FF" w:rsidRDefault="004140D9" w:rsidP="001F646B">
      <w:pPr>
        <w:pStyle w:val="Standard"/>
        <w:jc w:val="both"/>
        <w:rPr>
          <w:rFonts w:ascii="Arial" w:hAnsi="Arial" w:cs="Arial"/>
          <w:sz w:val="20"/>
          <w:szCs w:val="20"/>
        </w:rPr>
      </w:pPr>
      <w:r>
        <w:rPr>
          <mc:AlternateContent>
            <mc:Choice Requires="w16se">
              <w:rFonts w:ascii="Arial" w:hAnsi="Arial" w:cs="Arial"/>
            </mc:Choice>
            <mc:Fallback>
              <w:rFonts w:ascii="Segoe UI Emoji" w:eastAsia="Segoe UI Emoji" w:hAnsi="Segoe UI Emoji" w:cs="Segoe UI Emoji"/>
            </mc:Fallback>
          </mc:AlternateContent>
          <w:sz w:val="20"/>
          <w:szCs w:val="20"/>
        </w:rPr>
        <mc:AlternateContent>
          <mc:Choice Requires="w16se">
            <w16se:symEx w16se:font="Segoe UI Emoji" w16se:char="270D"/>
          </mc:Choice>
          <mc:Fallback>
            <w:t>✍</w:t>
          </mc:Fallback>
        </mc:AlternateContent>
      </w:r>
      <w:r>
        <w:rPr>
          <w:rFonts w:ascii="Arial" w:hAnsi="Arial" w:cs="Arial"/>
          <w:sz w:val="20"/>
          <w:szCs w:val="20"/>
        </w:rPr>
        <w:t>️</w:t>
      </w:r>
      <w:r w:rsidR="000676FF">
        <w:rPr>
          <w:rFonts w:ascii="Arial" w:hAnsi="Arial" w:cs="Arial"/>
          <w:sz w:val="20"/>
          <w:szCs w:val="20"/>
        </w:rPr>
        <w:t>Key Findings:</w:t>
      </w:r>
    </w:p>
    <w:p w14:paraId="322ADC90" w14:textId="6FDB2B8F" w:rsidR="004972BD" w:rsidRDefault="004972BD" w:rsidP="004972BD">
      <w:pPr>
        <w:pStyle w:val="ListParagraph"/>
        <w:numPr>
          <w:ilvl w:val="0"/>
          <w:numId w:val="2"/>
        </w:numPr>
        <w:jc w:val="both"/>
      </w:pPr>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343"/>
          </mc:Choice>
          <mc:Fallback>
            <w:t>🍃</w:t>
          </mc:Fallback>
        </mc:AlternateContent>
      </w:r>
      <w:r w:rsidRPr="00241B64">
        <w:rPr>
          <w:b/>
          <w:bCs/>
        </w:rPr>
        <w:t>Carbon Emissions:</w:t>
      </w:r>
      <w:r w:rsidRPr="00241B64">
        <w:t xml:space="preserve"> Actual carbon emissions exceeded targets in both 2025 and 2026. However, both target and actual emissions declined significantly in 2026, indicating overall progress in reducing carbon emissions despite targets not being fully achieved. </w:t>
      </w:r>
    </w:p>
    <w:p w14:paraId="315C5E33" w14:textId="471BC12D" w:rsidR="004972BD" w:rsidRDefault="004972BD" w:rsidP="004972BD">
      <w:pPr>
        <w:pStyle w:val="ListParagraph"/>
        <w:numPr>
          <w:ilvl w:val="0"/>
          <w:numId w:val="2"/>
        </w:numPr>
        <w:jc w:val="both"/>
      </w:pPr>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23F1"/>
          </mc:Choice>
          <mc:Fallback>
            <w:t>⏱</w:t>
          </mc:Fallback>
        </mc:AlternateContent>
      </w:r>
      <w:r>
        <w:rPr>
          <w:b/>
          <w:bCs/>
        </w:rPr>
        <w:t>️</w:t>
      </w:r>
      <w:r w:rsidRPr="00241B64">
        <w:rPr>
          <w:b/>
          <w:bCs/>
        </w:rPr>
        <w:t>Reporting Delays:</w:t>
      </w:r>
      <w:r w:rsidRPr="00241B64">
        <w:t xml:space="preserve"> Delayed submissions accounted for </w:t>
      </w:r>
      <w:r w:rsidRPr="00241B64">
        <w:rPr>
          <w:b/>
          <w:bCs/>
        </w:rPr>
        <w:t>56%</w:t>
      </w:r>
      <w:r w:rsidRPr="00241B64">
        <w:t xml:space="preserve"> of all reports, making them the most significant data quality issue. While </w:t>
      </w:r>
      <w:r w:rsidRPr="00241B64">
        <w:rPr>
          <w:b/>
          <w:bCs/>
        </w:rPr>
        <w:t>42%</w:t>
      </w:r>
      <w:r w:rsidRPr="00241B64">
        <w:t xml:space="preserve"> of reports were submitted on time and only </w:t>
      </w:r>
      <w:r w:rsidRPr="00241B64">
        <w:rPr>
          <w:b/>
          <w:bCs/>
        </w:rPr>
        <w:t>2%</w:t>
      </w:r>
      <w:r w:rsidRPr="00241B64">
        <w:t xml:space="preserve"> were missing, improving reporting timeliness remains a key priority. </w:t>
      </w:r>
    </w:p>
    <w:p w14:paraId="3F9694DB" w14:textId="51E43065" w:rsidR="004972BD" w:rsidRDefault="004972BD" w:rsidP="00507351">
      <w:pPr>
        <w:pStyle w:val="ListParagraph"/>
        <w:numPr>
          <w:ilvl w:val="0"/>
          <w:numId w:val="2"/>
        </w:numPr>
        <w:pBdr>
          <w:bottom w:val="single" w:sz="8" w:space="1" w:color="385623" w:themeColor="accent6" w:themeShade="80"/>
        </w:pBdr>
        <w:jc w:val="both"/>
      </w:pPr>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4DA"/>
          </mc:Choice>
          <mc:Fallback>
            <w:t>📚</w:t>
          </mc:Fallback>
        </mc:AlternateContent>
      </w:r>
      <w:r w:rsidRPr="00241B64">
        <w:rPr>
          <w:b/>
          <w:bCs/>
        </w:rPr>
        <w:t>External Audit Status:</w:t>
      </w:r>
      <w:r w:rsidRPr="00241B64">
        <w:t xml:space="preserve"> Most ESG records were externally audited, demonstrating a strong commitment to independent assurance. However, the relatively high number of </w:t>
      </w:r>
      <w:r w:rsidRPr="00241B64">
        <w:rPr>
          <w:b/>
          <w:bCs/>
        </w:rPr>
        <w:t>Not Audited</w:t>
      </w:r>
      <w:r w:rsidRPr="00241B64">
        <w:t xml:space="preserve"> and </w:t>
      </w:r>
      <w:r w:rsidRPr="00241B64">
        <w:rPr>
          <w:b/>
          <w:bCs/>
        </w:rPr>
        <w:t>Pending Audit</w:t>
      </w:r>
      <w:r w:rsidRPr="00241B64">
        <w:t xml:space="preserve"> records highlights the need to improve audit coverage. Missing audit status records were minimal, indicating good data </w:t>
      </w:r>
      <w:r w:rsidRPr="00241B64">
        <w:t>completeness.</w:t>
      </w:r>
    </w:p>
    <w:p w14:paraId="0F9DD726" w14:textId="77777777" w:rsidR="000B2FB1" w:rsidRDefault="000B2FB1" w:rsidP="00B35A4C">
      <w:pPr>
        <w:pStyle w:val="NormalWeb"/>
        <w:spacing w:before="200" w:after="0" w:line="216" w:lineRule="auto"/>
        <w:jc w:val="both"/>
        <w:rPr>
          <w:rFonts w:asciiTheme="minorHAnsi" w:hAnsiTheme="minorHAnsi" w:cs="Arial"/>
          <w:b/>
          <w:bCs/>
          <w:color w:val="385623" w:themeColor="accent6" w:themeShade="80"/>
        </w:rPr>
      </w:pPr>
    </w:p>
    <w:p w14:paraId="03B9F4A7" w14:textId="32E829F1" w:rsidR="00FD360F" w:rsidRPr="004972BD" w:rsidRDefault="00FD360F" w:rsidP="00B35A4C">
      <w:pPr>
        <w:pStyle w:val="NormalWeb"/>
        <w:spacing w:before="200" w:after="0" w:line="216" w:lineRule="auto"/>
        <w:jc w:val="both"/>
        <w:rPr>
          <w:rFonts w:asciiTheme="minorHAnsi" w:hAnsiTheme="minorHAnsi" w:cs="Arial"/>
          <w:b/>
          <w:bCs/>
          <w:color w:val="385623" w:themeColor="accent6" w:themeShade="80"/>
        </w:rPr>
      </w:pPr>
      <w:r w:rsidRPr="004972BD">
        <w:rPr>
          <w:rFonts w:asciiTheme="minorHAnsi" w:hAnsiTheme="minorHAnsi" w:cs="Arial"/>
          <w:b/>
          <w:bCs/>
          <w:color w:val="385623" w:themeColor="accent6" w:themeShade="80"/>
        </w:rPr>
        <w:t>Approach</w:t>
      </w:r>
    </w:p>
    <w:p w14:paraId="33212391" w14:textId="12270D7A" w:rsidR="00FD360F" w:rsidRDefault="00FD360F" w:rsidP="00B35A4C">
      <w:pPr>
        <w:pStyle w:val="NormalWeb"/>
        <w:spacing w:before="200" w:after="0" w:line="216" w:lineRule="auto"/>
        <w:jc w:val="both"/>
        <w:rPr>
          <w:rFonts w:asciiTheme="minorHAnsi" w:hAnsiTheme="minorHAnsi" w:cs="Arial"/>
        </w:rPr>
      </w:pPr>
      <w:r w:rsidRPr="004972BD">
        <w:rPr>
          <w:rFonts w:asciiTheme="minorHAnsi" w:hAnsiTheme="minorHAnsi" w:cs="Arial"/>
        </w:rPr>
        <w:t>Analysed ESG data using Excel, Pivot tables, pivot charts and data quality metrics to assess completeness, accuracy, consistency and reporting timeliness.</w:t>
      </w:r>
    </w:p>
    <w:p w14:paraId="461D0209" w14:textId="77777777" w:rsidR="000B2FB1" w:rsidRDefault="000B2FB1" w:rsidP="00B35A4C">
      <w:pPr>
        <w:pStyle w:val="NormalWeb"/>
        <w:spacing w:before="200" w:after="0" w:line="216" w:lineRule="auto"/>
        <w:jc w:val="both"/>
        <w:rPr>
          <w:rFonts w:asciiTheme="minorHAnsi" w:hAnsiTheme="minorHAnsi" w:cs="Arial"/>
        </w:rPr>
      </w:pPr>
    </w:p>
    <w:p w14:paraId="7E6E2F77" w14:textId="77777777" w:rsidR="000B2FB1" w:rsidRDefault="000B2FB1" w:rsidP="00B35A4C">
      <w:pPr>
        <w:pStyle w:val="NormalWeb"/>
        <w:spacing w:before="200" w:after="0" w:line="216" w:lineRule="auto"/>
        <w:jc w:val="both"/>
        <w:rPr>
          <w:rFonts w:asciiTheme="minorHAnsi" w:hAnsiTheme="minorHAnsi" w:cs="Arial"/>
        </w:rPr>
      </w:pPr>
    </w:p>
    <w:p w14:paraId="3405A006" w14:textId="77777777" w:rsidR="000B2FB1" w:rsidRDefault="000B2FB1" w:rsidP="00B35A4C">
      <w:pPr>
        <w:pStyle w:val="NormalWeb"/>
        <w:spacing w:before="200" w:after="0" w:line="216" w:lineRule="auto"/>
        <w:jc w:val="both"/>
        <w:rPr>
          <w:rFonts w:asciiTheme="minorHAnsi" w:hAnsiTheme="minorHAnsi" w:cs="Arial"/>
        </w:rPr>
      </w:pPr>
    </w:p>
    <w:p w14:paraId="5947CF4A" w14:textId="77777777" w:rsidR="000B2FB1" w:rsidRPr="004972BD" w:rsidRDefault="000B2FB1" w:rsidP="00B35A4C">
      <w:pPr>
        <w:pStyle w:val="NormalWeb"/>
        <w:spacing w:before="200" w:after="0" w:line="216" w:lineRule="auto"/>
        <w:jc w:val="both"/>
        <w:rPr>
          <w:rFonts w:asciiTheme="minorHAnsi" w:hAnsiTheme="minorHAnsi" w:cs="Arial"/>
        </w:rPr>
      </w:pPr>
    </w:p>
    <w:p w14:paraId="1B208917" w14:textId="1FF5EBF4" w:rsidR="00FD360F" w:rsidRPr="00550B0E" w:rsidRDefault="00FD360F" w:rsidP="00B35A4C">
      <w:pPr>
        <w:pStyle w:val="NormalWeb"/>
        <w:spacing w:before="200" w:after="0" w:line="216" w:lineRule="auto"/>
        <w:jc w:val="both"/>
        <w:rPr>
          <w:rFonts w:asciiTheme="minorHAnsi" w:hAnsiTheme="minorHAnsi" w:cs="Arial"/>
          <w:b/>
          <w:bCs/>
          <w:color w:val="385623" w:themeColor="accent6" w:themeShade="80"/>
        </w:rPr>
      </w:pPr>
      <w:r w:rsidRPr="00550B0E">
        <w:rPr>
          <w:rFonts w:asciiTheme="minorHAnsi" w:hAnsiTheme="minorHAnsi" w:cs="Arial"/>
          <w:b/>
          <w:bCs/>
          <w:color w:val="385623" w:themeColor="accent6" w:themeShade="80"/>
        </w:rPr>
        <w:t>Recommendations</w:t>
      </w:r>
    </w:p>
    <w:p w14:paraId="2193D3AD" w14:textId="77777777" w:rsidR="001042B1" w:rsidRDefault="001042B1" w:rsidP="001042B1">
      <w:pPr>
        <w:pStyle w:val="ListParagraph"/>
        <w:numPr>
          <w:ilvl w:val="0"/>
          <w:numId w:val="2"/>
        </w:numPr>
        <w:jc w:val="both"/>
      </w:pPr>
      <w:r w:rsidRPr="00AB6649">
        <w:rPr>
          <w:b/>
          <w:bCs/>
        </w:rPr>
        <w:t>Carbon Emissions:</w:t>
      </w:r>
      <w:r w:rsidRPr="00AB6649">
        <w:t xml:space="preserve"> Strengthen carbon reduction initiatives and emissions monitoring to achieve future ESG targets while building on the positive reduction observed in 2026. </w:t>
      </w:r>
    </w:p>
    <w:p w14:paraId="3F2C4CB8" w14:textId="77777777" w:rsidR="001042B1" w:rsidRDefault="001042B1" w:rsidP="001042B1">
      <w:pPr>
        <w:pStyle w:val="ListParagraph"/>
      </w:pPr>
    </w:p>
    <w:p w14:paraId="21880384" w14:textId="77777777" w:rsidR="001042B1" w:rsidRDefault="001042B1" w:rsidP="001042B1">
      <w:pPr>
        <w:pStyle w:val="ListParagraph"/>
        <w:numPr>
          <w:ilvl w:val="0"/>
          <w:numId w:val="2"/>
        </w:numPr>
        <w:jc w:val="both"/>
      </w:pPr>
      <w:r w:rsidRPr="00AB6649">
        <w:t xml:space="preserve"> </w:t>
      </w:r>
      <w:r w:rsidRPr="00AB6649">
        <w:rPr>
          <w:b/>
          <w:bCs/>
        </w:rPr>
        <w:t>Reporting Timeliness:</w:t>
      </w:r>
      <w:r w:rsidRPr="00AB6649">
        <w:t xml:space="preserve"> Improve reporting processes and deadline management to reduce reporting delays and ensure complete, timely ESG data. </w:t>
      </w:r>
    </w:p>
    <w:p w14:paraId="79FB9C2B" w14:textId="77777777" w:rsidR="001042B1" w:rsidRPr="00AB6649" w:rsidRDefault="001042B1" w:rsidP="001042B1">
      <w:pPr>
        <w:pStyle w:val="ListParagraph"/>
        <w:jc w:val="both"/>
        <w:rPr>
          <w:b/>
          <w:bCs/>
        </w:rPr>
      </w:pPr>
    </w:p>
    <w:p w14:paraId="44A306D2" w14:textId="77777777" w:rsidR="001042B1" w:rsidRDefault="001042B1" w:rsidP="001042B1">
      <w:pPr>
        <w:pStyle w:val="ListParagraph"/>
        <w:numPr>
          <w:ilvl w:val="0"/>
          <w:numId w:val="2"/>
        </w:numPr>
        <w:jc w:val="both"/>
      </w:pPr>
      <w:r w:rsidRPr="00AB6649">
        <w:rPr>
          <w:b/>
          <w:bCs/>
        </w:rPr>
        <w:t>External Audit:</w:t>
      </w:r>
      <w:r w:rsidRPr="00AB6649">
        <w:t xml:space="preserve"> Increase external audit coverage by completing pending audits, reducing unaudited records, and resolving missing audit statuses to enhance the credibility and reliability of ESG reporting.</w:t>
      </w:r>
    </w:p>
    <w:p w14:paraId="7D0B9FA7" w14:textId="77777777" w:rsidR="001042B1" w:rsidRDefault="001042B1" w:rsidP="001042B1">
      <w:pPr>
        <w:pStyle w:val="ListParagraph"/>
      </w:pPr>
    </w:p>
    <w:p w14:paraId="6E8846A8" w14:textId="65A487C4" w:rsidR="001042B1" w:rsidRDefault="001042B1" w:rsidP="001042B1">
      <w:pPr>
        <w:jc w:val="both"/>
        <w:rPr>
          <w:b/>
          <w:bCs/>
          <w:color w:val="538135" w:themeColor="accent6" w:themeShade="BF"/>
        </w:rPr>
      </w:pPr>
      <w:r w:rsidRPr="001042B1">
        <w:rPr>
          <w:b/>
          <w:bCs/>
          <w:color w:val="538135" w:themeColor="accent6" w:themeShade="BF"/>
        </w:rPr>
        <w:t>Business Impact</w:t>
      </w:r>
    </w:p>
    <w:p w14:paraId="0B2AA3D9" w14:textId="77777777" w:rsidR="001042B1" w:rsidRPr="001042B1" w:rsidRDefault="001042B1" w:rsidP="001042B1">
      <w:pPr>
        <w:pStyle w:val="ListParagraph"/>
        <w:numPr>
          <w:ilvl w:val="0"/>
          <w:numId w:val="3"/>
        </w:numPr>
        <w:rPr>
          <w:color w:val="000000" w:themeColor="text1"/>
        </w:rPr>
      </w:pPr>
      <w:r w:rsidRPr="001042B1">
        <w:rPr>
          <w:color w:val="000000" w:themeColor="text1"/>
        </w:rPr>
        <w:t xml:space="preserve">Improved ESG data quality and reporting accuracy. </w:t>
      </w:r>
    </w:p>
    <w:p w14:paraId="4A32F104" w14:textId="5C1B3B55" w:rsidR="001042B1" w:rsidRPr="001042B1" w:rsidRDefault="001042B1" w:rsidP="001042B1">
      <w:pPr>
        <w:pStyle w:val="ListParagraph"/>
        <w:numPr>
          <w:ilvl w:val="0"/>
          <w:numId w:val="3"/>
        </w:numPr>
        <w:jc w:val="both"/>
        <w:rPr>
          <w:b/>
          <w:bCs/>
          <w:color w:val="000000" w:themeColor="text1"/>
        </w:rPr>
      </w:pPr>
      <w:r w:rsidRPr="001042B1">
        <w:rPr>
          <w:color w:val="000000" w:themeColor="text1"/>
        </w:rPr>
        <w:t>More reliable information to support strategic decision-making</w:t>
      </w:r>
    </w:p>
    <w:p w14:paraId="15B416C7" w14:textId="77777777" w:rsidR="001042B1" w:rsidRPr="00AB6649" w:rsidRDefault="001042B1" w:rsidP="001042B1">
      <w:pPr>
        <w:pStyle w:val="ListParagraph"/>
        <w:numPr>
          <w:ilvl w:val="0"/>
          <w:numId w:val="3"/>
        </w:numPr>
      </w:pPr>
      <w:r w:rsidRPr="00AB6649">
        <w:t xml:space="preserve">Increased stakeholder confidence through stronger governance and audit assurance. </w:t>
      </w:r>
    </w:p>
    <w:p w14:paraId="12955C41" w14:textId="4D8EF334" w:rsidR="001042B1" w:rsidRPr="001042B1" w:rsidRDefault="001042B1" w:rsidP="001042B1">
      <w:pPr>
        <w:pStyle w:val="ListParagraph"/>
        <w:numPr>
          <w:ilvl w:val="0"/>
          <w:numId w:val="3"/>
        </w:numPr>
        <w:jc w:val="both"/>
        <w:rPr>
          <w:b/>
          <w:bCs/>
          <w:color w:val="000000" w:themeColor="text1"/>
        </w:rPr>
      </w:pPr>
      <w:r w:rsidRPr="00AB6649">
        <w:t>Better regulatory compliance and reduced reporting risk.</w:t>
      </w:r>
    </w:p>
    <w:p w14:paraId="3F147D2A" w14:textId="6A273FBF" w:rsidR="001042B1" w:rsidRPr="001042B1" w:rsidRDefault="001042B1" w:rsidP="001042B1">
      <w:pPr>
        <w:pStyle w:val="ListParagraph"/>
        <w:numPr>
          <w:ilvl w:val="0"/>
          <w:numId w:val="3"/>
        </w:numPr>
        <w:jc w:val="both"/>
        <w:rPr>
          <w:b/>
          <w:bCs/>
          <w:color w:val="000000" w:themeColor="text1"/>
        </w:rPr>
      </w:pPr>
      <w:r w:rsidRPr="00AB6649">
        <w:t>Enhanced progress towards sustainability and net-zero objectives</w:t>
      </w:r>
    </w:p>
    <w:p w14:paraId="5CE17651" w14:textId="4AF49571" w:rsidR="00B35A4C" w:rsidRPr="001042B1" w:rsidRDefault="00B35A4C" w:rsidP="00B35A4C">
      <w:pPr>
        <w:pStyle w:val="Standard"/>
        <w:jc w:val="both"/>
        <w:rPr>
          <w:rFonts w:ascii="Arial" w:hAnsi="Arial" w:cs="Arial"/>
          <w:color w:val="000000" w:themeColor="text1"/>
          <w:sz w:val="20"/>
          <w:szCs w:val="20"/>
        </w:rPr>
      </w:pPr>
    </w:p>
    <w:p w14:paraId="42020E81" w14:textId="77777777" w:rsidR="00B35A4C" w:rsidRDefault="00B35A4C" w:rsidP="00B35A4C">
      <w:pPr>
        <w:pStyle w:val="Standard"/>
        <w:jc w:val="both"/>
        <w:rPr>
          <w:rFonts w:ascii="Arial" w:hAnsi="Arial" w:cs="Arial"/>
          <w:sz w:val="20"/>
          <w:szCs w:val="20"/>
        </w:rPr>
      </w:pPr>
    </w:p>
    <w:p w14:paraId="15E35ED7" w14:textId="77777777" w:rsidR="00B35A4C" w:rsidRPr="00B35A4C" w:rsidRDefault="00B35A4C" w:rsidP="00B35A4C">
      <w:pPr>
        <w:pStyle w:val="Standard"/>
        <w:jc w:val="both"/>
        <w:rPr>
          <w:sz w:val="20"/>
          <w:szCs w:val="20"/>
        </w:rPr>
      </w:pPr>
    </w:p>
    <w:p w14:paraId="506881F5" w14:textId="08B27982" w:rsidR="00D07E2D" w:rsidRPr="00D07E2D" w:rsidRDefault="00D07E2D" w:rsidP="001F646B">
      <w:pPr>
        <w:pStyle w:val="Standard"/>
        <w:jc w:val="both"/>
        <w:rPr>
          <w:sz w:val="20"/>
          <w:szCs w:val="20"/>
        </w:rPr>
      </w:pPr>
    </w:p>
    <w:p w14:paraId="37F2D13E" w14:textId="77777777" w:rsidR="00DC17AF" w:rsidRPr="001F646B" w:rsidRDefault="00DC17AF" w:rsidP="001F646B">
      <w:pPr>
        <w:spacing w:after="0" w:line="240" w:lineRule="auto"/>
        <w:jc w:val="both"/>
        <w:rPr>
          <w:rFonts w:ascii="Calibri heading" w:hAnsi="Calibri heading" w:cs="Calibri"/>
          <w:color w:val="385623" w:themeColor="accent6" w:themeShade="80"/>
          <w:sz w:val="20"/>
          <w:szCs w:val="20"/>
        </w:rPr>
      </w:pPr>
    </w:p>
    <w:p w14:paraId="68F1E456" w14:textId="77777777" w:rsidR="00DC17AF" w:rsidRDefault="00DC17AF" w:rsidP="00DC17AF">
      <w:pPr>
        <w:spacing w:after="0" w:line="240" w:lineRule="auto"/>
        <w:rPr>
          <w:rFonts w:ascii="Calibri heading" w:hAnsi="Calibri heading" w:cs="Calibri"/>
          <w:color w:val="385623" w:themeColor="accent6" w:themeShade="80"/>
          <w:sz w:val="28"/>
          <w:szCs w:val="28"/>
        </w:rPr>
      </w:pPr>
    </w:p>
    <w:sectPr w:rsidR="00DC17A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5CAE3" w14:textId="77777777" w:rsidR="00B01E5A" w:rsidRDefault="00B01E5A" w:rsidP="009F0BA5">
      <w:pPr>
        <w:spacing w:after="0" w:line="240" w:lineRule="auto"/>
      </w:pPr>
      <w:r>
        <w:separator/>
      </w:r>
    </w:p>
  </w:endnote>
  <w:endnote w:type="continuationSeparator" w:id="0">
    <w:p w14:paraId="1A7D9145" w14:textId="77777777" w:rsidR="00B01E5A" w:rsidRDefault="00B01E5A" w:rsidP="009F0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
    <w:charset w:val="00"/>
    <w:family w:val="auto"/>
    <w:pitch w:val="variable"/>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heading">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5E450" w14:textId="77777777" w:rsidR="00B01E5A" w:rsidRDefault="00B01E5A" w:rsidP="009F0BA5">
      <w:pPr>
        <w:spacing w:after="0" w:line="240" w:lineRule="auto"/>
      </w:pPr>
      <w:r>
        <w:separator/>
      </w:r>
    </w:p>
  </w:footnote>
  <w:footnote w:type="continuationSeparator" w:id="0">
    <w:p w14:paraId="4C328581" w14:textId="77777777" w:rsidR="00B01E5A" w:rsidRDefault="00B01E5A" w:rsidP="009F0B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83F61" w14:textId="77777777" w:rsidR="009F0BA5" w:rsidRDefault="009F0B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F613F"/>
    <w:multiLevelType w:val="hybridMultilevel"/>
    <w:tmpl w:val="023AA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48592D"/>
    <w:multiLevelType w:val="hybridMultilevel"/>
    <w:tmpl w:val="A328D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434EFA"/>
    <w:multiLevelType w:val="hybridMultilevel"/>
    <w:tmpl w:val="32880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6292994">
    <w:abstractNumId w:val="0"/>
  </w:num>
  <w:num w:numId="2" w16cid:durableId="1198540502">
    <w:abstractNumId w:val="2"/>
  </w:num>
  <w:num w:numId="3" w16cid:durableId="431322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946"/>
    <w:rsid w:val="000454D0"/>
    <w:rsid w:val="000676FF"/>
    <w:rsid w:val="000A0A0F"/>
    <w:rsid w:val="000B2FB1"/>
    <w:rsid w:val="001042B1"/>
    <w:rsid w:val="001F646B"/>
    <w:rsid w:val="00331FF6"/>
    <w:rsid w:val="004140D9"/>
    <w:rsid w:val="004972BD"/>
    <w:rsid w:val="004F7C68"/>
    <w:rsid w:val="00507351"/>
    <w:rsid w:val="00550B0E"/>
    <w:rsid w:val="006D64B7"/>
    <w:rsid w:val="007908A9"/>
    <w:rsid w:val="00810FDB"/>
    <w:rsid w:val="0090787A"/>
    <w:rsid w:val="00907946"/>
    <w:rsid w:val="009F0BA5"/>
    <w:rsid w:val="00A41CEF"/>
    <w:rsid w:val="00B01E5A"/>
    <w:rsid w:val="00B35A4C"/>
    <w:rsid w:val="00B60D90"/>
    <w:rsid w:val="00D07E2D"/>
    <w:rsid w:val="00DC17AF"/>
    <w:rsid w:val="00E75097"/>
    <w:rsid w:val="00EE328D"/>
    <w:rsid w:val="00FD3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FFFAD"/>
  <w15:chartTrackingRefBased/>
  <w15:docId w15:val="{50E83FC1-09A3-4F80-8BA6-35D31B1C2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0B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0BA5"/>
  </w:style>
  <w:style w:type="paragraph" w:styleId="Footer">
    <w:name w:val="footer"/>
    <w:basedOn w:val="Normal"/>
    <w:link w:val="FooterChar"/>
    <w:uiPriority w:val="99"/>
    <w:unhideWhenUsed/>
    <w:rsid w:val="009F0B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0BA5"/>
  </w:style>
  <w:style w:type="paragraph" w:styleId="NormalWeb">
    <w:name w:val="Normal (Web)"/>
    <w:basedOn w:val="Normal"/>
    <w:rsid w:val="00DC17AF"/>
    <w:pPr>
      <w:suppressAutoHyphens/>
      <w:autoSpaceDN w:val="0"/>
      <w:spacing w:before="100" w:after="100" w:line="240" w:lineRule="auto"/>
      <w:textAlignment w:val="baseline"/>
    </w:pPr>
    <w:rPr>
      <w:rFonts w:ascii="Times New Roman" w:eastAsia="Times New Roman" w:hAnsi="Times New Roman" w:cs="Times New Roman"/>
      <w:kern w:val="3"/>
      <w14:ligatures w14:val="none"/>
    </w:rPr>
  </w:style>
  <w:style w:type="paragraph" w:customStyle="1" w:styleId="Standard">
    <w:name w:val="Standard"/>
    <w:rsid w:val="00B60D90"/>
    <w:pPr>
      <w:suppressAutoHyphens/>
      <w:autoSpaceDN w:val="0"/>
      <w:spacing w:line="276" w:lineRule="auto"/>
      <w:textAlignment w:val="baseline"/>
    </w:pPr>
    <w:rPr>
      <w:rFonts w:ascii="Aptos" w:eastAsia="SimSun" w:hAnsi="Aptos" w:cs="F"/>
      <w:kern w:val="3"/>
      <w14:ligatures w14:val="none"/>
    </w:rPr>
  </w:style>
  <w:style w:type="paragraph" w:styleId="ListParagraph">
    <w:name w:val="List Paragraph"/>
    <w:basedOn w:val="Normal"/>
    <w:uiPriority w:val="34"/>
    <w:qFormat/>
    <w:rsid w:val="004972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Pages>
  <Words>337</Words>
  <Characters>2299</Characters>
  <Application>Microsoft Office Word</Application>
  <DocSecurity>0</DocSecurity>
  <Lines>62</Lines>
  <Paragraphs>48</Paragraphs>
  <ScaleCrop>false</ScaleCrop>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Fadare</dc:creator>
  <cp:keywords/>
  <dc:description/>
  <cp:lastModifiedBy>Samuel Fadare</cp:lastModifiedBy>
  <cp:revision>3</cp:revision>
  <dcterms:created xsi:type="dcterms:W3CDTF">2026-07-28T20:46:00Z</dcterms:created>
  <dcterms:modified xsi:type="dcterms:W3CDTF">2026-07-28T20:48:00Z</dcterms:modified>
</cp:coreProperties>
</file>