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8E" w:rsidRPr="00A011D7" w:rsidRDefault="005074B8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${juizoTribunal.nome}</w:t>
      </w: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Ação Ordinária do Juizado Especial Cível</w:t>
      </w: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Concessão de </w:t>
      </w:r>
      <w:r w:rsidR="00562F81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82E59"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posentadoria por 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Tempo de Contribuição</w:t>
      </w:r>
    </w:p>
    <w:p w:rsidR="00F82E59" w:rsidRPr="00A011D7" w:rsidRDefault="00F82E59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Julgamento Antecipado da Lide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Tutela Antecipada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Justiça Gratuita</w:t>
      </w:r>
    </w:p>
    <w:p w:rsidR="00692BE9" w:rsidRPr="00A011D7" w:rsidRDefault="00692BE9" w:rsidP="00B346F0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692BE9" w:rsidRPr="00A011D7" w:rsidRDefault="005074B8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${cliente.profissao}</w:t>
      </w:r>
      <w:r w:rsidR="00692BE9"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="00BA24BF" w:rsidRPr="00A011D7">
        <w:rPr>
          <w:rFonts w:asciiTheme="minorHAnsi" w:hAnsiTheme="minorHAnsi" w:cstheme="minorHAnsi"/>
          <w:sz w:val="24"/>
          <w:szCs w:val="24"/>
        </w:rPr>
        <w:t>vem, mui r</w:t>
      </w:r>
      <w:r w:rsidR="00125CDD" w:rsidRPr="00A011D7">
        <w:rPr>
          <w:rFonts w:asciiTheme="minorHAnsi" w:hAnsiTheme="minorHAnsi" w:cstheme="minorHAnsi"/>
          <w:sz w:val="24"/>
          <w:szCs w:val="24"/>
        </w:rPr>
        <w:t xml:space="preserve">espeitosamente, </w:t>
      </w:r>
      <w:r w:rsidR="00EC6620" w:rsidRPr="00C03EC5">
        <w:rPr>
          <w:rFonts w:asciiTheme="minorHAnsi" w:hAnsiTheme="minorHAnsi"/>
          <w:sz w:val="24"/>
          <w:szCs w:val="24"/>
        </w:rPr>
        <w:t>por seu</w:t>
      </w:r>
      <w:r w:rsidR="00EC6620">
        <w:rPr>
          <w:rFonts w:asciiTheme="minorHAnsi" w:hAnsiTheme="minorHAnsi"/>
          <w:sz w:val="24"/>
          <w:szCs w:val="24"/>
        </w:rPr>
        <w:t>s advogados</w:t>
      </w:r>
      <w:r w:rsidR="001D12B7">
        <w:rPr>
          <w:rFonts w:asciiTheme="minorHAnsi" w:hAnsiTheme="minorHAnsi"/>
          <w:b/>
          <w:smallCaps/>
          <w:sz w:val="24"/>
          <w:szCs w:val="24"/>
        </w:rPr>
        <w:t>Diego Silva Parente</w:t>
      </w:r>
      <w:r w:rsidR="00EC6620">
        <w:rPr>
          <w:rFonts w:asciiTheme="minorHAnsi" w:hAnsiTheme="minorHAnsi"/>
          <w:sz w:val="24"/>
          <w:szCs w:val="24"/>
        </w:rPr>
        <w:t xml:space="preserve">, inscrito na OAB/CE sob número </w:t>
      </w:r>
      <w:r w:rsidR="00CC15E8">
        <w:rPr>
          <w:rFonts w:asciiTheme="minorHAnsi" w:hAnsiTheme="minorHAnsi"/>
          <w:sz w:val="24"/>
          <w:szCs w:val="24"/>
        </w:rPr>
        <w:t>24.856</w:t>
      </w:r>
      <w:r w:rsidR="00EC6620">
        <w:rPr>
          <w:rFonts w:asciiTheme="minorHAnsi" w:hAnsiTheme="minorHAnsi"/>
          <w:sz w:val="24"/>
          <w:szCs w:val="24"/>
        </w:rPr>
        <w:t xml:space="preserve">, </w:t>
      </w:r>
      <w:r w:rsidR="00EC6620" w:rsidRPr="007554EA">
        <w:rPr>
          <w:rFonts w:asciiTheme="minorHAnsi" w:hAnsiTheme="minorHAnsi"/>
          <w:b/>
          <w:smallCaps/>
          <w:sz w:val="24"/>
          <w:szCs w:val="24"/>
        </w:rPr>
        <w:t>Joaquim Jocel de Vasconcelos Neto</w:t>
      </w:r>
      <w:r w:rsidR="00EC6620">
        <w:rPr>
          <w:rFonts w:asciiTheme="minorHAnsi" w:hAnsiTheme="minorHAnsi"/>
          <w:sz w:val="24"/>
          <w:szCs w:val="24"/>
        </w:rPr>
        <w:t>, inscrito na OAB/CE sob número 20.</w:t>
      </w:r>
      <w:r w:rsidR="00CC15E8">
        <w:rPr>
          <w:rFonts w:asciiTheme="minorHAnsi" w:hAnsiTheme="minorHAnsi"/>
          <w:sz w:val="24"/>
          <w:szCs w:val="24"/>
        </w:rPr>
        <w:t>392</w:t>
      </w:r>
      <w:r w:rsidR="00EC6620" w:rsidRPr="00C03EC5">
        <w:rPr>
          <w:rFonts w:asciiTheme="minorHAnsi" w:hAnsiTheme="minorHAnsi"/>
          <w:sz w:val="24"/>
          <w:szCs w:val="24"/>
        </w:rPr>
        <w:t xml:space="preserve">, com escritório profissional localizado na Rua </w:t>
      </w:r>
      <w:r w:rsidR="00EC6620">
        <w:rPr>
          <w:rFonts w:asciiTheme="minorHAnsi" w:hAnsiTheme="minorHAnsi"/>
          <w:sz w:val="24"/>
          <w:szCs w:val="24"/>
        </w:rPr>
        <w:t>Estanislau Frota</w:t>
      </w:r>
      <w:r w:rsidR="00EC6620" w:rsidRPr="00C03EC5">
        <w:rPr>
          <w:rFonts w:asciiTheme="minorHAnsi" w:hAnsiTheme="minorHAnsi"/>
          <w:sz w:val="24"/>
          <w:szCs w:val="24"/>
        </w:rPr>
        <w:t xml:space="preserve">, Nº </w:t>
      </w:r>
      <w:r w:rsidR="00EC6620">
        <w:rPr>
          <w:rFonts w:asciiTheme="minorHAnsi" w:hAnsiTheme="minorHAnsi"/>
          <w:sz w:val="24"/>
          <w:szCs w:val="24"/>
        </w:rPr>
        <w:t xml:space="preserve">340, loja 1, </w:t>
      </w:r>
      <w:r w:rsidR="00EC6620" w:rsidRPr="00C03EC5">
        <w:rPr>
          <w:rFonts w:asciiTheme="minorHAnsi" w:hAnsiTheme="minorHAnsi"/>
          <w:sz w:val="24"/>
          <w:szCs w:val="24"/>
        </w:rPr>
        <w:t>Centro</w:t>
      </w:r>
      <w:r w:rsidR="00EC6620">
        <w:rPr>
          <w:rFonts w:asciiTheme="minorHAnsi" w:hAnsiTheme="minorHAnsi"/>
          <w:sz w:val="24"/>
          <w:szCs w:val="24"/>
        </w:rPr>
        <w:t>,</w:t>
      </w:r>
      <w:r w:rsidR="00EC6620" w:rsidRPr="00C03EC5">
        <w:rPr>
          <w:rFonts w:asciiTheme="minorHAnsi" w:hAnsiTheme="minorHAnsi"/>
          <w:sz w:val="24"/>
          <w:szCs w:val="24"/>
        </w:rPr>
        <w:t xml:space="preserve"> Sobral</w:t>
      </w:r>
      <w:r w:rsidR="00EC6620">
        <w:rPr>
          <w:rFonts w:asciiTheme="minorHAnsi" w:hAnsiTheme="minorHAnsi"/>
          <w:sz w:val="24"/>
          <w:szCs w:val="24"/>
        </w:rPr>
        <w:t>,</w:t>
      </w:r>
      <w:r w:rsidR="00EC6620" w:rsidRPr="00C03EC5">
        <w:rPr>
          <w:rFonts w:asciiTheme="minorHAnsi" w:hAnsiTheme="minorHAnsi"/>
          <w:sz w:val="24"/>
          <w:szCs w:val="24"/>
        </w:rPr>
        <w:t xml:space="preserve"> Ce</w:t>
      </w:r>
      <w:r w:rsidR="00EC6620">
        <w:rPr>
          <w:rFonts w:asciiTheme="minorHAnsi" w:hAnsiTheme="minorHAnsi"/>
          <w:sz w:val="24"/>
          <w:szCs w:val="24"/>
        </w:rPr>
        <w:t>ará</w:t>
      </w:r>
      <w:r w:rsidR="00EC6620" w:rsidRPr="00C03EC5">
        <w:rPr>
          <w:rFonts w:asciiTheme="minorHAnsi" w:hAnsiTheme="minorHAnsi"/>
          <w:sz w:val="24"/>
          <w:szCs w:val="24"/>
        </w:rPr>
        <w:t xml:space="preserve">, CEP </w:t>
      </w:r>
      <w:r w:rsidR="00EC6620">
        <w:rPr>
          <w:rFonts w:asciiTheme="minorHAnsi" w:hAnsiTheme="minorHAnsi"/>
          <w:sz w:val="24"/>
          <w:szCs w:val="24"/>
        </w:rPr>
        <w:t>62010-560,</w:t>
      </w:r>
      <w:r w:rsidR="00EC6620" w:rsidRPr="00C03EC5">
        <w:rPr>
          <w:rFonts w:asciiTheme="minorHAnsi" w:hAnsiTheme="minorHAnsi"/>
          <w:sz w:val="24"/>
          <w:szCs w:val="24"/>
        </w:rPr>
        <w:t xml:space="preserve"> Tel. (088) </w:t>
      </w:r>
      <w:r w:rsidR="00EC6620">
        <w:rPr>
          <w:rFonts w:asciiTheme="minorHAnsi" w:hAnsiTheme="minorHAnsi"/>
          <w:sz w:val="24"/>
          <w:szCs w:val="24"/>
        </w:rPr>
        <w:t>3611-6210</w:t>
      </w:r>
      <w:r w:rsidR="00EC6620" w:rsidRPr="00C03EC5">
        <w:rPr>
          <w:rFonts w:asciiTheme="minorHAnsi" w:hAnsiTheme="minorHAnsi"/>
          <w:sz w:val="24"/>
          <w:szCs w:val="24"/>
        </w:rPr>
        <w:t>,</w:t>
      </w:r>
      <w:r w:rsidR="00BA24BF" w:rsidRPr="00A011D7">
        <w:rPr>
          <w:rFonts w:asciiTheme="minorHAnsi" w:hAnsiTheme="minorHAnsi" w:cstheme="minorHAnsi"/>
          <w:sz w:val="24"/>
          <w:szCs w:val="24"/>
        </w:rPr>
        <w:t>perante Vossa Excelência, propor a presente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Ação de Concessão de </w:t>
      </w:r>
      <w:r w:rsidR="0041763C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posentadoria por Tempo de Contribuição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em desfavor do </w:t>
      </w:r>
      <w:r w:rsidRPr="00EC6620">
        <w:rPr>
          <w:rFonts w:asciiTheme="minorHAnsi" w:hAnsiTheme="minorHAnsi" w:cstheme="minorHAnsi"/>
          <w:b/>
          <w:smallCaps/>
          <w:sz w:val="24"/>
          <w:szCs w:val="24"/>
        </w:rPr>
        <w:t>Instituto Nacional do Seguro Social</w:t>
      </w:r>
      <w:r w:rsidRPr="00A011D7">
        <w:rPr>
          <w:rFonts w:asciiTheme="minorHAnsi" w:hAnsiTheme="minorHAnsi" w:cstheme="minorHAnsi"/>
          <w:sz w:val="24"/>
          <w:szCs w:val="24"/>
        </w:rPr>
        <w:t xml:space="preserve"> (INSS), autarquia federal, sito à rua Lúcia Sabóia, n.º 131, Centro, Sobral, Ceará, pelos fatos e fundamentos seguintes.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Justiça Gratuita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parte promovente é pobre e não pode arcar com as custas processuais sem prejuízo próprio e de sua família, razão por que requer sejam lhe deferidos os benefícios da justiça gratuita.</w:t>
      </w:r>
    </w:p>
    <w:p w:rsidR="00FC09D3" w:rsidRPr="00A011D7" w:rsidRDefault="00FC09D3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Fatos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8D28BC" w:rsidRPr="00A011D7" w:rsidRDefault="008D28BC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BD2A9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parte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promovente, </w:t>
      </w:r>
      <w:r w:rsidR="008D28BC" w:rsidRPr="00A011D7">
        <w:rPr>
          <w:rFonts w:asciiTheme="minorHAnsi" w:hAnsiTheme="minorHAnsi" w:cstheme="minorHAnsi"/>
          <w:sz w:val="24"/>
          <w:szCs w:val="24"/>
        </w:rPr>
        <w:t>segurada obrigatória do regime geral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, ingressou 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requerimento </w:t>
      </w:r>
      <w:r w:rsidR="00FC09D3" w:rsidRPr="00A011D7">
        <w:rPr>
          <w:rFonts w:asciiTheme="minorHAnsi" w:hAnsiTheme="minorHAnsi" w:cstheme="minorHAnsi"/>
          <w:sz w:val="24"/>
          <w:szCs w:val="24"/>
        </w:rPr>
        <w:t>na autarquia previdenciária em</w:t>
      </w:r>
      <w:r w:rsidR="005074B8">
        <w:rPr>
          <w:rFonts w:asciiTheme="minorHAnsi" w:hAnsiTheme="minorHAnsi" w:cstheme="minorHAnsi"/>
          <w:sz w:val="24"/>
          <w:szCs w:val="24"/>
        </w:rPr>
        <w:t xml:space="preserve"> ${der}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com o fito de obter o benefício previdenciário de aposentadoriapor </w:t>
      </w:r>
      <w:r w:rsidR="00FA29DB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na qualidade de </w:t>
      </w:r>
      <w:r w:rsidR="00FA29DB" w:rsidRPr="00A011D7">
        <w:rPr>
          <w:rFonts w:asciiTheme="minorHAnsi" w:hAnsiTheme="minorHAnsi" w:cstheme="minorHAnsi"/>
          <w:sz w:val="24"/>
          <w:szCs w:val="24"/>
        </w:rPr>
        <w:t>segurado empregado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(NB</w:t>
      </w:r>
      <w:r w:rsidR="005074B8">
        <w:rPr>
          <w:rFonts w:asciiTheme="minorHAnsi" w:hAnsiTheme="minorHAnsi" w:cstheme="minorHAnsi"/>
          <w:sz w:val="24"/>
          <w:szCs w:val="24"/>
        </w:rPr>
        <w:t xml:space="preserve"> ${nbIndeferido}</w:t>
      </w:r>
      <w:r w:rsidR="00FC09D3" w:rsidRPr="00A011D7">
        <w:rPr>
          <w:rFonts w:asciiTheme="minorHAnsi" w:hAnsiTheme="minorHAnsi" w:cstheme="minorHAnsi"/>
          <w:sz w:val="24"/>
          <w:szCs w:val="24"/>
        </w:rPr>
        <w:t>).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Apesar da robustez da prova documental acostada, a parte adversa indeferiu ilegalmente o aludido benefício previdenciário alegando o seguinte: “</w:t>
      </w:r>
      <w:r w:rsidR="005074B8">
        <w:rPr>
          <w:rFonts w:asciiTheme="minorHAnsi" w:hAnsiTheme="minorHAnsi" w:cstheme="minorHAnsi"/>
          <w:sz w:val="24"/>
          <w:szCs w:val="24"/>
        </w:rPr>
        <w:t>${motivoIndeferimento}</w:t>
      </w:r>
      <w:r w:rsidRPr="00A011D7">
        <w:rPr>
          <w:rFonts w:asciiTheme="minorHAnsi" w:hAnsiTheme="minorHAnsi" w:cstheme="minorHAnsi"/>
          <w:sz w:val="24"/>
          <w:szCs w:val="24"/>
        </w:rPr>
        <w:t>”.</w:t>
      </w:r>
    </w:p>
    <w:p w:rsidR="00B665BA" w:rsidRPr="00A011D7" w:rsidRDefault="00B665B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O entendimento da autarquia, </w:t>
      </w:r>
      <w:r w:rsidRPr="00A011D7">
        <w:rPr>
          <w:rFonts w:asciiTheme="minorHAnsi" w:hAnsiTheme="minorHAnsi" w:cstheme="minorHAnsi"/>
          <w:i/>
          <w:sz w:val="24"/>
          <w:szCs w:val="24"/>
        </w:rPr>
        <w:t>data venia</w:t>
      </w:r>
      <w:r w:rsidRPr="00A011D7">
        <w:rPr>
          <w:rFonts w:asciiTheme="minorHAnsi" w:hAnsiTheme="minorHAnsi" w:cstheme="minorHAnsi"/>
          <w:sz w:val="24"/>
          <w:szCs w:val="24"/>
        </w:rPr>
        <w:t>, não merece prosperar, haja vista que a postulante preenche todos os requisitos constitucionais e legais para a concessão do benefício previdenciário de aposentadoria por idade, senão vejamos.</w:t>
      </w:r>
    </w:p>
    <w:p w:rsidR="00A011D7" w:rsidRDefault="00A011D7" w:rsidP="00A011D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D28BC" w:rsidRDefault="00EC6620" w:rsidP="00EC6620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Pela análise da CTPS da promovente, afere-se que a mesma possui tempo de contribuição suficiente à concessão da aposentadoria por tempo de contribuição nos moldes da Emenda Constitucional n.º 20/98, ou seja, 28 (vinte e oito) anos e 24 (vinte e quatro) dias na DER, conforme demonstrativo anexo.</w:t>
      </w:r>
    </w:p>
    <w:p w:rsidR="00EC6620" w:rsidRDefault="00EC6620" w:rsidP="00EC6620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C6620" w:rsidRDefault="00EC6620" w:rsidP="00EC6620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Ademais, vale ressaltar que a promovente ainda trabalha para o Município de Moraújo, o qual vem recolhendo normalmente as contribuições previdenciárias de todos os últimos anos.</w:t>
      </w:r>
    </w:p>
    <w:p w:rsidR="00EC6620" w:rsidRPr="00A011D7" w:rsidRDefault="00EC6620" w:rsidP="00EC662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Ante o exposto, busca a promovente provimento judicial que converta o tempo de serviço</w:t>
      </w:r>
      <w:r w:rsidR="00A011D7">
        <w:rPr>
          <w:rFonts w:asciiTheme="minorHAnsi" w:hAnsiTheme="minorHAnsi" w:cstheme="minorHAnsi"/>
          <w:sz w:val="24"/>
          <w:szCs w:val="24"/>
        </w:rPr>
        <w:t xml:space="preserve"> especial em comum</w:t>
      </w:r>
      <w:r w:rsidRPr="00A011D7">
        <w:rPr>
          <w:rFonts w:asciiTheme="minorHAnsi" w:hAnsiTheme="minorHAnsi" w:cstheme="minorHAnsi"/>
          <w:sz w:val="24"/>
          <w:szCs w:val="24"/>
        </w:rPr>
        <w:t>, para conceder o benefício previdenciário de aposentadoria por tempo de contribuição à promovente, bem como condene a parte adversa a pagar as prestações vencidas desde a data do requerimento administrativo.</w:t>
      </w:r>
    </w:p>
    <w:p w:rsidR="008D28BC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41763C" w:rsidRPr="00A011D7" w:rsidRDefault="00C302FB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 w:rsidR="00420DA7">
        <w:rPr>
          <w:rFonts w:asciiTheme="minorHAnsi" w:hAnsiTheme="minorHAnsi" w:cstheme="minorHAnsi"/>
          <w:sz w:val="24"/>
          <w:szCs w:val="24"/>
        </w:rPr>
        <w:instrText xml:space="preserve"> MERGEFIELD ProcessoObservações </w:instrText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:rsidR="00B220CF" w:rsidRPr="00A011D7" w:rsidRDefault="00B90637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 Direito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FFFFFF" w:themeFill="background1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Do Tempo Mínimo de Contribuição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Sucessora da então aposentadoria por tempo de serviço, instituída pela Lei Eloy Chaves, a aposentadoria por tempo de contribuição veio a lume com o advento da Emenda Constitucional n.º 20/98, que assegura o direito ao benefício previdenciário de aposentadoria por tempo d</w:t>
      </w:r>
      <w:r w:rsidR="00DF2800" w:rsidRPr="00A011D7">
        <w:rPr>
          <w:rFonts w:asciiTheme="minorHAnsi" w:hAnsiTheme="minorHAnsi" w:cstheme="minorHAnsi"/>
          <w:sz w:val="24"/>
          <w:szCs w:val="24"/>
        </w:rPr>
        <w:t>e contribuição àquele que conte</w:t>
      </w:r>
      <w:r w:rsidRPr="00A011D7">
        <w:rPr>
          <w:rFonts w:asciiTheme="minorHAnsi" w:hAnsiTheme="minorHAnsi" w:cstheme="minorHAnsi"/>
          <w:sz w:val="24"/>
          <w:szCs w:val="24"/>
        </w:rPr>
        <w:t xml:space="preserve"> trinta e cinco anos de contribuição, se homem, e trinta anos de contribuição, se mulher (CF, Art. 201, §7º, I).</w:t>
      </w: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665BA" w:rsidRPr="00A011D7" w:rsidRDefault="00B665BA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Nessa linha, regulamentando o direito</w:t>
      </w:r>
      <w:r w:rsidR="005407A5" w:rsidRPr="00A011D7">
        <w:rPr>
          <w:rFonts w:asciiTheme="minorHAnsi" w:hAnsiTheme="minorHAnsi" w:cstheme="minorHAnsi"/>
          <w:sz w:val="24"/>
          <w:szCs w:val="24"/>
        </w:rPr>
        <w:t xml:space="preserve"> estruturado no Texto Maior, </w:t>
      </w:r>
      <w:r w:rsidR="00DF2800" w:rsidRPr="00A011D7">
        <w:rPr>
          <w:rFonts w:asciiTheme="minorHAnsi" w:hAnsiTheme="minorHAnsi" w:cstheme="minorHAnsi"/>
          <w:sz w:val="24"/>
          <w:szCs w:val="24"/>
        </w:rPr>
        <w:t>o Decreto 3.048/99</w:t>
      </w:r>
      <w:r w:rsidR="005407A5" w:rsidRPr="00A011D7">
        <w:rPr>
          <w:rFonts w:asciiTheme="minorHAnsi" w:hAnsiTheme="minorHAnsi" w:cstheme="minorHAnsi"/>
          <w:sz w:val="24"/>
          <w:szCs w:val="24"/>
        </w:rPr>
        <w:t>, em seu art. 56, assegura o direito à aposentadoria por tempo de contribuição: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5407A5" w:rsidRPr="00A011D7" w:rsidRDefault="00DF2800" w:rsidP="005407A5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Art. 56.  A aposentadoria por tempo de contribuição será devida ao segurado após trinta e cinco anos de contribuição, se homem, </w:t>
      </w:r>
      <w:r w:rsidRPr="00A011D7">
        <w:rPr>
          <w:rFonts w:asciiTheme="minorHAnsi" w:hAnsiTheme="minorHAnsi" w:cstheme="minorHAnsi"/>
          <w:b/>
          <w:sz w:val="24"/>
          <w:szCs w:val="24"/>
        </w:rPr>
        <w:t>ou trinta anos, se mulher</w:t>
      </w:r>
      <w:r w:rsidRPr="00A011D7">
        <w:rPr>
          <w:rFonts w:asciiTheme="minorHAnsi" w:hAnsiTheme="minorHAnsi" w:cstheme="minorHAnsi"/>
          <w:sz w:val="24"/>
          <w:szCs w:val="24"/>
        </w:rPr>
        <w:t>, observado o disposto no art. 199-A. (Redação dada pelo Decreto nº 6.042, de 2007).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DF2800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De outra banda, para o segurado inscrito no RGPS até 16 de dezembro de 1998, data da publicação da Emenda Constitucional n. 20</w:t>
      </w:r>
      <w:r w:rsidR="007F6C4F" w:rsidRPr="00A011D7">
        <w:rPr>
          <w:rFonts w:asciiTheme="minorHAnsi" w:hAnsiTheme="minorHAnsi" w:cstheme="minorHAnsi"/>
          <w:sz w:val="24"/>
          <w:szCs w:val="24"/>
        </w:rPr>
        <w:t>, há regra de transição específica no §1º do art. 9º, cujo teor dispõe: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Art. 9º - Observado o disposto no art. 4º desta Emenda e ressalvado o direito de opção a aposentadoria pelas normas por ela estabelecidas para o regime geral de previdência social, é assegurado o direito à aposentadoria ao segurado que se tenha filiado ao regime geral de previdência social, até a data de publicação desta Emenda, quando, cumulativamente, atender aos seguintes requisitos: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§ 1º - O segurado de que trata este artigo, desde que atendido o disposto no inciso I do "caput", e observado o disposto no art. 4º desta Emenda, pode aposentar-se com valores proporcionais ao tempo de contribuição, quando atendidas as seguintes condições: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I - contar tempo de contribuição igual, no mínimo, à soma de: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a) trinta anos, se homem, e vinte e cinco anos, se mulher; e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b) um período adicional de contribuição equivalente a quarenta por cento do tempo que, na data da publicação desta Emenda, faltaria para atingir o limite de tempo constante da alínea anterior;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Assim, será devida a aposentadoria por tempo de contribuição, com renda proporcional, desde que cumpridos os seguintes requisitos: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Idade</w:t>
      </w:r>
      <w:r w:rsidRPr="00A011D7">
        <w:rPr>
          <w:rFonts w:asciiTheme="minorHAnsi" w:hAnsiTheme="minorHAnsi" w:cstheme="minorHAnsi"/>
          <w:sz w:val="24"/>
          <w:szCs w:val="24"/>
        </w:rPr>
        <w:t>: 53 anos para o homem; 48 anos para a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Tempo de contribuição</w:t>
      </w:r>
      <w:r w:rsidRPr="00A011D7">
        <w:rPr>
          <w:rFonts w:asciiTheme="minorHAnsi" w:hAnsiTheme="minorHAnsi" w:cstheme="minorHAnsi"/>
          <w:sz w:val="24"/>
          <w:szCs w:val="24"/>
        </w:rPr>
        <w:t>: 30 anos, se homem, e 25 anos de contribuição, se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Pedágio</w:t>
      </w:r>
      <w:r w:rsidRPr="00A011D7">
        <w:rPr>
          <w:rFonts w:asciiTheme="minorHAnsi" w:hAnsiTheme="minorHAnsi" w:cstheme="minorHAnsi"/>
          <w:sz w:val="24"/>
          <w:szCs w:val="24"/>
        </w:rPr>
        <w:t>: período adicional de contribuição equivalente a 40% do tempo que, na data da publicação da EC20/98, faltava para atingir o tempo de contribuição trazido pelo novo texto constitucional.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E47FE" w:rsidRPr="00A011D7" w:rsidRDefault="008E47FE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Antecipação da Tutela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Afere-se pelo articulado devidamente comprovado nos autos, que a tutela pretendida goza de plausibilidade com clareza solar, sendo perfeitamente cabível a aplicação do instituto da tutela antecipada, pois este surgiu como remédio para eliminar um mal instalado no procedimento comum, vez que o tempo do processo prejudicará o autor.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Luiz Guilherme Marinon</w:t>
      </w:r>
      <w:r w:rsidR="00D11564" w:rsidRPr="00A011D7">
        <w:rPr>
          <w:rFonts w:asciiTheme="minorHAnsi" w:hAnsiTheme="minorHAnsi" w:cstheme="minorHAnsi"/>
          <w:smallCaps/>
          <w:sz w:val="24"/>
          <w:szCs w:val="24"/>
        </w:rPr>
        <w:t>i</w:t>
      </w:r>
      <w:r w:rsidRPr="00A011D7">
        <w:rPr>
          <w:rFonts w:asciiTheme="minorHAnsi" w:hAnsiTheme="minorHAnsi" w:cstheme="minorHAnsi"/>
          <w:sz w:val="24"/>
          <w:szCs w:val="24"/>
        </w:rPr>
        <w:t xml:space="preserve"> sustenta que: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É necessário que o juiz compreenda que não pode haver efetividade sem riscos. A tutela antecipatória permite perceber </w:t>
      </w:r>
      <w:r w:rsidRPr="00A011D7">
        <w:rPr>
          <w:rFonts w:asciiTheme="minorHAnsi" w:hAnsiTheme="minorHAnsi" w:cstheme="minorHAnsi"/>
          <w:sz w:val="24"/>
          <w:szCs w:val="24"/>
        </w:rPr>
        <w:lastRenderedPageBreak/>
        <w:t>que não é só a ação (o agir, a antecipação) que pode causar prejuízo, mas também a omissão. O juiz que se omite é tão nocivo quanto o juiz que julga mal. Prudência e equilíbrio não se confundem com medo, e a lentidão da justiça exige que o juiz deixe de lado o comodismo do antigo procedimento ordinário – no qual alguns imaginam que ele não erra – para assumir as responsabilidades de um novo juiz, de um juiz que trata dos “novos direitos” e que também tem que entender – para cumprir sua função sem deixar de lado sua responsabilidade social – que as novas situações carentes de tutela não podem, em casos não raros, suportar o mesmo tempo que era gasto pra a realização dos direitos de sessenta anos atrás [...] (grifei).</w:t>
      </w: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(Manual do Processo de Conhecimento, 5. ed., p. 204)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Destarte, impõe-se ao caso a aplicação da antecipação da tutela pretendida, nos termos do art. 273, in</w:t>
      </w:r>
      <w:r w:rsidR="008C7F69" w:rsidRPr="00A011D7">
        <w:rPr>
          <w:rFonts w:asciiTheme="minorHAnsi" w:hAnsiTheme="minorHAnsi" w:cstheme="minorHAnsi"/>
          <w:sz w:val="24"/>
          <w:szCs w:val="24"/>
        </w:rPr>
        <w:t xml:space="preserve">ciso I, para conceder </w:t>
      </w:r>
      <w:r w:rsidR="00B61A38" w:rsidRPr="00A011D7">
        <w:rPr>
          <w:rFonts w:asciiTheme="minorHAnsi" w:hAnsiTheme="minorHAnsi" w:cstheme="minorHAnsi"/>
          <w:sz w:val="24"/>
          <w:szCs w:val="24"/>
        </w:rPr>
        <w:t>imediatamente o benefício pleiteado.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Ademais, a natureza alimentar da prestação devida </w:t>
      </w:r>
      <w:r w:rsidR="00942B61" w:rsidRPr="00A011D7">
        <w:rPr>
          <w:rFonts w:asciiTheme="minorHAnsi" w:hAnsiTheme="minorHAnsi" w:cstheme="minorHAnsi"/>
          <w:sz w:val="24"/>
          <w:szCs w:val="24"/>
        </w:rPr>
        <w:t>é</w:t>
      </w:r>
      <w:r w:rsidRPr="00A011D7">
        <w:rPr>
          <w:rFonts w:asciiTheme="minorHAnsi" w:hAnsiTheme="minorHAnsi" w:cstheme="minorHAnsi"/>
          <w:sz w:val="24"/>
          <w:szCs w:val="24"/>
        </w:rPr>
        <w:t xml:space="preserve"> suficiente para demonstrar os requisitos para a concessão da tutela.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82C97" w:rsidRPr="00A011D7" w:rsidRDefault="00582C97" w:rsidP="00582C97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Das Provas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Protesta provar o alegado por todas as provas admitidas em direito, especialmente pela prova documental acostada</w:t>
      </w:r>
      <w:r w:rsidR="00D11564" w:rsidRPr="00A011D7">
        <w:rPr>
          <w:rFonts w:asciiTheme="minorHAnsi" w:hAnsiTheme="minorHAnsi" w:cstheme="minorHAnsi"/>
          <w:sz w:val="24"/>
          <w:szCs w:val="24"/>
        </w:rPr>
        <w:t>.</w:t>
      </w:r>
    </w:p>
    <w:p w:rsidR="00582C97" w:rsidRPr="00A011D7" w:rsidRDefault="00C302FB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="00AD3EBC" w:rsidRPr="00A011D7">
        <w:rPr>
          <w:rFonts w:asciiTheme="minorHAnsi" w:hAnsiTheme="minorHAnsi" w:cstheme="minorHAnsi"/>
          <w:sz w:val="24"/>
          <w:szCs w:val="24"/>
        </w:rPr>
        <w:instrText xml:space="preserve"> MERGEFIELD "Provas" </w:instrText>
      </w:r>
      <w:r w:rsidRPr="00A011D7">
        <w:rPr>
          <w:rFonts w:asciiTheme="minorHAnsi" w:hAnsiTheme="minorHAnsi" w:cstheme="minorHAnsi"/>
          <w:sz w:val="24"/>
          <w:szCs w:val="24"/>
        </w:rPr>
        <w:fldChar w:fldCharType="end"/>
      </w:r>
    </w:p>
    <w:p w:rsidR="00AD3EBC" w:rsidRPr="00A011D7" w:rsidRDefault="00AD3EB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Pedidos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Diante do exposto, requer de Vossa Excelência o seguinte: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86E09" w:rsidRPr="00A011D7" w:rsidRDefault="00486E09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O deferimento do pedido de justiça gratuita;</w:t>
      </w:r>
    </w:p>
    <w:p w:rsidR="00486E09" w:rsidRPr="00A011D7" w:rsidRDefault="00486E09" w:rsidP="00486E09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concessão da antecipação da tutela pretendida, haja vista a natureza alimentar da prestação devida, determinado que o réu conceda imediatamente o benefício </w:t>
      </w:r>
      <w:r w:rsidR="00B61A38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por </w:t>
      </w:r>
      <w:r w:rsidR="009E796A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7F6C4F" w:rsidRPr="00A011D7">
        <w:rPr>
          <w:rFonts w:asciiTheme="minorHAnsi" w:hAnsiTheme="minorHAnsi" w:cstheme="minorHAnsi"/>
          <w:sz w:val="24"/>
          <w:szCs w:val="24"/>
        </w:rPr>
        <w:t xml:space="preserve"> integral</w:t>
      </w:r>
      <w:r w:rsidRPr="00A011D7">
        <w:rPr>
          <w:rFonts w:asciiTheme="minorHAnsi" w:hAnsiTheme="minorHAnsi" w:cstheme="minorHAnsi"/>
          <w:sz w:val="24"/>
          <w:szCs w:val="24"/>
        </w:rPr>
        <w:t>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98410B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</w:t>
      </w:r>
      <w:r w:rsidR="00350E1C" w:rsidRPr="00A011D7">
        <w:rPr>
          <w:rFonts w:asciiTheme="minorHAnsi" w:hAnsiTheme="minorHAnsi" w:cstheme="minorHAnsi"/>
          <w:sz w:val="24"/>
          <w:szCs w:val="24"/>
        </w:rPr>
        <w:t xml:space="preserve"> procedência total desta demanda, condenando-se o réu</w:t>
      </w:r>
      <w:r w:rsidR="00706F7F" w:rsidRPr="00A011D7">
        <w:rPr>
          <w:rFonts w:asciiTheme="minorHAnsi" w:hAnsiTheme="minorHAnsi" w:cstheme="minorHAnsi"/>
          <w:sz w:val="24"/>
          <w:szCs w:val="24"/>
        </w:rPr>
        <w:t>:</w:t>
      </w:r>
    </w:p>
    <w:p w:rsidR="00706F7F" w:rsidRPr="00A011D7" w:rsidRDefault="00706F7F" w:rsidP="00706F7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706F7F" w:rsidP="00706F7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</w:t>
      </w:r>
      <w:r w:rsidR="0098410B" w:rsidRPr="00A011D7">
        <w:rPr>
          <w:rFonts w:asciiTheme="minorHAnsi" w:hAnsiTheme="minorHAnsi" w:cstheme="minorHAnsi"/>
          <w:sz w:val="24"/>
          <w:szCs w:val="24"/>
        </w:rPr>
        <w:t xml:space="preserve">conceder o benefício </w:t>
      </w:r>
      <w:r w:rsidR="00582C97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</w:t>
      </w:r>
      <w:r w:rsidR="009E796A" w:rsidRPr="00A011D7">
        <w:rPr>
          <w:rFonts w:asciiTheme="minorHAnsi" w:hAnsiTheme="minorHAnsi" w:cstheme="minorHAnsi"/>
          <w:sz w:val="24"/>
          <w:szCs w:val="24"/>
        </w:rPr>
        <w:t>por tempo de contribuição</w:t>
      </w:r>
      <w:r w:rsidRPr="00A011D7">
        <w:rPr>
          <w:rFonts w:asciiTheme="minorHAnsi" w:hAnsiTheme="minorHAnsi" w:cstheme="minorHAnsi"/>
          <w:sz w:val="24"/>
          <w:szCs w:val="24"/>
        </w:rPr>
        <w:t xml:space="preserve"> com proventos integrais, e, subsidiariamente, com proventos proporcionais</w:t>
      </w:r>
      <w:r w:rsidR="00350E1C" w:rsidRPr="00A011D7">
        <w:rPr>
          <w:rFonts w:asciiTheme="minorHAnsi" w:hAnsiTheme="minorHAnsi" w:cstheme="minorHAnsi"/>
          <w:sz w:val="24"/>
          <w:szCs w:val="24"/>
        </w:rPr>
        <w:t>, bem como ao pagamento das prestações vencidas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 desde o </w:t>
      </w:r>
      <w:r w:rsidR="00BA34E7" w:rsidRPr="00A011D7">
        <w:rPr>
          <w:rFonts w:asciiTheme="minorHAnsi" w:hAnsiTheme="minorHAnsi" w:cstheme="minorHAnsi"/>
          <w:sz w:val="24"/>
          <w:szCs w:val="24"/>
        </w:rPr>
        <w:lastRenderedPageBreak/>
        <w:t>requerimento</w:t>
      </w:r>
      <w:r w:rsidR="004276EC" w:rsidRPr="00A011D7">
        <w:rPr>
          <w:rFonts w:asciiTheme="minorHAnsi" w:hAnsiTheme="minorHAnsi" w:cstheme="minorHAnsi"/>
          <w:sz w:val="24"/>
          <w:szCs w:val="24"/>
        </w:rPr>
        <w:t xml:space="preserve"> administrativo</w:t>
      </w:r>
      <w:r w:rsidR="00A53E42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  <w:r w:rsidR="005074B8">
        <w:rPr>
          <w:rFonts w:asciiTheme="minorHAnsi" w:hAnsiTheme="minorHAnsi" w:cstheme="minorHAnsi"/>
          <w:sz w:val="24"/>
          <w:szCs w:val="24"/>
        </w:rPr>
        <w:t>${der}</w:t>
      </w:r>
      <w:r w:rsidR="00350E1C" w:rsidRPr="00A011D7">
        <w:rPr>
          <w:rFonts w:asciiTheme="minorHAnsi" w:hAnsiTheme="minorHAnsi" w:cstheme="minorHAnsi"/>
          <w:sz w:val="24"/>
          <w:szCs w:val="24"/>
        </w:rPr>
        <w:t>, devidamente corrigidas e acrescidas de juros de mora;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citação do réu, na pessoa de seu representante legal, para que tome ciência desta demanda e, no prazo legal, ofereça resposta;</w:t>
      </w:r>
    </w:p>
    <w:p w:rsidR="00350E1C" w:rsidRPr="00A011D7" w:rsidRDefault="00350E1C" w:rsidP="00B346F0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00773D" w:rsidRPr="00A011D7" w:rsidRDefault="0000773D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Sejam os honorários contratuais, deduzidos e lançados em favor dos advogados, consoante contrato anexado, nos termos do art. 22, §4º, da Lei 8.906/94 e art. 5º da Resolução 438, de 30.5.2005, do CJF.</w:t>
      </w:r>
    </w:p>
    <w:p w:rsidR="00350E1C" w:rsidRPr="00A011D7" w:rsidRDefault="00350E1C" w:rsidP="00B346F0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Dá-se à causa o valor </w:t>
      </w:r>
      <w:r w:rsidR="00AF7076" w:rsidRPr="00A011D7">
        <w:rPr>
          <w:rFonts w:asciiTheme="minorHAnsi" w:hAnsiTheme="minorHAnsi" w:cstheme="minorHAnsi"/>
          <w:sz w:val="24"/>
          <w:szCs w:val="24"/>
        </w:rPr>
        <w:t>equivalente a sessenta salários mínimos na data do ajuizamento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Pr="00A011D7">
        <w:rPr>
          <w:rFonts w:asciiTheme="minorHAnsi" w:hAnsiTheme="minorHAnsi" w:cstheme="minorHAnsi"/>
          <w:b/>
          <w:sz w:val="24"/>
          <w:szCs w:val="24"/>
          <w:u w:val="single"/>
        </w:rPr>
        <w:t>renunciando desde já eventual valor excedente</w:t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92BE9" w:rsidRPr="00A011D7" w:rsidRDefault="00692BE9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Sobral</w:t>
      </w:r>
      <w:r w:rsidR="005F3150" w:rsidRPr="00A011D7">
        <w:rPr>
          <w:rFonts w:asciiTheme="minorHAnsi" w:hAnsiTheme="minorHAnsi" w:cstheme="minorHAnsi"/>
          <w:sz w:val="24"/>
          <w:szCs w:val="24"/>
        </w:rPr>
        <w:t>/CE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="00C302FB"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Pr="00A011D7">
        <w:rPr>
          <w:rFonts w:asciiTheme="minorHAnsi" w:hAnsiTheme="minorHAnsi" w:cstheme="minorHAnsi"/>
          <w:sz w:val="24"/>
          <w:szCs w:val="24"/>
        </w:rPr>
        <w:instrText xml:space="preserve"> TIME \@ "d' de 'MMMM' de 'yyyy" </w:instrText>
      </w:r>
      <w:r w:rsidR="00C302FB" w:rsidRPr="00A011D7">
        <w:rPr>
          <w:rFonts w:asciiTheme="minorHAnsi" w:hAnsiTheme="minorHAnsi" w:cstheme="minorHAnsi"/>
          <w:sz w:val="24"/>
          <w:szCs w:val="24"/>
        </w:rPr>
        <w:fldChar w:fldCharType="separate"/>
      </w:r>
      <w:r w:rsidR="005074B8">
        <w:rPr>
          <w:rFonts w:asciiTheme="minorHAnsi" w:hAnsiTheme="minorHAnsi" w:cstheme="minorHAnsi"/>
          <w:noProof/>
          <w:sz w:val="24"/>
          <w:szCs w:val="24"/>
        </w:rPr>
        <w:t>30 de outubro de 2014</w:t>
      </w:r>
      <w:r w:rsidR="00C302FB" w:rsidRPr="00A011D7">
        <w:rPr>
          <w:rFonts w:asciiTheme="minorHAnsi" w:hAnsiTheme="minorHAnsi" w:cstheme="minorHAnsi"/>
          <w:sz w:val="24"/>
          <w:szCs w:val="24"/>
        </w:rPr>
        <w:fldChar w:fldCharType="end"/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5F3150" w:rsidRPr="00A011D7" w:rsidRDefault="005F3150" w:rsidP="00B346F0">
      <w:pPr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Nestes termos,</w:t>
      </w: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Pede deferimento.</w:t>
      </w:r>
    </w:p>
    <w:p w:rsidR="001D12B7" w:rsidRDefault="001D12B7" w:rsidP="00B346F0">
      <w:pPr>
        <w:rPr>
          <w:rFonts w:asciiTheme="minorHAnsi" w:hAnsiTheme="minorHAnsi" w:cstheme="minorHAnsi"/>
          <w:noProof/>
          <w:sz w:val="24"/>
          <w:szCs w:val="24"/>
        </w:rPr>
      </w:pPr>
    </w:p>
    <w:p w:rsidR="00350E1C" w:rsidRDefault="00350E1C" w:rsidP="001D12B7">
      <w:pPr>
        <w:jc w:val="center"/>
        <w:rPr>
          <w:rFonts w:asciiTheme="minorHAnsi" w:hAnsiTheme="minorHAnsi" w:cstheme="minorHAnsi"/>
          <w:noProof/>
          <w:sz w:val="24"/>
          <w:szCs w:val="24"/>
        </w:rPr>
      </w:pPr>
    </w:p>
    <w:p w:rsidR="001D12B7" w:rsidRPr="001D12B7" w:rsidRDefault="001D12B7" w:rsidP="001D12B7">
      <w:pPr>
        <w:jc w:val="center"/>
        <w:rPr>
          <w:rFonts w:asciiTheme="minorHAnsi" w:hAnsiTheme="minorHAnsi" w:cstheme="minorHAnsi"/>
          <w:b/>
          <w:smallCaps/>
          <w:noProof/>
          <w:sz w:val="24"/>
          <w:szCs w:val="24"/>
        </w:rPr>
      </w:pPr>
      <w:r w:rsidRPr="001D12B7">
        <w:rPr>
          <w:rFonts w:asciiTheme="minorHAnsi" w:hAnsiTheme="minorHAnsi" w:cstheme="minorHAnsi"/>
          <w:b/>
          <w:smallCaps/>
          <w:noProof/>
          <w:sz w:val="24"/>
          <w:szCs w:val="24"/>
        </w:rPr>
        <w:t>Joaquim Jocel de Vasconcelos Neto</w:t>
      </w:r>
    </w:p>
    <w:p w:rsidR="001D12B7" w:rsidRPr="001D12B7" w:rsidRDefault="001D12B7" w:rsidP="001D12B7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1D12B7">
        <w:rPr>
          <w:rFonts w:asciiTheme="minorHAnsi" w:hAnsiTheme="minorHAnsi" w:cstheme="minorHAnsi"/>
          <w:b/>
          <w:smallCaps/>
          <w:noProof/>
          <w:sz w:val="24"/>
          <w:szCs w:val="24"/>
        </w:rPr>
        <w:t>OAB/CE 20.392</w:t>
      </w:r>
    </w:p>
    <w:sectPr w:rsidR="001D12B7" w:rsidRPr="001D12B7" w:rsidSect="00527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215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D39" w:rsidRDefault="00005D39">
      <w:r>
        <w:separator/>
      </w:r>
    </w:p>
  </w:endnote>
  <w:endnote w:type="continuationSeparator" w:id="1">
    <w:p w:rsidR="00005D39" w:rsidRDefault="00005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ED" w:rsidRDefault="00C850E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2B7" w:rsidRPr="0085657F" w:rsidRDefault="00C302FB" w:rsidP="00EC6620">
    <w:pPr>
      <w:pStyle w:val="Rodap"/>
      <w:jc w:val="center"/>
      <w:rPr>
        <w:rFonts w:ascii="Arial" w:hAnsi="Arial" w:cs="Arial"/>
        <w:b/>
        <w:smallCaps/>
        <w:sz w:val="16"/>
        <w:szCs w:val="16"/>
      </w:rPr>
    </w:pPr>
    <w:r w:rsidRPr="00C302FB">
      <w:rPr>
        <w:rFonts w:ascii="Arial" w:hAnsi="Arial" w:cs="Arial"/>
        <w:b/>
        <w:smallCaps/>
        <w:color w:val="7F7F7F"/>
        <w:sz w:val="16"/>
        <w:szCs w:val="16"/>
      </w:rPr>
      <w:pict>
        <v:rect id="_x0000_s2049" style="position:absolute;left:0;text-align:left;margin-left:-9pt;margin-top:-8.9pt;width:6in;height:9pt;z-index:251658240" fillcolor="#404040" stroked="f">
          <v:fill color2="#a5a5a5" rotate="t" angle="-90" focus="-50%" type="gradient"/>
        </v:rect>
      </w:pict>
    </w:r>
    <w:r w:rsidR="001D12B7" w:rsidRPr="0085657F">
      <w:rPr>
        <w:rFonts w:ascii="Arial" w:hAnsi="Arial" w:cs="Arial"/>
        <w:b/>
        <w:smallCaps/>
        <w:sz w:val="16"/>
        <w:szCs w:val="16"/>
      </w:rPr>
      <w:t>Avocatus – Advogados Associados</w:t>
    </w:r>
  </w:p>
  <w:p w:rsidR="001D12B7" w:rsidRPr="0085657F" w:rsidRDefault="001D12B7" w:rsidP="00EC6620">
    <w:pPr>
      <w:pStyle w:val="Rodap"/>
      <w:jc w:val="center"/>
      <w:rPr>
        <w:rFonts w:ascii="Arial" w:hAnsi="Arial" w:cs="Arial"/>
        <w:sz w:val="16"/>
        <w:szCs w:val="16"/>
      </w:rPr>
    </w:pPr>
    <w:r w:rsidRPr="0085657F">
      <w:rPr>
        <w:rFonts w:ascii="Arial" w:hAnsi="Arial" w:cs="Arial"/>
        <w:sz w:val="16"/>
        <w:szCs w:val="16"/>
      </w:rPr>
      <w:t xml:space="preserve">Rua Estanislau Frota, n.º 340, loja 01, Centro, Sobral, Ceará </w:t>
    </w:r>
  </w:p>
  <w:p w:rsidR="001D12B7" w:rsidRPr="0085657F" w:rsidRDefault="001D12B7" w:rsidP="00EC6620">
    <w:pPr>
      <w:pStyle w:val="Rodap"/>
      <w:jc w:val="center"/>
      <w:rPr>
        <w:rFonts w:ascii="Arial" w:hAnsi="Arial" w:cs="Arial"/>
        <w:sz w:val="16"/>
        <w:szCs w:val="16"/>
      </w:rPr>
    </w:pPr>
    <w:r w:rsidRPr="0085657F">
      <w:rPr>
        <w:rFonts w:ascii="Arial" w:hAnsi="Arial" w:cs="Arial"/>
        <w:sz w:val="16"/>
        <w:szCs w:val="16"/>
      </w:rPr>
      <w:t xml:space="preserve">CEP: 62010-560 (em frente ao INSS), fone: 3611-6210, e-mail: </w:t>
    </w:r>
    <w:hyperlink r:id="rId1" w:history="1">
      <w:r w:rsidRPr="0085657F">
        <w:rPr>
          <w:rStyle w:val="Hyperlink"/>
          <w:rFonts w:ascii="Arial" w:hAnsi="Arial" w:cs="Arial"/>
          <w:sz w:val="16"/>
          <w:szCs w:val="16"/>
        </w:rPr>
        <w:t>avocatus@live.com</w:t>
      </w:r>
    </w:hyperlink>
  </w:p>
  <w:p w:rsidR="001D12B7" w:rsidRDefault="001D12B7" w:rsidP="00EC6620">
    <w:pPr>
      <w:pStyle w:val="Rodap"/>
      <w:jc w:val="center"/>
    </w:pPr>
    <w:r w:rsidRPr="0085657F">
      <w:rPr>
        <w:rFonts w:ascii="Arial" w:hAnsi="Arial" w:cs="Arial"/>
        <w:sz w:val="16"/>
        <w:szCs w:val="16"/>
      </w:rPr>
      <w:t>(</w:t>
    </w:r>
    <w:r w:rsidR="00C850ED">
      <w:rPr>
        <w:rFonts w:ascii="Arial" w:hAnsi="Arial" w:cs="Arial"/>
        <w:sz w:val="16"/>
        <w:szCs w:val="16"/>
      </w:rPr>
      <w:t>${ProcessoEnderecamento} - ${ProcessoId}</w:t>
    </w:r>
    <w:r w:rsidR="00CC15E8">
      <w:rPr>
        <w:rFonts w:ascii="Arial" w:hAnsi="Arial" w:cs="Arial"/>
        <w:sz w:val="16"/>
        <w:szCs w:val="16"/>
      </w:rPr>
      <w:t>}</w:t>
    </w:r>
    <w:r w:rsidRPr="0085657F">
      <w:rPr>
        <w:rFonts w:ascii="Arial" w:hAnsi="Arial" w:cs="Arial"/>
        <w:sz w:val="16"/>
        <w:szCs w:val="16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ED" w:rsidRDefault="00C850E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D39" w:rsidRDefault="00005D39">
      <w:r>
        <w:separator/>
      </w:r>
    </w:p>
  </w:footnote>
  <w:footnote w:type="continuationSeparator" w:id="1">
    <w:p w:rsidR="00005D39" w:rsidRDefault="00005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ED" w:rsidRDefault="00C850E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ED" w:rsidRDefault="00C850E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ED" w:rsidRDefault="00C850E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6265F"/>
    <w:multiLevelType w:val="multilevel"/>
    <w:tmpl w:val="778A4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BC282D"/>
    <w:multiLevelType w:val="hybridMultilevel"/>
    <w:tmpl w:val="92ECF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4098">
      <o:colormru v:ext="edit" colors="#cc090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27158"/>
    <w:rsid w:val="00005D39"/>
    <w:rsid w:val="0000773D"/>
    <w:rsid w:val="0001689B"/>
    <w:rsid w:val="00017E68"/>
    <w:rsid w:val="00022D07"/>
    <w:rsid w:val="00024E57"/>
    <w:rsid w:val="000260F8"/>
    <w:rsid w:val="00034B5D"/>
    <w:rsid w:val="000419EC"/>
    <w:rsid w:val="00072BC8"/>
    <w:rsid w:val="000768D1"/>
    <w:rsid w:val="000A1C60"/>
    <w:rsid w:val="000C4D34"/>
    <w:rsid w:val="000F67BE"/>
    <w:rsid w:val="001105AA"/>
    <w:rsid w:val="00117978"/>
    <w:rsid w:val="00125CDD"/>
    <w:rsid w:val="001343DC"/>
    <w:rsid w:val="00136051"/>
    <w:rsid w:val="00141A56"/>
    <w:rsid w:val="00146AC4"/>
    <w:rsid w:val="001620A3"/>
    <w:rsid w:val="001A6898"/>
    <w:rsid w:val="001B7F57"/>
    <w:rsid w:val="001D0220"/>
    <w:rsid w:val="001D12B7"/>
    <w:rsid w:val="001D5130"/>
    <w:rsid w:val="001F166E"/>
    <w:rsid w:val="001F581F"/>
    <w:rsid w:val="001F65F2"/>
    <w:rsid w:val="002004CF"/>
    <w:rsid w:val="002009B3"/>
    <w:rsid w:val="002015C0"/>
    <w:rsid w:val="00204FEF"/>
    <w:rsid w:val="00207F41"/>
    <w:rsid w:val="00242F54"/>
    <w:rsid w:val="00262049"/>
    <w:rsid w:val="00262C8F"/>
    <w:rsid w:val="00270D60"/>
    <w:rsid w:val="0027364D"/>
    <w:rsid w:val="00276076"/>
    <w:rsid w:val="00277A91"/>
    <w:rsid w:val="00281A15"/>
    <w:rsid w:val="0028433A"/>
    <w:rsid w:val="002A711D"/>
    <w:rsid w:val="002B0D38"/>
    <w:rsid w:val="002D3575"/>
    <w:rsid w:val="00312D04"/>
    <w:rsid w:val="00314FB3"/>
    <w:rsid w:val="00321651"/>
    <w:rsid w:val="003300FB"/>
    <w:rsid w:val="003324BA"/>
    <w:rsid w:val="00333F05"/>
    <w:rsid w:val="00340EBC"/>
    <w:rsid w:val="00341293"/>
    <w:rsid w:val="00341D57"/>
    <w:rsid w:val="00350E1C"/>
    <w:rsid w:val="003515FD"/>
    <w:rsid w:val="00357AE3"/>
    <w:rsid w:val="00372D5B"/>
    <w:rsid w:val="0037341B"/>
    <w:rsid w:val="00391B19"/>
    <w:rsid w:val="0040678A"/>
    <w:rsid w:val="00412EF4"/>
    <w:rsid w:val="00413C79"/>
    <w:rsid w:val="0041567D"/>
    <w:rsid w:val="0041763C"/>
    <w:rsid w:val="00420DA7"/>
    <w:rsid w:val="004276EC"/>
    <w:rsid w:val="0043283F"/>
    <w:rsid w:val="0043475F"/>
    <w:rsid w:val="00435BEE"/>
    <w:rsid w:val="00437A80"/>
    <w:rsid w:val="00447638"/>
    <w:rsid w:val="00451E8E"/>
    <w:rsid w:val="00462D4F"/>
    <w:rsid w:val="00486E09"/>
    <w:rsid w:val="004907BA"/>
    <w:rsid w:val="004B39DC"/>
    <w:rsid w:val="004D4D91"/>
    <w:rsid w:val="004E6670"/>
    <w:rsid w:val="004F0201"/>
    <w:rsid w:val="00504646"/>
    <w:rsid w:val="005074B8"/>
    <w:rsid w:val="00511072"/>
    <w:rsid w:val="00520CDC"/>
    <w:rsid w:val="00527158"/>
    <w:rsid w:val="005407A5"/>
    <w:rsid w:val="00545714"/>
    <w:rsid w:val="00561C13"/>
    <w:rsid w:val="00562F81"/>
    <w:rsid w:val="00566958"/>
    <w:rsid w:val="00582C97"/>
    <w:rsid w:val="00585C48"/>
    <w:rsid w:val="0059057C"/>
    <w:rsid w:val="0059738C"/>
    <w:rsid w:val="005C09BA"/>
    <w:rsid w:val="005C4ED9"/>
    <w:rsid w:val="005E4572"/>
    <w:rsid w:val="005F19E0"/>
    <w:rsid w:val="005F3150"/>
    <w:rsid w:val="006627E0"/>
    <w:rsid w:val="00665023"/>
    <w:rsid w:val="00667110"/>
    <w:rsid w:val="006709B3"/>
    <w:rsid w:val="00677183"/>
    <w:rsid w:val="00692BE9"/>
    <w:rsid w:val="00697630"/>
    <w:rsid w:val="006A72F4"/>
    <w:rsid w:val="006C323D"/>
    <w:rsid w:val="006E37F4"/>
    <w:rsid w:val="00706F7F"/>
    <w:rsid w:val="007233D4"/>
    <w:rsid w:val="00742ACF"/>
    <w:rsid w:val="00745C59"/>
    <w:rsid w:val="00777C34"/>
    <w:rsid w:val="007A1D20"/>
    <w:rsid w:val="007A3D70"/>
    <w:rsid w:val="007B244A"/>
    <w:rsid w:val="007C38F7"/>
    <w:rsid w:val="007E4D9A"/>
    <w:rsid w:val="007F6C4F"/>
    <w:rsid w:val="008130AC"/>
    <w:rsid w:val="00816AFE"/>
    <w:rsid w:val="00824710"/>
    <w:rsid w:val="008609E9"/>
    <w:rsid w:val="00864A55"/>
    <w:rsid w:val="00880AC9"/>
    <w:rsid w:val="00884C08"/>
    <w:rsid w:val="008909F9"/>
    <w:rsid w:val="00890BCE"/>
    <w:rsid w:val="00895A2D"/>
    <w:rsid w:val="008C3161"/>
    <w:rsid w:val="008C7F69"/>
    <w:rsid w:val="008D28BC"/>
    <w:rsid w:val="008D5C2B"/>
    <w:rsid w:val="008E47FE"/>
    <w:rsid w:val="008F4217"/>
    <w:rsid w:val="008F4D1B"/>
    <w:rsid w:val="009178BC"/>
    <w:rsid w:val="00923509"/>
    <w:rsid w:val="009252F2"/>
    <w:rsid w:val="00942B61"/>
    <w:rsid w:val="00943DBB"/>
    <w:rsid w:val="009578A7"/>
    <w:rsid w:val="0098343E"/>
    <w:rsid w:val="0098410B"/>
    <w:rsid w:val="00986C8D"/>
    <w:rsid w:val="009B29F4"/>
    <w:rsid w:val="009B2FEB"/>
    <w:rsid w:val="009D63A3"/>
    <w:rsid w:val="009E4A8D"/>
    <w:rsid w:val="009E68B2"/>
    <w:rsid w:val="009E796A"/>
    <w:rsid w:val="009F5044"/>
    <w:rsid w:val="00A011D7"/>
    <w:rsid w:val="00A055D9"/>
    <w:rsid w:val="00A12DB3"/>
    <w:rsid w:val="00A17919"/>
    <w:rsid w:val="00A30E30"/>
    <w:rsid w:val="00A36C00"/>
    <w:rsid w:val="00A52697"/>
    <w:rsid w:val="00A53E42"/>
    <w:rsid w:val="00A569B6"/>
    <w:rsid w:val="00A71155"/>
    <w:rsid w:val="00A82C12"/>
    <w:rsid w:val="00A964A5"/>
    <w:rsid w:val="00AB798D"/>
    <w:rsid w:val="00AC5516"/>
    <w:rsid w:val="00AD3EBC"/>
    <w:rsid w:val="00AE33A7"/>
    <w:rsid w:val="00AF1C92"/>
    <w:rsid w:val="00AF7076"/>
    <w:rsid w:val="00AF74C9"/>
    <w:rsid w:val="00B05951"/>
    <w:rsid w:val="00B05CCA"/>
    <w:rsid w:val="00B220CF"/>
    <w:rsid w:val="00B346F0"/>
    <w:rsid w:val="00B34764"/>
    <w:rsid w:val="00B61A38"/>
    <w:rsid w:val="00B665BA"/>
    <w:rsid w:val="00B70AA6"/>
    <w:rsid w:val="00B75CBC"/>
    <w:rsid w:val="00B85B47"/>
    <w:rsid w:val="00B90637"/>
    <w:rsid w:val="00B9592C"/>
    <w:rsid w:val="00B97BC2"/>
    <w:rsid w:val="00BA24BF"/>
    <w:rsid w:val="00BA34E7"/>
    <w:rsid w:val="00BB29C3"/>
    <w:rsid w:val="00BB2A4C"/>
    <w:rsid w:val="00BB3E5B"/>
    <w:rsid w:val="00BC4A9F"/>
    <w:rsid w:val="00BC67D8"/>
    <w:rsid w:val="00BD2A9A"/>
    <w:rsid w:val="00BD7463"/>
    <w:rsid w:val="00C03EC5"/>
    <w:rsid w:val="00C07228"/>
    <w:rsid w:val="00C2664F"/>
    <w:rsid w:val="00C302FB"/>
    <w:rsid w:val="00C36913"/>
    <w:rsid w:val="00C37C7F"/>
    <w:rsid w:val="00C42D33"/>
    <w:rsid w:val="00C5304D"/>
    <w:rsid w:val="00C54533"/>
    <w:rsid w:val="00C73550"/>
    <w:rsid w:val="00C844D5"/>
    <w:rsid w:val="00C850ED"/>
    <w:rsid w:val="00C950D4"/>
    <w:rsid w:val="00CB6CB2"/>
    <w:rsid w:val="00CC15E8"/>
    <w:rsid w:val="00CE18F5"/>
    <w:rsid w:val="00D11564"/>
    <w:rsid w:val="00D20B5C"/>
    <w:rsid w:val="00D43391"/>
    <w:rsid w:val="00D44852"/>
    <w:rsid w:val="00D53B22"/>
    <w:rsid w:val="00D627EA"/>
    <w:rsid w:val="00D67C12"/>
    <w:rsid w:val="00DA1A70"/>
    <w:rsid w:val="00DA1DA8"/>
    <w:rsid w:val="00DE01A6"/>
    <w:rsid w:val="00DE1DAE"/>
    <w:rsid w:val="00DF2800"/>
    <w:rsid w:val="00DF7B4B"/>
    <w:rsid w:val="00E02310"/>
    <w:rsid w:val="00E023FE"/>
    <w:rsid w:val="00E27135"/>
    <w:rsid w:val="00E34F1E"/>
    <w:rsid w:val="00E766F0"/>
    <w:rsid w:val="00E91231"/>
    <w:rsid w:val="00EB6261"/>
    <w:rsid w:val="00EB7F8A"/>
    <w:rsid w:val="00EC6620"/>
    <w:rsid w:val="00F21561"/>
    <w:rsid w:val="00F42EFE"/>
    <w:rsid w:val="00F63ABD"/>
    <w:rsid w:val="00F65F71"/>
    <w:rsid w:val="00F82E59"/>
    <w:rsid w:val="00F948CD"/>
    <w:rsid w:val="00FA29DB"/>
    <w:rsid w:val="00FC09D3"/>
    <w:rsid w:val="00FC1E38"/>
    <w:rsid w:val="00FD7A8F"/>
    <w:rsid w:val="00FE6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c090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58"/>
  </w:style>
  <w:style w:type="paragraph" w:styleId="Ttulo1">
    <w:name w:val="heading 1"/>
    <w:basedOn w:val="Normal"/>
    <w:next w:val="Normal"/>
    <w:link w:val="Ttulo1Char"/>
    <w:qFormat/>
    <w:rsid w:val="00692BE9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 w:cs="Arial"/>
      <w:b/>
      <w:i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689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89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527158"/>
  </w:style>
  <w:style w:type="character" w:styleId="Refdenotaderodap">
    <w:name w:val="footnote reference"/>
    <w:basedOn w:val="Fontepargpadro"/>
    <w:semiHidden/>
    <w:rsid w:val="00527158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692BE9"/>
    <w:rPr>
      <w:rFonts w:ascii="Arial" w:hAnsi="Arial" w:cs="Arial"/>
      <w:b/>
      <w:i/>
      <w:sz w:val="24"/>
      <w:szCs w:val="24"/>
      <w:u w:val="single"/>
    </w:rPr>
  </w:style>
  <w:style w:type="paragraph" w:styleId="TextosemFormatao">
    <w:name w:val="Plain Text"/>
    <w:basedOn w:val="Normal"/>
    <w:link w:val="TextosemFormataoChar"/>
    <w:rsid w:val="00692BE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rsid w:val="00692BE9"/>
    <w:rPr>
      <w:rFonts w:ascii="Courier New" w:hAnsi="Courier New" w:cs="Courier New"/>
    </w:rPr>
  </w:style>
  <w:style w:type="paragraph" w:styleId="Ttulo">
    <w:name w:val="Title"/>
    <w:basedOn w:val="Normal"/>
    <w:link w:val="TtuloChar"/>
    <w:qFormat/>
    <w:rsid w:val="00692BE9"/>
    <w:pPr>
      <w:jc w:val="center"/>
    </w:pPr>
    <w:rPr>
      <w:b/>
      <w:i/>
      <w:sz w:val="24"/>
      <w:u w:val="single"/>
    </w:rPr>
  </w:style>
  <w:style w:type="character" w:customStyle="1" w:styleId="TtuloChar">
    <w:name w:val="Título Char"/>
    <w:basedOn w:val="Fontepargpadro"/>
    <w:link w:val="Ttulo"/>
    <w:rsid w:val="00692BE9"/>
    <w:rPr>
      <w:b/>
      <w:i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50E1C"/>
    <w:pPr>
      <w:ind w:left="708"/>
    </w:pPr>
  </w:style>
  <w:style w:type="paragraph" w:styleId="NormalWeb">
    <w:name w:val="Normal (Web)"/>
    <w:basedOn w:val="Normal"/>
    <w:uiPriority w:val="99"/>
    <w:unhideWhenUsed/>
    <w:rsid w:val="00923509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420D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20DA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EC66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vocatus@liv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6694-B879-4003-9D74-0AF10BB0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Lkdjaslkdjaslkdjalkdjasldjas</vt:lpstr>
    </vt:vector>
  </TitlesOfParts>
  <Company>Hewlett-Packard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Lkdjaslkdjaslkdjalkdjasldjas</dc:title>
  <dc:creator>LEX Advocacia</dc:creator>
  <cp:lastModifiedBy>Ari</cp:lastModifiedBy>
  <cp:revision>11</cp:revision>
  <cp:lastPrinted>2012-03-17T16:20:00Z</cp:lastPrinted>
  <dcterms:created xsi:type="dcterms:W3CDTF">2012-03-17T16:20:00Z</dcterms:created>
  <dcterms:modified xsi:type="dcterms:W3CDTF">2014-10-30T19:09:00Z</dcterms:modified>
</cp:coreProperties>
</file>