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3087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POST-PANDEMIC MENTAL HEALTH RECOVERY IN ENGLAND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9CE"/>
                <w:sz w:val="22"/>
                <w:szCs w:val="22"/>
              </w:rPr>
              <w:t xml:space="preserve">NHS Talking Therapies: Executive Summary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Analysis Period: February 2019 to April 2026</w:t>
            </w:r>
          </w:p>
        </w:tc>
      </w:tr>
    </w:tbl>
    <w:p>
      <w:r>
        <w:t xml:space="preserve"/>
      </w:r>
    </w:p>
    <w:p>
      <w:pPr>
        <w:pBdr>
          <w:bottom w:val="single" w:color="005EB8" w:sz="6"/>
        </w:pBdr>
        <w:spacing w:after="120"/>
      </w:pPr>
      <w:r>
        <w:rPr>
          <w:rFonts w:ascii="Calibri" w:cs="Calibri" w:eastAsia="Calibri" w:hAnsi="Calibri"/>
          <w:b/>
          <w:bCs/>
          <w:color w:val="003087"/>
          <w:sz w:val="22"/>
          <w:szCs w:val="22"/>
        </w:rPr>
        <w:t xml:space="preserve">EXECUTIVE SUMMARY</w:t>
      </w:r>
    </w:p>
    <w:p>
      <w:pPr>
        <w:spacing w:after="200"/>
      </w:pPr>
      <w:r>
        <w:rPr>
          <w:rFonts w:ascii="Calibri" w:cs="Calibri" w:eastAsia="Calibri" w:hAnsi="Calibri"/>
          <w:color w:val="231F20"/>
          <w:sz w:val="20"/>
          <w:szCs w:val="20"/>
        </w:rPr>
        <w:t xml:space="preserve">England's NHS Talking Therapies programme has not fully recovered from the impact of COVID-19. Five years after the pandemic began, clinical recovery rates remain below pre-pandemic levels despite a significant rebound in referral volumes and improved waiting time performance. This analysis examines post-pandemic recovery trajectories across 7 regions and 79 CCGs, stratified by deprivation, using NHS England open data covering February 2019 to April 2026.</w:t>
      </w:r>
    </w:p>
    <w:p>
      <w:pPr>
        <w:pBdr>
          <w:bottom w:val="single" w:color="005EB8" w:sz="6"/>
        </w:pBdr>
        <w:spacing w:after="120"/>
      </w:pPr>
      <w:r>
        <w:rPr>
          <w:rFonts w:ascii="Calibri" w:cs="Calibri" w:eastAsia="Calibri" w:hAnsi="Calibri"/>
          <w:b/>
          <w:bCs/>
          <w:color w:val="003087"/>
          <w:sz w:val="22"/>
          <w:szCs w:val="22"/>
        </w:rPr>
        <w:t xml:space="preserve">KEY FINDINGS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5EB8"/>
          <w:sz w:val="20"/>
          <w:szCs w:val="20"/>
        </w:rPr>
        <w:t xml:space="preserve">1.  Recovery rates have declined and not recovered</w:t>
      </w:r>
    </w:p>
    <w:p>
      <w:pPr>
        <w:spacing w:after="160"/>
      </w:pPr>
      <w:r>
        <w:rPr>
          <w:rFonts w:ascii="Calibri" w:cs="Calibri" w:eastAsia="Calibri" w:hAnsi="Calibri"/>
          <w:color w:val="231F20"/>
          <w:sz w:val="20"/>
          <w:szCs w:val="20"/>
        </w:rPr>
        <w:t xml:space="preserve">The national recovery rate fell from 51.79% pre-pandemic to 50.14% post-pandemic, a decline of 1.65 percentage points that has persisted throughout the five-year recovery period. The reliable recovery rate, a stricter clinical measure, fell further from 49.18% to 47.20%, a decline of 1.98 percentage points. Approximately 1 in 2 patients completing a course of treatment does not achieve clinical recovery.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5EB8"/>
          <w:sz w:val="20"/>
          <w:szCs w:val="20"/>
        </w:rPr>
        <w:t xml:space="preserve">2.  Demand has rebounded strongly but outcomes have not kept pace</w:t>
      </w:r>
    </w:p>
    <w:p>
      <w:pPr>
        <w:spacing w:after="160"/>
      </w:pPr>
      <w:r>
        <w:rPr>
          <w:rFonts w:ascii="Calibri" w:cs="Calibri" w:eastAsia="Calibri" w:hAnsi="Calibri"/>
          <w:color w:val="231F20"/>
          <w:sz w:val="20"/>
          <w:szCs w:val="20"/>
        </w:rPr>
        <w:t xml:space="preserve">Monthly referrals averaged 148.13K in the post-pandemic period, exceeding pre-pandemic levels of 141,694. Access has improved, with 90.28% of patients now treated within 6 weeks compared to 87.68% pre-pandemic. The service is reaching more people more quickly, but clinical outcomes have not recovered proportionally.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5EB8"/>
          <w:sz w:val="20"/>
          <w:szCs w:val="20"/>
        </w:rPr>
        <w:t xml:space="preserve">3.  Significant regional variation persists</w:t>
      </w:r>
    </w:p>
    <w:p>
      <w:pPr>
        <w:spacing w:after="160"/>
      </w:pPr>
      <w:r>
        <w:rPr>
          <w:rFonts w:ascii="Calibri" w:cs="Calibri" w:eastAsia="Calibri" w:hAnsi="Calibri"/>
          <w:color w:val="231F20"/>
          <w:sz w:val="20"/>
          <w:szCs w:val="20"/>
        </w:rPr>
        <w:t xml:space="preserve">North East and Yorkshire leads post-pandemic recovery at 51.20%, while the North West lags at 48.85%, a gap of 2.35 percentage points. Both London (49.93%) and the North West fall below the national average of 50.14%, suggesting structural challenges that predate the pandemic.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5EB8"/>
          <w:sz w:val="20"/>
          <w:szCs w:val="20"/>
        </w:rPr>
        <w:t xml:space="preserve">4.  Deprivation is associated with lower recovery rates</w:t>
      </w:r>
    </w:p>
    <w:p>
      <w:pPr>
        <w:spacing w:after="160"/>
      </w:pPr>
      <w:r>
        <w:rPr>
          <w:rFonts w:ascii="Calibri" w:cs="Calibri" w:eastAsia="Calibri" w:hAnsi="Calibri"/>
          <w:color w:val="231F20"/>
          <w:sz w:val="20"/>
          <w:szCs w:val="20"/>
        </w:rPr>
        <w:t xml:space="preserve">During the pandemic period, the least deprived areas (Decile 1) achieved a recovery rate of 54.07% compared to 49.88% in the most deprived areas (Decile 10), a gap of 4.19 percentage points. This inequality pattern predates the pandemic and represents a persistent structural challenge for commissioners.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5EB8"/>
          <w:sz w:val="20"/>
          <w:szCs w:val="20"/>
        </w:rPr>
        <w:t xml:space="preserve">5.  Predictive modelling identifies 37 high-risk CCGs</w:t>
      </w:r>
    </w:p>
    <w:p>
      <w:pPr>
        <w:spacing w:after="200"/>
      </w:pPr>
      <w:r>
        <w:rPr>
          <w:rFonts w:ascii="Calibri" w:cs="Calibri" w:eastAsia="Calibri" w:hAnsi="Calibri"/>
          <w:color w:val="231F20"/>
          <w:sz w:val="20"/>
          <w:szCs w:val="20"/>
        </w:rPr>
        <w:t xml:space="preserve">A Gradient Boosting classifier (ROC-AUC: 0.69) identified 37 of 79 assessed CCGs as high risk for below-average post-pandemic recovery. Pre-pandemic baseline performance (34% feature importance) and waiting time performance (32%) are the strongest predictors of post-pandemic outcomes, suggesting that areas that struggled before COVID-19 are most at risk of continued underperformance.</w:t>
      </w:r>
    </w:p>
    <w:p>
      <w:pPr>
        <w:pBdr>
          <w:bottom w:val="single" w:color="005EB8" w:sz="6"/>
        </w:pBdr>
        <w:spacing w:after="120"/>
      </w:pPr>
      <w:r>
        <w:rPr>
          <w:rFonts w:ascii="Calibri" w:cs="Calibri" w:eastAsia="Calibri" w:hAnsi="Calibri"/>
          <w:b/>
          <w:bCs/>
          <w:color w:val="003087"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/>
          <w:bCs/>
          <w:color w:val="231F20"/>
          <w:sz w:val="20"/>
          <w:szCs w:val="20"/>
        </w:rPr>
        <w:t xml:space="preserve">Targeted intervention in high-risk CCGs: </w:t>
      </w:r>
      <w:r>
        <w:rPr>
          <w:rFonts w:ascii="Calibri" w:cs="Calibri" w:eastAsia="Calibri" w:hAnsi="Calibri"/>
          <w:color w:val="231F20"/>
          <w:sz w:val="20"/>
          <w:szCs w:val="20"/>
        </w:rPr>
        <w:t xml:space="preserve">The 37 CCGs classified as high risk, particularly those in the most deprived deciles, require commissioner-level review and targeted support.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/>
          <w:bCs/>
          <w:color w:val="231F20"/>
          <w:sz w:val="20"/>
          <w:szCs w:val="20"/>
        </w:rPr>
        <w:t xml:space="preserve">Investigate the North West: </w:t>
      </w:r>
      <w:r>
        <w:rPr>
          <w:rFonts w:ascii="Calibri" w:cs="Calibri" w:eastAsia="Calibri" w:hAnsi="Calibri"/>
          <w:color w:val="231F20"/>
          <w:sz w:val="20"/>
          <w:szCs w:val="20"/>
        </w:rPr>
        <w:t xml:space="preserve">The region's persistent underperformance warrants a root cause analysis examining workforce capacity, case-mix complexity, and access barriers.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/>
          <w:bCs/>
          <w:color w:val="231F20"/>
          <w:sz w:val="20"/>
          <w:szCs w:val="20"/>
        </w:rPr>
        <w:t xml:space="preserve">Deprivation-adjusted benchmarking: </w:t>
      </w:r>
      <w:r>
        <w:rPr>
          <w:rFonts w:ascii="Calibri" w:cs="Calibri" w:eastAsia="Calibri" w:hAnsi="Calibri"/>
          <w:color w:val="231F20"/>
          <w:sz w:val="20"/>
          <w:szCs w:val="20"/>
        </w:rPr>
        <w:t xml:space="preserve">National recovery rate targets should be adjusted for population deprivation to ensure equitable performance assessment across commissioners.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/>
          <w:bCs/>
          <w:color w:val="231F20"/>
          <w:sz w:val="20"/>
          <w:szCs w:val="20"/>
        </w:rPr>
        <w:t xml:space="preserve">Monitor the volume-outcomes tension: </w:t>
      </w:r>
      <w:r>
        <w:rPr>
          <w:rFonts w:ascii="Calibri" w:cs="Calibri" w:eastAsia="Calibri" w:hAnsi="Calibri"/>
          <w:color w:val="231F20"/>
          <w:sz w:val="20"/>
          <w:szCs w:val="20"/>
        </w:rPr>
        <w:t xml:space="preserve">Rising referral volumes alongside declining recovery rates suggests the service may be treating higher volumes at the cost of outcome quality. This requires ongoing monitoring.</w:t>
      </w:r>
    </w:p>
    <w:p>
      <w:pPr>
        <w:spacing w:after="80"/>
      </w:pPr>
      <w:r>
        <w:t xml:space="preserve"/>
      </w:r>
    </w:p>
    <w:p>
      <w:pPr>
        <w:pBdr>
          <w:bottom w:val="single" w:color="005EB8" w:sz="6"/>
        </w:pBdr>
        <w:spacing w:after="120"/>
      </w:pPr>
      <w:r>
        <w:rPr>
          <w:rFonts w:ascii="Calibri" w:cs="Calibri" w:eastAsia="Calibri" w:hAnsi="Calibri"/>
          <w:b/>
          <w:bCs/>
          <w:color w:val="003087"/>
          <w:sz w:val="22"/>
          <w:szCs w:val="22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31F20"/>
          <w:sz w:val="20"/>
          <w:szCs w:val="20"/>
        </w:rPr>
        <w:t xml:space="preserve">Deprivation linkage is restricted to pre-pandemic and pandemic periods due to the 2022 CCG to ICB restructure, which created a geographic discontinuity in the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31F20"/>
          <w:sz w:val="20"/>
          <w:szCs w:val="20"/>
        </w:rPr>
        <w:t xml:space="preserve">Predictive model was trained on 79 CCGs only, representing those with complete matched data across pre-pandemic and post-pandemic periods, limiting generalisability across all English CCGs.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31F20"/>
          <w:sz w:val="20"/>
          <w:szCs w:val="20"/>
        </w:rPr>
        <w:t xml:space="preserve">IMD 2019 deprivation data does not reflect deprivation changes post-pandemic.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31F20"/>
          <w:sz w:val="20"/>
          <w:szCs w:val="20"/>
        </w:rPr>
        <w:t xml:space="preserve">Recovery rate data reflects patients who completed treatment, not all referrals, introducing potential selection bias.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31F20"/>
          <w:sz w:val="20"/>
          <w:szCs w:val="20"/>
        </w:rPr>
        <w:t xml:space="preserve">The wide format data structure of the pre-pandemic file (February 2019 to February 2020) differs from subsequent publications, which may introduce minor inconsistencies in CCG-level comparisons.</w:t>
      </w:r>
    </w:p>
    <w:p>
      <w:pPr>
        <w:spacing w:after="80"/>
      </w:pPr>
      <w:r>
        <w:t xml:space="preserve"/>
      </w:r>
    </w:p>
    <w:p>
      <w:pPr>
        <w:pBdr>
          <w:bottom w:val="single" w:color="005EB8" w:sz="6"/>
        </w:pBdr>
        <w:spacing w:after="120"/>
      </w:pPr>
      <w:r>
        <w:rPr>
          <w:rFonts w:ascii="Calibri" w:cs="Calibri" w:eastAsia="Calibri" w:hAnsi="Calibri"/>
          <w:b/>
          <w:bCs/>
          <w:color w:val="003087"/>
          <w:sz w:val="22"/>
          <w:szCs w:val="22"/>
        </w:rPr>
        <w:t xml:space="preserve">DATA AND METHODOLOGY</w:t>
      </w:r>
    </w:p>
    <w:p>
      <w:pPr>
        <w:spacing w:after="200"/>
      </w:pPr>
      <w:r>
        <w:rPr>
          <w:rFonts w:ascii="Calibri" w:cs="Calibri" w:eastAsia="Calibri" w:hAnsi="Calibri"/>
          <w:color w:val="231F20"/>
          <w:sz w:val="20"/>
          <w:szCs w:val="20"/>
        </w:rPr>
        <w:t xml:space="preserve">Data sourced from NHS England Talking Therapies monthly publications (February 2019 to April 2026), linked to the English Indices of Multiple Deprivation 2019 via LSOA-to-CCG geography. Analysis conducted in Python using Pandas and Scikit-learn. Findings visualised in Power BI and an interactive AI agent built using the Claude API and Streamlit.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31F20"/>
                <w:sz w:val="18"/>
                <w:szCs w:val="18"/>
              </w:rPr>
              <w:t xml:space="preserve">Prepared by: </w:t>
            </w:r>
            <w:r>
              <w:rPr>
                <w:rFonts w:ascii="Calibri" w:cs="Calibri" w:eastAsia="Calibri" w:hAnsi="Calibri"/>
                <w:color w:val="231F20"/>
                <w:sz w:val="18"/>
                <w:szCs w:val="18"/>
              </w:rPr>
              <w:t xml:space="preserve">Kehinde Fakeye | MSc Data Science, University of Salford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31F20"/>
                <w:sz w:val="18"/>
                <w:szCs w:val="18"/>
              </w:rPr>
              <w:t xml:space="preserve">Data sources: </w:t>
            </w:r>
            <w:r>
              <w:rPr>
                <w:rFonts w:ascii="Calibri" w:cs="Calibri" w:eastAsia="Calibri" w:hAnsi="Calibri"/>
                <w:color w:val="231F20"/>
                <w:sz w:val="18"/>
                <w:szCs w:val="18"/>
              </w:rPr>
              <w:t xml:space="preserve">NHS England, DLUHC, ONS Geography Portal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5EB8"/>
                <w:sz w:val="18"/>
                <w:szCs w:val="18"/>
              </w:rPr>
              <w:t xml:space="preserve">GitHub: </w:t>
            </w:r>
            <w:r>
              <w:rPr>
                <w:rFonts w:ascii="Calibri" w:cs="Calibri" w:eastAsia="Calibri" w:hAnsi="Calibri"/>
                <w:color w:val="005EB8"/>
                <w:sz w:val="18"/>
                <w:szCs w:val="18"/>
              </w:rPr>
              <w:t xml:space="preserve">github.com/aridunnu/nhs-mental-health-recovery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05EB8"/>
                <w:sz w:val="18"/>
                <w:szCs w:val="18"/>
              </w:rPr>
              <w:t xml:space="preserve">Live Agent: </w:t>
            </w:r>
            <w:r>
              <w:rPr>
                <w:rFonts w:ascii="Calibri" w:cs="Calibri" w:eastAsia="Calibri" w:hAnsi="Calibri"/>
                <w:color w:val="005EB8"/>
                <w:sz w:val="18"/>
                <w:szCs w:val="18"/>
              </w:rPr>
              <w:t xml:space="preserve">nhs-mental-health-recovery-2026.streamlit.app</w:t>
            </w:r>
          </w:p>
        </w:tc>
      </w:tr>
    </w:tbl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2026-07-10T17:20:07.763Z</dcterms:created>
  <dcterms:modified xsi:type="dcterms:W3CDTF">2026-07-10T17:20:07.777Z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