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18A8B" w14:textId="77777777" w:rsidR="00166E81" w:rsidRDefault="00000000">
      <w:pPr>
        <w:spacing w:before="480"/>
      </w:pPr>
      <w:r>
        <w:rPr>
          <w:b/>
          <w:bCs/>
          <w:caps/>
          <w:color w:val="8FAADC"/>
          <w:sz w:val="18"/>
          <w:szCs w:val="18"/>
        </w:rPr>
        <w:t>PEOPLE &amp; ORGANISATION PRACTICE</w:t>
      </w:r>
    </w:p>
    <w:p w14:paraId="1F8CA3AE" w14:textId="77777777" w:rsidR="00166E81" w:rsidRDefault="00000000">
      <w:pPr>
        <w:pBdr>
          <w:bottom w:val="single" w:sz="12" w:space="8" w:color="2E75B6"/>
        </w:pBdr>
        <w:spacing w:before="120"/>
      </w:pPr>
      <w:r>
        <w:rPr>
          <w:b/>
          <w:bCs/>
          <w:color w:val="1F3864"/>
          <w:sz w:val="52"/>
          <w:szCs w:val="52"/>
        </w:rPr>
        <w:t>Engagement Brief</w:t>
      </w:r>
    </w:p>
    <w:p w14:paraId="717011FD" w14:textId="77777777" w:rsidR="00166E81" w:rsidRDefault="00166E81">
      <w:pPr>
        <w:spacing w:before="200"/>
      </w:pPr>
    </w:p>
    <w:p w14:paraId="736F178F" w14:textId="77777777" w:rsidR="00166E81" w:rsidRDefault="00000000">
      <w:pPr>
        <w:spacing w:after="60"/>
      </w:pPr>
      <w:r>
        <w:rPr>
          <w:b/>
          <w:bCs/>
          <w:color w:val="404040"/>
          <w:sz w:val="36"/>
          <w:szCs w:val="36"/>
        </w:rPr>
        <w:t>Vertex Pharma UK Limited</w:t>
      </w:r>
    </w:p>
    <w:p w14:paraId="07E7C482" w14:textId="77777777" w:rsidR="00166E81" w:rsidRDefault="00000000">
      <w:pPr>
        <w:spacing w:after="360"/>
      </w:pPr>
      <w:r>
        <w:rPr>
          <w:i/>
          <w:iCs/>
          <w:color w:val="7F7F7F"/>
          <w:sz w:val="26"/>
          <w:szCs w:val="26"/>
        </w:rPr>
        <w:t>Workforce Attrition Analysis and Retention Strategy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166E81" w14:paraId="53CA9E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6A76EE" w14:textId="77777777" w:rsidR="00166E81" w:rsidRDefault="00000000">
            <w:r>
              <w:rPr>
                <w:b/>
                <w:bCs/>
                <w:color w:val="1F3864"/>
                <w:sz w:val="20"/>
                <w:szCs w:val="20"/>
              </w:rPr>
              <w:t>Client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618225" w14:textId="77777777" w:rsidR="00166E81" w:rsidRDefault="00000000">
            <w:r>
              <w:rPr>
                <w:color w:val="404040"/>
                <w:sz w:val="20"/>
                <w:szCs w:val="20"/>
              </w:rPr>
              <w:t>Vertex Pharma UK Limited</w:t>
            </w:r>
          </w:p>
        </w:tc>
      </w:tr>
      <w:tr w:rsidR="00166E81" w14:paraId="538816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365FDD" w14:textId="77777777" w:rsidR="00166E81" w:rsidRDefault="00000000">
            <w:r>
              <w:rPr>
                <w:b/>
                <w:bCs/>
                <w:color w:val="1F3864"/>
                <w:sz w:val="20"/>
                <w:szCs w:val="20"/>
              </w:rPr>
              <w:t>Engagement Reference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087549" w14:textId="7410EDB2" w:rsidR="00166E81" w:rsidRDefault="00000000">
            <w:r>
              <w:rPr>
                <w:color w:val="404040"/>
                <w:sz w:val="20"/>
                <w:szCs w:val="20"/>
              </w:rPr>
              <w:t>VP-PA-202</w:t>
            </w:r>
            <w:r w:rsidR="002304E4">
              <w:rPr>
                <w:color w:val="404040"/>
                <w:sz w:val="20"/>
                <w:szCs w:val="20"/>
              </w:rPr>
              <w:t>6</w:t>
            </w:r>
            <w:r>
              <w:rPr>
                <w:color w:val="404040"/>
                <w:sz w:val="20"/>
                <w:szCs w:val="20"/>
              </w:rPr>
              <w:t>-003</w:t>
            </w:r>
          </w:p>
        </w:tc>
      </w:tr>
      <w:tr w:rsidR="00166E81" w14:paraId="43C915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CF9587" w14:textId="77777777" w:rsidR="00166E81" w:rsidRDefault="00000000">
            <w:r>
              <w:rPr>
                <w:b/>
                <w:bCs/>
                <w:color w:val="1F3864"/>
                <w:sz w:val="20"/>
                <w:szCs w:val="20"/>
              </w:rPr>
              <w:t>Practice Area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A8336A" w14:textId="77777777" w:rsidR="00166E81" w:rsidRDefault="00000000">
            <w:r>
              <w:rPr>
                <w:color w:val="404040"/>
                <w:sz w:val="20"/>
                <w:szCs w:val="20"/>
              </w:rPr>
              <w:t xml:space="preserve">People &amp; </w:t>
            </w:r>
            <w:proofErr w:type="spellStart"/>
            <w:r>
              <w:rPr>
                <w:color w:val="404040"/>
                <w:sz w:val="20"/>
                <w:szCs w:val="20"/>
              </w:rPr>
              <w:t>Organisation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/ Workforce Analytics</w:t>
            </w:r>
          </w:p>
        </w:tc>
      </w:tr>
      <w:tr w:rsidR="00166E81" w14:paraId="1DDA77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390EEE" w14:textId="77777777" w:rsidR="00166E81" w:rsidRDefault="00000000">
            <w:r>
              <w:rPr>
                <w:b/>
                <w:bCs/>
                <w:color w:val="1F3864"/>
                <w:sz w:val="20"/>
                <w:szCs w:val="20"/>
              </w:rPr>
              <w:t>Engagement Lead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FE8252" w14:textId="77777777" w:rsidR="00166E81" w:rsidRDefault="00000000">
            <w:r>
              <w:rPr>
                <w:color w:val="404040"/>
                <w:sz w:val="20"/>
                <w:szCs w:val="20"/>
              </w:rPr>
              <w:t>Senior Manager, People Analytics</w:t>
            </w:r>
          </w:p>
        </w:tc>
      </w:tr>
      <w:tr w:rsidR="00166E81" w14:paraId="76E4E0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152F78" w14:textId="77777777" w:rsidR="00166E81" w:rsidRDefault="00000000">
            <w:r>
              <w:rPr>
                <w:b/>
                <w:bCs/>
                <w:color w:val="1F3864"/>
                <w:sz w:val="20"/>
                <w:szCs w:val="20"/>
              </w:rPr>
              <w:t>Date of Issue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CAE5F7" w14:textId="4EB62F27" w:rsidR="00166E81" w:rsidRDefault="00000000">
            <w:r>
              <w:rPr>
                <w:color w:val="404040"/>
                <w:sz w:val="20"/>
                <w:szCs w:val="20"/>
              </w:rPr>
              <w:t>June 202</w:t>
            </w:r>
            <w:r w:rsidR="002304E4">
              <w:rPr>
                <w:color w:val="404040"/>
                <w:sz w:val="20"/>
                <w:szCs w:val="20"/>
              </w:rPr>
              <w:t>6</w:t>
            </w:r>
          </w:p>
        </w:tc>
      </w:tr>
      <w:tr w:rsidR="00166E81" w14:paraId="0024F7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7C58A2" w14:textId="77777777" w:rsidR="00166E81" w:rsidRDefault="00000000">
            <w:r>
              <w:rPr>
                <w:b/>
                <w:bCs/>
                <w:color w:val="1F3864"/>
                <w:sz w:val="20"/>
                <w:szCs w:val="20"/>
              </w:rPr>
              <w:t>Document Status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612714" w14:textId="5E8F2362" w:rsidR="00166E81" w:rsidRDefault="00000000">
            <w:r>
              <w:rPr>
                <w:color w:val="404040"/>
                <w:sz w:val="20"/>
                <w:szCs w:val="20"/>
              </w:rPr>
              <w:t>Final</w:t>
            </w:r>
            <w:r w:rsidR="002304E4">
              <w:rPr>
                <w:color w:val="404040"/>
                <w:sz w:val="20"/>
                <w:szCs w:val="20"/>
              </w:rPr>
              <w:t xml:space="preserve"> - </w:t>
            </w:r>
            <w:r>
              <w:rPr>
                <w:color w:val="404040"/>
                <w:sz w:val="20"/>
                <w:szCs w:val="20"/>
              </w:rPr>
              <w:t>For Client Review</w:t>
            </w:r>
          </w:p>
        </w:tc>
      </w:tr>
      <w:tr w:rsidR="00166E81" w14:paraId="2DCA43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2A07DB" w14:textId="77777777" w:rsidR="00166E81" w:rsidRDefault="00000000">
            <w:r>
              <w:rPr>
                <w:b/>
                <w:bCs/>
                <w:color w:val="1F3864"/>
                <w:sz w:val="20"/>
                <w:szCs w:val="20"/>
              </w:rPr>
              <w:t>Classification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7C25FD" w14:textId="77777777" w:rsidR="00166E81" w:rsidRDefault="00000000">
            <w:r>
              <w:rPr>
                <w:color w:val="404040"/>
                <w:sz w:val="20"/>
                <w:szCs w:val="20"/>
              </w:rPr>
              <w:t>Confidential</w:t>
            </w:r>
          </w:p>
        </w:tc>
      </w:tr>
    </w:tbl>
    <w:p w14:paraId="4389E213" w14:textId="77777777" w:rsidR="00166E81" w:rsidRDefault="00166E81">
      <w:pPr>
        <w:spacing w:before="480"/>
      </w:pPr>
    </w:p>
    <w:p w14:paraId="1BB2CA32" w14:textId="77777777" w:rsidR="00166E81" w:rsidRDefault="00000000">
      <w:pPr>
        <w:pStyle w:val="Heading1"/>
        <w:pBdr>
          <w:bottom w:val="single" w:sz="6" w:space="6" w:color="2E75B6"/>
        </w:pBdr>
      </w:pPr>
      <w:r>
        <w:t>1. Client Background</w:t>
      </w:r>
    </w:p>
    <w:p w14:paraId="3503AB18" w14:textId="77777777" w:rsidR="00166E81" w:rsidRDefault="00000000">
      <w:pPr>
        <w:spacing w:before="80" w:after="120"/>
      </w:pPr>
      <w:r>
        <w:rPr>
          <w:color w:val="404040"/>
        </w:rPr>
        <w:t xml:space="preserve">Vertex Pharma UK Limited is a mid-sized pharmaceutical </w:t>
      </w:r>
      <w:proofErr w:type="spellStart"/>
      <w:r>
        <w:rPr>
          <w:color w:val="404040"/>
        </w:rPr>
        <w:t>organisation</w:t>
      </w:r>
      <w:proofErr w:type="spellEnd"/>
      <w:r>
        <w:rPr>
          <w:color w:val="404040"/>
        </w:rPr>
        <w:t xml:space="preserve"> headquartered in London, with research and development facilities in Manchester and Edinburgh. The </w:t>
      </w:r>
      <w:proofErr w:type="spellStart"/>
      <w:r>
        <w:rPr>
          <w:color w:val="404040"/>
        </w:rPr>
        <w:t>organisation</w:t>
      </w:r>
      <w:proofErr w:type="spellEnd"/>
      <w:r>
        <w:rPr>
          <w:color w:val="404040"/>
        </w:rPr>
        <w:t xml:space="preserve"> employs approximately 1,500 staff across six functional divisions: Research &amp; Development, Clinical Operations, Sales &amp; Marketing, Finance, Human Resources, and Laboratory Sciences.</w:t>
      </w:r>
    </w:p>
    <w:p w14:paraId="68C783C5" w14:textId="77777777" w:rsidR="00166E81" w:rsidRDefault="00166E81">
      <w:pPr>
        <w:spacing w:before="120"/>
      </w:pPr>
    </w:p>
    <w:p w14:paraId="4917046B" w14:textId="77777777" w:rsidR="00166E81" w:rsidRDefault="00000000">
      <w:pPr>
        <w:spacing w:before="80" w:after="120"/>
      </w:pPr>
      <w:r>
        <w:rPr>
          <w:color w:val="404040"/>
        </w:rPr>
        <w:t>Vertex operates in a highly regulated environment governed by MHRA and ICH guidelines, where workforce continuity, specialist knowledge retention, and regulatory compliance are operationally critical. The loss of experienced personnel, particularly within R&amp;D and Clinical Operations, carries risks that extend beyond financial cost, including delays to drug development timelines, audit readiness, and institutional knowledge erosion.</w:t>
      </w:r>
    </w:p>
    <w:p w14:paraId="13114D46" w14:textId="77777777" w:rsidR="00166E81" w:rsidRDefault="00166E81">
      <w:pPr>
        <w:spacing w:before="240"/>
      </w:pPr>
    </w:p>
    <w:p w14:paraId="19CE2616" w14:textId="77777777" w:rsidR="00166E81" w:rsidRDefault="00000000">
      <w:pPr>
        <w:pStyle w:val="Heading1"/>
        <w:pBdr>
          <w:bottom w:val="single" w:sz="6" w:space="6" w:color="2E75B6"/>
        </w:pBdr>
      </w:pPr>
      <w:r>
        <w:t>2. Situation Overview</w:t>
      </w:r>
    </w:p>
    <w:p w14:paraId="1497E18D" w14:textId="52868CE5" w:rsidR="00166E81" w:rsidRDefault="00000000">
      <w:pPr>
        <w:spacing w:before="80" w:after="120"/>
      </w:pPr>
      <w:r>
        <w:rPr>
          <w:color w:val="404040"/>
        </w:rPr>
        <w:t>Over the 12-month period from July 202</w:t>
      </w:r>
      <w:r w:rsidR="002304E4">
        <w:rPr>
          <w:color w:val="404040"/>
        </w:rPr>
        <w:t>5</w:t>
      </w:r>
      <w:r>
        <w:rPr>
          <w:color w:val="404040"/>
        </w:rPr>
        <w:t xml:space="preserve"> to June 202</w:t>
      </w:r>
      <w:r w:rsidR="002304E4">
        <w:rPr>
          <w:color w:val="404040"/>
        </w:rPr>
        <w:t>6</w:t>
      </w:r>
      <w:r>
        <w:rPr>
          <w:color w:val="404040"/>
        </w:rPr>
        <w:t xml:space="preserve">, Vertex Pharma has experienced a material increase in voluntary employee attrition. Historically, the </w:t>
      </w:r>
      <w:proofErr w:type="spellStart"/>
      <w:r>
        <w:rPr>
          <w:color w:val="404040"/>
        </w:rPr>
        <w:t>organisation</w:t>
      </w:r>
      <w:proofErr w:type="spellEnd"/>
      <w:r>
        <w:rPr>
          <w:color w:val="404040"/>
        </w:rPr>
        <w:t xml:space="preserve"> maintained an </w:t>
      </w:r>
      <w:proofErr w:type="spellStart"/>
      <w:r>
        <w:rPr>
          <w:color w:val="404040"/>
        </w:rPr>
        <w:t>annualised</w:t>
      </w:r>
      <w:proofErr w:type="spellEnd"/>
      <w:r>
        <w:rPr>
          <w:color w:val="404040"/>
        </w:rPr>
        <w:t xml:space="preserve"> attrition rate in line with the broader UK pharmaceutical sector average. Recent data indicates that this rate has risen significantly, with departure rates concentrated in a small number of departments and employee segments.</w:t>
      </w:r>
    </w:p>
    <w:p w14:paraId="21B4A39C" w14:textId="77777777" w:rsidR="00166E81" w:rsidRDefault="00166E81">
      <w:pPr>
        <w:spacing w:before="120"/>
      </w:pPr>
    </w:p>
    <w:p w14:paraId="29F552CB" w14:textId="10D1CCBC" w:rsidR="00166E81" w:rsidRDefault="00000000">
      <w:pPr>
        <w:spacing w:before="80" w:after="120"/>
      </w:pPr>
      <w:r>
        <w:rPr>
          <w:color w:val="404040"/>
        </w:rPr>
        <w:t xml:space="preserve">An internal exit survey </w:t>
      </w:r>
      <w:proofErr w:type="spellStart"/>
      <w:r>
        <w:rPr>
          <w:color w:val="404040"/>
        </w:rPr>
        <w:t>programme</w:t>
      </w:r>
      <w:proofErr w:type="spellEnd"/>
      <w:r>
        <w:rPr>
          <w:color w:val="404040"/>
        </w:rPr>
        <w:t xml:space="preserve"> was paused in early 202</w:t>
      </w:r>
      <w:r w:rsidR="002304E4">
        <w:rPr>
          <w:color w:val="404040"/>
        </w:rPr>
        <w:t>5</w:t>
      </w:r>
      <w:r>
        <w:rPr>
          <w:color w:val="404040"/>
        </w:rPr>
        <w:t xml:space="preserve"> as part of a HR systems migration, resulting in a gap in qualitative departure data. This has left the People team without a clear </w:t>
      </w:r>
      <w:r>
        <w:rPr>
          <w:color w:val="404040"/>
        </w:rPr>
        <w:lastRenderedPageBreak/>
        <w:t>understanding of the primary drivers of turnover, which functions or roles are most exposed, and whether current conditions represent a structural shift or a short-term spike.</w:t>
      </w:r>
    </w:p>
    <w:p w14:paraId="4375F549" w14:textId="77777777" w:rsidR="00166E81" w:rsidRDefault="00166E81">
      <w:pPr>
        <w:spacing w:before="120"/>
      </w:pPr>
    </w:p>
    <w:p w14:paraId="1F4FCC8F" w14:textId="77777777" w:rsidR="00166E81" w:rsidRDefault="00000000">
      <w:pPr>
        <w:spacing w:before="80" w:after="120"/>
      </w:pPr>
      <w:r>
        <w:rPr>
          <w:color w:val="404040"/>
        </w:rPr>
        <w:t xml:space="preserve">Leadership has raised the matter at Board level following two consecutive quarters of above-target attrition, and the Chief People Officer has commissioned this engagement to provide an independent, data-led assessment of the situation and a set of </w:t>
      </w:r>
      <w:proofErr w:type="spellStart"/>
      <w:r>
        <w:rPr>
          <w:color w:val="404040"/>
        </w:rPr>
        <w:t>prioritised</w:t>
      </w:r>
      <w:proofErr w:type="spellEnd"/>
      <w:r>
        <w:rPr>
          <w:color w:val="404040"/>
        </w:rPr>
        <w:t xml:space="preserve"> recommendations for action.</w:t>
      </w:r>
    </w:p>
    <w:p w14:paraId="53675806" w14:textId="77777777" w:rsidR="00166E81" w:rsidRDefault="00166E81">
      <w:pPr>
        <w:spacing w:before="240"/>
      </w:pPr>
    </w:p>
    <w:p w14:paraId="3EA8C25C" w14:textId="77777777" w:rsidR="00166E81" w:rsidRDefault="00000000">
      <w:pPr>
        <w:pStyle w:val="Heading2"/>
      </w:pPr>
      <w:r>
        <w:t>Key Workforce Indicators at Engagement Commencement</w:t>
      </w:r>
    </w:p>
    <w:p w14:paraId="6B3517A4" w14:textId="77777777" w:rsidR="00166E81" w:rsidRDefault="00166E81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166E81" w14:paraId="744DEBC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2F3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6ED8CEB5" w14:textId="77777777" w:rsidR="00166E81" w:rsidRDefault="00000000">
            <w:pPr>
              <w:jc w:val="center"/>
            </w:pPr>
            <w:r>
              <w:rPr>
                <w:b/>
                <w:bCs/>
                <w:color w:val="1F3864"/>
                <w:sz w:val="36"/>
                <w:szCs w:val="36"/>
              </w:rPr>
              <w:t>1,470</w:t>
            </w:r>
          </w:p>
          <w:p w14:paraId="0E7EF7C2" w14:textId="77777777" w:rsidR="00166E81" w:rsidRDefault="00000000">
            <w:pPr>
              <w:spacing w:before="60"/>
              <w:jc w:val="center"/>
            </w:pPr>
            <w:r>
              <w:rPr>
                <w:color w:val="7F7F7F"/>
                <w:sz w:val="18"/>
                <w:szCs w:val="18"/>
              </w:rPr>
              <w:t>Total Headcount</w:t>
            </w:r>
          </w:p>
        </w:tc>
        <w:tc>
          <w:tcPr>
            <w:tcW w:w="2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2F3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37F386A6" w14:textId="77777777" w:rsidR="00166E81" w:rsidRDefault="00000000">
            <w:pPr>
              <w:jc w:val="center"/>
            </w:pPr>
            <w:r>
              <w:rPr>
                <w:b/>
                <w:bCs/>
                <w:color w:val="1F3864"/>
                <w:sz w:val="36"/>
                <w:szCs w:val="36"/>
              </w:rPr>
              <w:t>16.1%</w:t>
            </w:r>
          </w:p>
          <w:p w14:paraId="1481587D" w14:textId="77777777" w:rsidR="00166E81" w:rsidRDefault="00000000">
            <w:pPr>
              <w:spacing w:before="60"/>
              <w:jc w:val="center"/>
            </w:pPr>
            <w:proofErr w:type="spellStart"/>
            <w:r>
              <w:rPr>
                <w:color w:val="7F7F7F"/>
                <w:sz w:val="18"/>
                <w:szCs w:val="18"/>
              </w:rPr>
              <w:t>Annualised</w:t>
            </w:r>
            <w:proofErr w:type="spellEnd"/>
            <w:r>
              <w:rPr>
                <w:color w:val="7F7F7F"/>
                <w:sz w:val="18"/>
                <w:szCs w:val="18"/>
              </w:rPr>
              <w:t xml:space="preserve"> Attrition Rate</w:t>
            </w:r>
          </w:p>
        </w:tc>
        <w:tc>
          <w:tcPr>
            <w:tcW w:w="2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2F3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412C6025" w14:textId="77777777" w:rsidR="00166E81" w:rsidRDefault="00000000">
            <w:pPr>
              <w:jc w:val="center"/>
            </w:pPr>
            <w:r>
              <w:rPr>
                <w:b/>
                <w:bCs/>
                <w:color w:val="1F3864"/>
                <w:sz w:val="36"/>
                <w:szCs w:val="36"/>
              </w:rPr>
              <w:t>6</w:t>
            </w:r>
          </w:p>
          <w:p w14:paraId="5E712FC6" w14:textId="77777777" w:rsidR="00166E81" w:rsidRDefault="00000000">
            <w:pPr>
              <w:spacing w:before="60"/>
              <w:jc w:val="center"/>
            </w:pPr>
            <w:r>
              <w:rPr>
                <w:color w:val="7F7F7F"/>
                <w:sz w:val="18"/>
                <w:szCs w:val="18"/>
              </w:rPr>
              <w:t>Functional Divisions</w:t>
            </w:r>
          </w:p>
        </w:tc>
        <w:tc>
          <w:tcPr>
            <w:tcW w:w="2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2F3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3742B1F2" w14:textId="77777777" w:rsidR="00166E81" w:rsidRDefault="00000000">
            <w:pPr>
              <w:jc w:val="center"/>
            </w:pPr>
            <w:r>
              <w:rPr>
                <w:b/>
                <w:bCs/>
                <w:color w:val="1F3864"/>
                <w:sz w:val="36"/>
                <w:szCs w:val="36"/>
              </w:rPr>
              <w:t>~1.5x</w:t>
            </w:r>
          </w:p>
          <w:p w14:paraId="14B163CA" w14:textId="77777777" w:rsidR="00166E81" w:rsidRDefault="00000000">
            <w:pPr>
              <w:spacing w:before="60"/>
              <w:jc w:val="center"/>
            </w:pPr>
            <w:r>
              <w:rPr>
                <w:color w:val="7F7F7F"/>
                <w:sz w:val="18"/>
                <w:szCs w:val="18"/>
              </w:rPr>
              <w:t>Est. Cost of Attrition vs Salary</w:t>
            </w:r>
          </w:p>
        </w:tc>
      </w:tr>
    </w:tbl>
    <w:p w14:paraId="6C5C6393" w14:textId="77777777" w:rsidR="00166E81" w:rsidRDefault="00166E81">
      <w:pPr>
        <w:spacing w:before="360"/>
      </w:pPr>
    </w:p>
    <w:p w14:paraId="2F64F684" w14:textId="77777777" w:rsidR="00166E81" w:rsidRDefault="00000000">
      <w:pPr>
        <w:pStyle w:val="Heading1"/>
        <w:pBdr>
          <w:bottom w:val="single" w:sz="6" w:space="6" w:color="2E75B6"/>
        </w:pBdr>
      </w:pPr>
      <w:r>
        <w:t>3. Engagement Objectives</w:t>
      </w:r>
    </w:p>
    <w:p w14:paraId="4F51E006" w14:textId="77777777" w:rsidR="00166E81" w:rsidRDefault="00000000">
      <w:pPr>
        <w:spacing w:before="80" w:after="120"/>
      </w:pPr>
      <w:r>
        <w:rPr>
          <w:color w:val="404040"/>
        </w:rPr>
        <w:t>This engagement has been commissioned with the following primary objectives:</w:t>
      </w:r>
    </w:p>
    <w:p w14:paraId="130C1741" w14:textId="77777777" w:rsidR="00166E81" w:rsidRDefault="00166E81">
      <w:pPr>
        <w:spacing w:before="80"/>
      </w:pPr>
    </w:p>
    <w:p w14:paraId="51E4E09E" w14:textId="77777777" w:rsidR="00166E8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 xml:space="preserve">Quantify the current attrition rate at </w:t>
      </w:r>
      <w:proofErr w:type="spellStart"/>
      <w:r>
        <w:rPr>
          <w:color w:val="404040"/>
        </w:rPr>
        <w:t>organisational</w:t>
      </w:r>
      <w:proofErr w:type="spellEnd"/>
      <w:r>
        <w:rPr>
          <w:color w:val="404040"/>
        </w:rPr>
        <w:t>, departmental, and role-level granularity, and benchmark this against available sector comparators.</w:t>
      </w:r>
    </w:p>
    <w:p w14:paraId="5489FC97" w14:textId="77777777" w:rsidR="00166E8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 xml:space="preserve">Identify the key demographic, role-based, and </w:t>
      </w:r>
      <w:proofErr w:type="spellStart"/>
      <w:r>
        <w:rPr>
          <w:color w:val="404040"/>
        </w:rPr>
        <w:t>behavioural</w:t>
      </w:r>
      <w:proofErr w:type="spellEnd"/>
      <w:r>
        <w:rPr>
          <w:color w:val="404040"/>
        </w:rPr>
        <w:t xml:space="preserve"> factors that are most strongly associated with voluntary departure.</w:t>
      </w:r>
    </w:p>
    <w:p w14:paraId="4CAC1BF9" w14:textId="77777777" w:rsidR="00166E8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Estimate the direct and indirect financial cost of attrition to Vertex Pharma over the past 12 months.</w:t>
      </w:r>
    </w:p>
    <w:p w14:paraId="01BA079D" w14:textId="77777777" w:rsidR="00166E8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Build a workforce risk segmentation model that identifies current employees at elevated risk of departure, enabling proactive intervention.</w:t>
      </w:r>
    </w:p>
    <w:p w14:paraId="58C2B194" w14:textId="77777777" w:rsidR="00166E8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 xml:space="preserve">Produce a </w:t>
      </w:r>
      <w:proofErr w:type="spellStart"/>
      <w:r>
        <w:rPr>
          <w:color w:val="404040"/>
        </w:rPr>
        <w:t>prioritised</w:t>
      </w:r>
      <w:proofErr w:type="spellEnd"/>
      <w:r>
        <w:rPr>
          <w:color w:val="404040"/>
        </w:rPr>
        <w:t xml:space="preserve"> set of actionable retention recommendations, with a quantified estimate of potential impact for each, suitable for presentation to the Board People Committee.</w:t>
      </w:r>
    </w:p>
    <w:p w14:paraId="402366AA" w14:textId="77777777" w:rsidR="00166E81" w:rsidRDefault="00166E81">
      <w:pPr>
        <w:spacing w:before="240"/>
      </w:pPr>
    </w:p>
    <w:p w14:paraId="292667D1" w14:textId="77777777" w:rsidR="00166E81" w:rsidRDefault="00000000">
      <w:pPr>
        <w:pStyle w:val="Heading1"/>
        <w:pBdr>
          <w:bottom w:val="single" w:sz="6" w:space="6" w:color="2E75B6"/>
        </w:pBdr>
      </w:pPr>
      <w:r>
        <w:t>4. Key Questions This Engagement Must Answer</w:t>
      </w:r>
    </w:p>
    <w:p w14:paraId="41699185" w14:textId="77777777" w:rsidR="00166E81" w:rsidRDefault="00000000">
      <w:pPr>
        <w:spacing w:before="80" w:after="120"/>
      </w:pPr>
      <w:r>
        <w:rPr>
          <w:color w:val="404040"/>
        </w:rPr>
        <w:t>The following analytical questions will structure the work and should be addressed in the final output:</w:t>
      </w:r>
    </w:p>
    <w:p w14:paraId="0A0077EE" w14:textId="77777777" w:rsidR="00166E81" w:rsidRDefault="00166E81">
      <w:pPr>
        <w:spacing w:before="80"/>
      </w:pPr>
    </w:p>
    <w:p w14:paraId="4F05AC6B" w14:textId="77777777" w:rsidR="00166E8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What is the current voluntary attrition rate, and how does it vary by department, job role, seniority level, age band, and tenure?</w:t>
      </w:r>
    </w:p>
    <w:p w14:paraId="27B45F3D" w14:textId="77777777" w:rsidR="00166E8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Which employee segments are at the highest risk of attrition in the next 6 to 12 months?</w:t>
      </w:r>
    </w:p>
    <w:p w14:paraId="4DB65CE2" w14:textId="77777777" w:rsidR="00166E8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What is the quantified financial exposure associated with current attrition levels, including recruitment, onboarding, and productivity loss estimates?</w:t>
      </w:r>
    </w:p>
    <w:p w14:paraId="68162D01" w14:textId="77777777" w:rsidR="00166E8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Which factors, whether compensation-related, environmental, or role-related, are the strongest predictors of departure?</w:t>
      </w:r>
    </w:p>
    <w:p w14:paraId="35C97693" w14:textId="77777777" w:rsidR="00166E8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lastRenderedPageBreak/>
        <w:t>What targeted interventions, if implemented, would have the greatest impact on retention within the highest-risk segments?</w:t>
      </w:r>
    </w:p>
    <w:p w14:paraId="0CD6BEDF" w14:textId="77777777" w:rsidR="00166E8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What monitoring mechanisms should Vertex put in place to track attrition risk on an ongoing basis?</w:t>
      </w:r>
    </w:p>
    <w:p w14:paraId="25651FD8" w14:textId="77777777" w:rsidR="00166E81" w:rsidRDefault="00166E81">
      <w:pPr>
        <w:spacing w:before="240"/>
      </w:pPr>
    </w:p>
    <w:p w14:paraId="3383691A" w14:textId="77777777" w:rsidR="00166E81" w:rsidRDefault="00000000">
      <w:pPr>
        <w:pStyle w:val="Heading1"/>
        <w:pBdr>
          <w:bottom w:val="single" w:sz="6" w:space="6" w:color="2E75B6"/>
        </w:pBdr>
      </w:pPr>
      <w:r>
        <w:t>5. Scope and Exclusions</w:t>
      </w:r>
    </w:p>
    <w:p w14:paraId="5363D6CC" w14:textId="77777777" w:rsidR="00166E81" w:rsidRDefault="00000000">
      <w:pPr>
        <w:pStyle w:val="Heading2"/>
      </w:pPr>
      <w:r>
        <w:t>In Scope</w:t>
      </w:r>
    </w:p>
    <w:p w14:paraId="38342D79" w14:textId="77777777" w:rsidR="00166E8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Analysis of the employee dataset covering all active and departed employees over the 12-month engagement period.</w:t>
      </w:r>
    </w:p>
    <w:p w14:paraId="44C13ADF" w14:textId="77777777" w:rsidR="00166E8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Attrition rate analysis segmented by department, job role, job level, gender, age band, overtime status, and tenure.</w:t>
      </w:r>
    </w:p>
    <w:p w14:paraId="43FC5487" w14:textId="77777777" w:rsidR="00166E8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Predictive attrition risk modelling using classification methods, producing an individual-level risk score.</w:t>
      </w:r>
    </w:p>
    <w:p w14:paraId="42439EE0" w14:textId="77777777" w:rsidR="00166E8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Financial cost modelling based on agreed assumptions for replacement cost by job level.</w:t>
      </w:r>
    </w:p>
    <w:p w14:paraId="3732DD6E" w14:textId="77777777" w:rsidR="00166E8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 xml:space="preserve">Retention risk segmentation and </w:t>
      </w:r>
      <w:proofErr w:type="spellStart"/>
      <w:r>
        <w:rPr>
          <w:color w:val="404040"/>
        </w:rPr>
        <w:t>prioritisation</w:t>
      </w:r>
      <w:proofErr w:type="spellEnd"/>
      <w:r>
        <w:rPr>
          <w:color w:val="404040"/>
        </w:rPr>
        <w:t xml:space="preserve"> matrix.</w:t>
      </w:r>
    </w:p>
    <w:p w14:paraId="35658793" w14:textId="77777777" w:rsidR="00166E8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Final recommendations report and supporting Power BI dashboard for ongoing monitoring.</w:t>
      </w:r>
    </w:p>
    <w:p w14:paraId="130ED83D" w14:textId="77777777" w:rsidR="00166E81" w:rsidRDefault="00166E81">
      <w:pPr>
        <w:spacing w:before="120"/>
      </w:pPr>
    </w:p>
    <w:p w14:paraId="3B8A5ABA" w14:textId="77777777" w:rsidR="00166E81" w:rsidRDefault="00000000">
      <w:pPr>
        <w:pStyle w:val="Heading2"/>
      </w:pPr>
      <w:r>
        <w:t>Out of Scope</w:t>
      </w:r>
    </w:p>
    <w:p w14:paraId="45C75EBF" w14:textId="77777777" w:rsidR="00166E8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 xml:space="preserve">Qualitative research </w:t>
      </w:r>
      <w:proofErr w:type="gramStart"/>
      <w:r>
        <w:rPr>
          <w:color w:val="404040"/>
        </w:rPr>
        <w:t>including</w:t>
      </w:r>
      <w:proofErr w:type="gramEnd"/>
      <w:r>
        <w:rPr>
          <w:color w:val="404040"/>
        </w:rPr>
        <w:t xml:space="preserve"> interviews, focus groups, or employee survey design. This may form a subsequent phase of work.</w:t>
      </w:r>
    </w:p>
    <w:p w14:paraId="0C8AA2AD" w14:textId="77777777" w:rsidR="00166E8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Compensation benchmarking against external salary data. The team will work with internal compensation data only.</w:t>
      </w:r>
    </w:p>
    <w:p w14:paraId="3D8F7FCB" w14:textId="77777777" w:rsidR="00166E8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Legal or employment relations advice. Any recommendations with ER implications should be reviewed by the client's legal counsel before implementation.</w:t>
      </w:r>
    </w:p>
    <w:p w14:paraId="45266A62" w14:textId="77777777" w:rsidR="00166E81" w:rsidRDefault="00166E81">
      <w:pPr>
        <w:spacing w:before="240"/>
      </w:pPr>
    </w:p>
    <w:p w14:paraId="6DCC110F" w14:textId="77777777" w:rsidR="00166E81" w:rsidRDefault="00000000">
      <w:pPr>
        <w:pStyle w:val="Heading1"/>
        <w:pBdr>
          <w:bottom w:val="single" w:sz="6" w:space="6" w:color="2E75B6"/>
        </w:pBdr>
      </w:pPr>
      <w:r>
        <w:t>6. Proposed Engagement Workstreams</w:t>
      </w:r>
    </w:p>
    <w:p w14:paraId="48B75606" w14:textId="77777777" w:rsidR="00166E81" w:rsidRDefault="00166E81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400"/>
        <w:gridCol w:w="4026"/>
      </w:tblGrid>
      <w:tr w:rsidR="00166E81" w14:paraId="0CB972C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6BFB79" w14:textId="77777777" w:rsidR="00166E81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9B1BE3" w14:textId="77777777" w:rsidR="00166E81" w:rsidRDefault="00000000">
            <w:r>
              <w:rPr>
                <w:b/>
                <w:bCs/>
                <w:color w:val="FFFFFF"/>
                <w:sz w:val="20"/>
                <w:szCs w:val="20"/>
              </w:rPr>
              <w:t>Workstream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899F84" w14:textId="77777777" w:rsidR="00166E81" w:rsidRDefault="00000000">
            <w:r>
              <w:rPr>
                <w:b/>
                <w:bCs/>
                <w:color w:val="FFFFFF"/>
                <w:sz w:val="20"/>
                <w:szCs w:val="20"/>
              </w:rPr>
              <w:t>Key Deliverable</w:t>
            </w:r>
          </w:p>
        </w:tc>
      </w:tr>
      <w:tr w:rsidR="00166E81" w14:paraId="003337D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761962" w14:textId="77777777" w:rsidR="00166E81" w:rsidRDefault="00000000">
            <w:r>
              <w:rPr>
                <w:b/>
                <w:bCs/>
                <w:color w:val="1F3864"/>
                <w:sz w:val="20"/>
                <w:szCs w:val="20"/>
              </w:rPr>
              <w:t>Phase 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B8A88E" w14:textId="77777777" w:rsidR="00166E81" w:rsidRDefault="00000000">
            <w:r>
              <w:rPr>
                <w:color w:val="404040"/>
                <w:sz w:val="20"/>
                <w:szCs w:val="20"/>
              </w:rPr>
              <w:t>Data Ingestion and Modelling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273543" w14:textId="77777777" w:rsidR="00166E81" w:rsidRDefault="00000000">
            <w:r>
              <w:rPr>
                <w:color w:val="404040"/>
                <w:sz w:val="20"/>
                <w:szCs w:val="20"/>
              </w:rPr>
              <w:t>Validated star-schema data model in SQL Server</w:t>
            </w:r>
          </w:p>
        </w:tc>
      </w:tr>
      <w:tr w:rsidR="00166E81" w14:paraId="5F648D4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F1E72E" w14:textId="77777777" w:rsidR="00166E81" w:rsidRDefault="00000000">
            <w:r>
              <w:rPr>
                <w:b/>
                <w:bCs/>
                <w:color w:val="1F3864"/>
                <w:sz w:val="20"/>
                <w:szCs w:val="20"/>
              </w:rPr>
              <w:t>Phase 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3EB2C5" w14:textId="77777777" w:rsidR="00166E81" w:rsidRDefault="00000000">
            <w:r>
              <w:rPr>
                <w:color w:val="404040"/>
                <w:sz w:val="20"/>
                <w:szCs w:val="20"/>
              </w:rPr>
              <w:t>Exploratory Analysis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5CF660" w14:textId="77777777" w:rsidR="00166E81" w:rsidRDefault="00000000">
            <w:r>
              <w:rPr>
                <w:color w:val="404040"/>
                <w:sz w:val="20"/>
                <w:szCs w:val="20"/>
              </w:rPr>
              <w:t>Attrition breakdown report with cost quantification</w:t>
            </w:r>
          </w:p>
        </w:tc>
      </w:tr>
      <w:tr w:rsidR="00166E81" w14:paraId="339FA80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8DA74E" w14:textId="77777777" w:rsidR="00166E81" w:rsidRDefault="00000000">
            <w:r>
              <w:rPr>
                <w:b/>
                <w:bCs/>
                <w:color w:val="1F3864"/>
                <w:sz w:val="20"/>
                <w:szCs w:val="20"/>
              </w:rPr>
              <w:t>Phase 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581720" w14:textId="77777777" w:rsidR="00166E81" w:rsidRDefault="00000000">
            <w:r>
              <w:rPr>
                <w:color w:val="404040"/>
                <w:sz w:val="20"/>
                <w:szCs w:val="20"/>
              </w:rPr>
              <w:t>Predictive Modelling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7C24E2" w14:textId="77777777" w:rsidR="00166E81" w:rsidRDefault="00000000">
            <w:r>
              <w:rPr>
                <w:color w:val="404040"/>
                <w:sz w:val="20"/>
                <w:szCs w:val="20"/>
              </w:rPr>
              <w:t>Attrition risk scores and feature importance ranking</w:t>
            </w:r>
          </w:p>
        </w:tc>
      </w:tr>
      <w:tr w:rsidR="00166E81" w14:paraId="3884CBB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FECC2C" w14:textId="77777777" w:rsidR="00166E81" w:rsidRDefault="00000000">
            <w:r>
              <w:rPr>
                <w:b/>
                <w:bCs/>
                <w:color w:val="1F3864"/>
                <w:sz w:val="20"/>
                <w:szCs w:val="20"/>
              </w:rPr>
              <w:t>Phase 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EB7878" w14:textId="77777777" w:rsidR="00166E81" w:rsidRDefault="00000000">
            <w:r>
              <w:rPr>
                <w:color w:val="404040"/>
                <w:sz w:val="20"/>
                <w:szCs w:val="20"/>
              </w:rPr>
              <w:t>Segmentation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796E2E" w14:textId="77777777" w:rsidR="00166E81" w:rsidRDefault="00000000">
            <w:r>
              <w:rPr>
                <w:color w:val="404040"/>
                <w:sz w:val="20"/>
                <w:szCs w:val="20"/>
              </w:rPr>
              <w:t>Retention priority matrix by risk and employee value</w:t>
            </w:r>
          </w:p>
        </w:tc>
      </w:tr>
      <w:tr w:rsidR="00166E81" w14:paraId="399465D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878EEE" w14:textId="77777777" w:rsidR="00166E81" w:rsidRDefault="00000000">
            <w:r>
              <w:rPr>
                <w:b/>
                <w:bCs/>
                <w:color w:val="1F3864"/>
                <w:sz w:val="20"/>
                <w:szCs w:val="20"/>
              </w:rPr>
              <w:t>Phase 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8338CC" w14:textId="77777777" w:rsidR="00166E81" w:rsidRDefault="00000000">
            <w:r>
              <w:rPr>
                <w:color w:val="404040"/>
                <w:sz w:val="20"/>
                <w:szCs w:val="20"/>
              </w:rPr>
              <w:t>Dashboard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26B903" w14:textId="77777777" w:rsidR="00166E81" w:rsidRDefault="00000000">
            <w:r>
              <w:rPr>
                <w:color w:val="404040"/>
                <w:sz w:val="20"/>
                <w:szCs w:val="20"/>
              </w:rPr>
              <w:t>Power BI monitoring dashboard (4 pages)</w:t>
            </w:r>
          </w:p>
        </w:tc>
      </w:tr>
      <w:tr w:rsidR="00166E81" w14:paraId="31FDA8A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1369A2" w14:textId="77777777" w:rsidR="00166E81" w:rsidRDefault="00000000">
            <w:r>
              <w:rPr>
                <w:b/>
                <w:bCs/>
                <w:color w:val="1F3864"/>
                <w:sz w:val="20"/>
                <w:szCs w:val="20"/>
              </w:rPr>
              <w:t>Phase 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C829BE" w14:textId="77777777" w:rsidR="00166E81" w:rsidRDefault="00000000">
            <w:r>
              <w:rPr>
                <w:color w:val="404040"/>
                <w:sz w:val="20"/>
                <w:szCs w:val="20"/>
              </w:rPr>
              <w:t>Recommendations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F63936" w14:textId="77777777" w:rsidR="00166E81" w:rsidRDefault="00000000">
            <w:r>
              <w:rPr>
                <w:color w:val="404040"/>
                <w:sz w:val="20"/>
                <w:szCs w:val="20"/>
              </w:rPr>
              <w:t>Board-ready executive summary and intervention roadmap</w:t>
            </w:r>
          </w:p>
        </w:tc>
      </w:tr>
    </w:tbl>
    <w:p w14:paraId="6B3B046C" w14:textId="77777777" w:rsidR="00166E81" w:rsidRDefault="00166E81">
      <w:pPr>
        <w:spacing w:before="360"/>
      </w:pPr>
    </w:p>
    <w:p w14:paraId="52259E91" w14:textId="77777777" w:rsidR="00166E81" w:rsidRDefault="00000000">
      <w:pPr>
        <w:pStyle w:val="Heading1"/>
        <w:pBdr>
          <w:bottom w:val="single" w:sz="6" w:space="6" w:color="2E75B6"/>
        </w:pBdr>
      </w:pPr>
      <w:r>
        <w:t>7. Data Requirements</w:t>
      </w:r>
    </w:p>
    <w:p w14:paraId="0840F9EB" w14:textId="77777777" w:rsidR="00166E81" w:rsidRDefault="00000000">
      <w:pPr>
        <w:spacing w:before="80" w:after="120"/>
      </w:pPr>
      <w:r>
        <w:rPr>
          <w:color w:val="404040"/>
        </w:rPr>
        <w:t xml:space="preserve">The following data will be required from the client People team and HRIS system to support delivery. All data should be provided in </w:t>
      </w:r>
      <w:proofErr w:type="spellStart"/>
      <w:r>
        <w:rPr>
          <w:color w:val="404040"/>
        </w:rPr>
        <w:t>anonymised</w:t>
      </w:r>
      <w:proofErr w:type="spellEnd"/>
      <w:r>
        <w:rPr>
          <w:color w:val="404040"/>
        </w:rPr>
        <w:t xml:space="preserve"> or </w:t>
      </w:r>
      <w:proofErr w:type="spellStart"/>
      <w:r>
        <w:rPr>
          <w:color w:val="404040"/>
        </w:rPr>
        <w:t>pseudonymised</w:t>
      </w:r>
      <w:proofErr w:type="spellEnd"/>
      <w:r>
        <w:rPr>
          <w:color w:val="404040"/>
        </w:rPr>
        <w:t xml:space="preserve"> form in line with UK GDPR obligations:</w:t>
      </w:r>
    </w:p>
    <w:p w14:paraId="3FC06CA9" w14:textId="77777777" w:rsidR="00166E81" w:rsidRDefault="00166E81">
      <w:pPr>
        <w:spacing w:before="80"/>
      </w:pPr>
    </w:p>
    <w:p w14:paraId="54156363" w14:textId="77777777" w:rsidR="00166E8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Employee master file including job role, department, job level, hire date, and departure date where applicable.</w:t>
      </w:r>
    </w:p>
    <w:p w14:paraId="5392BE8E" w14:textId="77777777" w:rsidR="00166E8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Compensation data including monthly income, salary band, and last salary review date.</w:t>
      </w:r>
    </w:p>
    <w:p w14:paraId="3FA53583" w14:textId="77777777" w:rsidR="00166E8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 xml:space="preserve">Performance and engagement data including most recent performance rating and job satisfaction scores </w:t>
      </w:r>
      <w:proofErr w:type="gramStart"/>
      <w:r>
        <w:rPr>
          <w:color w:val="404040"/>
        </w:rPr>
        <w:t>where</w:t>
      </w:r>
      <w:proofErr w:type="gramEnd"/>
      <w:r>
        <w:rPr>
          <w:color w:val="404040"/>
        </w:rPr>
        <w:t xml:space="preserve"> available.</w:t>
      </w:r>
    </w:p>
    <w:p w14:paraId="4002B9F5" w14:textId="77777777" w:rsidR="00166E8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Absence and overtime records for the 12-month engagement period.</w:t>
      </w:r>
    </w:p>
    <w:p w14:paraId="43A4BDE7" w14:textId="77777777" w:rsidR="00166E8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Promotion and role change history to enable calculation of time since last promotion.</w:t>
      </w:r>
    </w:p>
    <w:p w14:paraId="22160EDA" w14:textId="77777777" w:rsidR="00166E81" w:rsidRDefault="00166E81">
      <w:pPr>
        <w:spacing w:before="240"/>
      </w:pPr>
    </w:p>
    <w:p w14:paraId="4344830F" w14:textId="77777777" w:rsidR="00166E81" w:rsidRDefault="00000000">
      <w:pPr>
        <w:pStyle w:val="Heading1"/>
        <w:pBdr>
          <w:bottom w:val="single" w:sz="6" w:space="6" w:color="2E75B6"/>
        </w:pBdr>
      </w:pPr>
      <w:r>
        <w:t>8. Assumptions and Constraints</w:t>
      </w:r>
    </w:p>
    <w:p w14:paraId="3664A354" w14:textId="77777777" w:rsidR="00166E8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Replacement cost will be modelled at 0.5x annual salary for junior roles (Job Level 1 to 2) and 1.5x annual salary for senior and specialist roles (Job Level 3 and above), in line with industry standard CIPD benchmarks.</w:t>
      </w:r>
    </w:p>
    <w:p w14:paraId="4DDA8EED" w14:textId="77777777" w:rsidR="00166E8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The analysis will treat all departures within the engagement period as voluntary unless otherwise indicated in the dataset.</w:t>
      </w:r>
    </w:p>
    <w:p w14:paraId="54AA09E4" w14:textId="77777777" w:rsidR="00166E8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Where satisfaction or engagement scores are not available at the individual level, departmental averages from the most recent annual engagement survey will be used as a proxy.</w:t>
      </w:r>
    </w:p>
    <w:p w14:paraId="1A4A49F8" w14:textId="77777777" w:rsidR="00166E8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The predictive model will be trained on the historical employee dataset and validated using a held-out test set. Findings should be interpreted as indicative of risk rather than deterministic predictions.</w:t>
      </w:r>
    </w:p>
    <w:p w14:paraId="2F047647" w14:textId="77777777" w:rsidR="00166E81" w:rsidRDefault="00166E81">
      <w:pPr>
        <w:spacing w:before="240"/>
      </w:pPr>
    </w:p>
    <w:p w14:paraId="593A4AB2" w14:textId="77777777" w:rsidR="00166E81" w:rsidRDefault="00000000">
      <w:pPr>
        <w:pStyle w:val="Heading1"/>
        <w:pBdr>
          <w:bottom w:val="single" w:sz="6" w:space="6" w:color="2E75B6"/>
        </w:pBdr>
      </w:pPr>
      <w:r>
        <w:t>9. Governance and Sign-Off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166E81" w14:paraId="610EC7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5084C1" w14:textId="77777777" w:rsidR="00166E81" w:rsidRDefault="00000000">
            <w:r>
              <w:rPr>
                <w:b/>
                <w:bCs/>
                <w:color w:val="1F3864"/>
                <w:sz w:val="20"/>
                <w:szCs w:val="20"/>
              </w:rPr>
              <w:t>Client Sponsor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019DC8" w14:textId="77777777" w:rsidR="00166E81" w:rsidRDefault="00000000">
            <w:r>
              <w:rPr>
                <w:color w:val="404040"/>
                <w:sz w:val="20"/>
                <w:szCs w:val="20"/>
              </w:rPr>
              <w:t>Chief People Officer, Vertex Pharma UK Limited</w:t>
            </w:r>
          </w:p>
        </w:tc>
      </w:tr>
      <w:tr w:rsidR="00166E81" w14:paraId="57D1F8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192A91" w14:textId="77777777" w:rsidR="00166E81" w:rsidRDefault="00000000">
            <w:r>
              <w:rPr>
                <w:b/>
                <w:bCs/>
                <w:color w:val="1F3864"/>
                <w:sz w:val="20"/>
                <w:szCs w:val="20"/>
              </w:rPr>
              <w:t>Engagement Lead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82B120" w14:textId="77777777" w:rsidR="00166E81" w:rsidRDefault="00000000">
            <w:r>
              <w:rPr>
                <w:color w:val="404040"/>
                <w:sz w:val="20"/>
                <w:szCs w:val="20"/>
              </w:rPr>
              <w:t>Senior Manager, People Analytics</w:t>
            </w:r>
          </w:p>
        </w:tc>
      </w:tr>
      <w:tr w:rsidR="00166E81" w14:paraId="7970BF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2A0713" w14:textId="77777777" w:rsidR="00166E81" w:rsidRDefault="00000000">
            <w:r>
              <w:rPr>
                <w:b/>
                <w:bCs/>
                <w:color w:val="1F3864"/>
                <w:sz w:val="20"/>
                <w:szCs w:val="20"/>
              </w:rPr>
              <w:t>Review Cadence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5E3700" w14:textId="77777777" w:rsidR="00166E81" w:rsidRDefault="00000000">
            <w:r>
              <w:rPr>
                <w:color w:val="404040"/>
                <w:sz w:val="20"/>
                <w:szCs w:val="20"/>
              </w:rPr>
              <w:t>Bi-weekly progress update with CPO and HR Director</w:t>
            </w:r>
          </w:p>
        </w:tc>
      </w:tr>
      <w:tr w:rsidR="00166E81" w14:paraId="2A5351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6912E4" w14:textId="77777777" w:rsidR="00166E81" w:rsidRDefault="00000000">
            <w:r>
              <w:rPr>
                <w:b/>
                <w:bCs/>
                <w:color w:val="1F3864"/>
                <w:sz w:val="20"/>
                <w:szCs w:val="20"/>
              </w:rPr>
              <w:t>Final Presentation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06AE23" w14:textId="77777777" w:rsidR="00166E81" w:rsidRDefault="00000000">
            <w:r>
              <w:rPr>
                <w:color w:val="404040"/>
                <w:sz w:val="20"/>
                <w:szCs w:val="20"/>
              </w:rPr>
              <w:t>Board People Committee</w:t>
            </w:r>
          </w:p>
        </w:tc>
      </w:tr>
      <w:tr w:rsidR="00166E81" w14:paraId="2A233C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6C6A15" w14:textId="77777777" w:rsidR="00166E81" w:rsidRDefault="00000000">
            <w:r>
              <w:rPr>
                <w:b/>
                <w:bCs/>
                <w:color w:val="1F3864"/>
                <w:sz w:val="20"/>
                <w:szCs w:val="20"/>
              </w:rPr>
              <w:t>Confidentiality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2E9BFE" w14:textId="77777777" w:rsidR="00166E81" w:rsidRDefault="00000000">
            <w:r>
              <w:rPr>
                <w:color w:val="404040"/>
                <w:sz w:val="20"/>
                <w:szCs w:val="20"/>
              </w:rPr>
              <w:t>All outputs classified as Confidential. Not for external distribution.</w:t>
            </w:r>
          </w:p>
        </w:tc>
      </w:tr>
    </w:tbl>
    <w:p w14:paraId="24D43964" w14:textId="77777777" w:rsidR="00166E81" w:rsidRDefault="00166E81">
      <w:pPr>
        <w:spacing w:before="480"/>
      </w:pPr>
    </w:p>
    <w:p w14:paraId="7CAA6AB8" w14:textId="77777777" w:rsidR="00166E81" w:rsidRDefault="00166E81">
      <w:pPr>
        <w:pBdr>
          <w:top w:val="single" w:sz="4" w:space="6" w:color="8FAADC"/>
        </w:pBdr>
        <w:spacing w:after="60"/>
      </w:pPr>
    </w:p>
    <w:p w14:paraId="30CD1A4B" w14:textId="77777777" w:rsidR="00166E81" w:rsidRDefault="00000000">
      <w:pPr>
        <w:spacing w:before="80" w:after="40"/>
      </w:pPr>
      <w:r>
        <w:rPr>
          <w:i/>
          <w:iCs/>
          <w:color w:val="7F7F7F"/>
          <w:sz w:val="16"/>
          <w:szCs w:val="16"/>
        </w:rPr>
        <w:t>This document has been prepared solely for the use of Vertex Pharma UK Limited in connection with the above-referenced engagement. It should not be relied upon by any third party or used for any other purpose.</w:t>
      </w:r>
    </w:p>
    <w:p w14:paraId="4776760E" w14:textId="77777777" w:rsidR="00166E81" w:rsidRDefault="00000000">
      <w:pPr>
        <w:spacing w:before="40"/>
      </w:pPr>
      <w:r>
        <w:rPr>
          <w:i/>
          <w:iCs/>
          <w:color w:val="7F7F7F"/>
          <w:sz w:val="16"/>
          <w:szCs w:val="16"/>
        </w:rPr>
        <w:t xml:space="preserve">Vertex Pharma UK Limited is a fictional </w:t>
      </w:r>
      <w:proofErr w:type="spellStart"/>
      <w:r>
        <w:rPr>
          <w:i/>
          <w:iCs/>
          <w:color w:val="7F7F7F"/>
          <w:sz w:val="16"/>
          <w:szCs w:val="16"/>
        </w:rPr>
        <w:t>organisation</w:t>
      </w:r>
      <w:proofErr w:type="spellEnd"/>
      <w:r>
        <w:rPr>
          <w:i/>
          <w:iCs/>
          <w:color w:val="7F7F7F"/>
          <w:sz w:val="16"/>
          <w:szCs w:val="16"/>
        </w:rPr>
        <w:t xml:space="preserve"> created for portfolio and analytical purposes. All data referenced is synthetic.</w:t>
      </w:r>
    </w:p>
    <w:sectPr w:rsidR="00166E81"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D2715"/>
    <w:multiLevelType w:val="hybridMultilevel"/>
    <w:tmpl w:val="EECEDACE"/>
    <w:lvl w:ilvl="0" w:tplc="C2000604">
      <w:start w:val="1"/>
      <w:numFmt w:val="bullet"/>
      <w:lvlText w:val="•"/>
      <w:lvlJc w:val="left"/>
      <w:pPr>
        <w:ind w:left="720" w:hanging="360"/>
      </w:pPr>
    </w:lvl>
    <w:lvl w:ilvl="1" w:tplc="3B18874E">
      <w:numFmt w:val="decimal"/>
      <w:lvlText w:val=""/>
      <w:lvlJc w:val="left"/>
    </w:lvl>
    <w:lvl w:ilvl="2" w:tplc="5E58C8BC">
      <w:numFmt w:val="decimal"/>
      <w:lvlText w:val=""/>
      <w:lvlJc w:val="left"/>
    </w:lvl>
    <w:lvl w:ilvl="3" w:tplc="73C25D5E">
      <w:numFmt w:val="decimal"/>
      <w:lvlText w:val=""/>
      <w:lvlJc w:val="left"/>
    </w:lvl>
    <w:lvl w:ilvl="4" w:tplc="7C0C7CEC">
      <w:numFmt w:val="decimal"/>
      <w:lvlText w:val=""/>
      <w:lvlJc w:val="left"/>
    </w:lvl>
    <w:lvl w:ilvl="5" w:tplc="117E84CC">
      <w:numFmt w:val="decimal"/>
      <w:lvlText w:val=""/>
      <w:lvlJc w:val="left"/>
    </w:lvl>
    <w:lvl w:ilvl="6" w:tplc="140C8CE6">
      <w:numFmt w:val="decimal"/>
      <w:lvlText w:val=""/>
      <w:lvlJc w:val="left"/>
    </w:lvl>
    <w:lvl w:ilvl="7" w:tplc="E2DEED84">
      <w:numFmt w:val="decimal"/>
      <w:lvlText w:val=""/>
      <w:lvlJc w:val="left"/>
    </w:lvl>
    <w:lvl w:ilvl="8" w:tplc="9B6CEDF8">
      <w:numFmt w:val="decimal"/>
      <w:lvlText w:val=""/>
      <w:lvlJc w:val="left"/>
    </w:lvl>
  </w:abstractNum>
  <w:abstractNum w:abstractNumId="1" w15:restartNumberingAfterBreak="0">
    <w:nsid w:val="5B951EBF"/>
    <w:multiLevelType w:val="hybridMultilevel"/>
    <w:tmpl w:val="548858B4"/>
    <w:lvl w:ilvl="0" w:tplc="4E6289B0">
      <w:start w:val="1"/>
      <w:numFmt w:val="bullet"/>
      <w:lvlText w:val="●"/>
      <w:lvlJc w:val="left"/>
      <w:pPr>
        <w:ind w:left="720" w:hanging="360"/>
      </w:pPr>
    </w:lvl>
    <w:lvl w:ilvl="1" w:tplc="CC7C2E28">
      <w:start w:val="1"/>
      <w:numFmt w:val="bullet"/>
      <w:lvlText w:val="○"/>
      <w:lvlJc w:val="left"/>
      <w:pPr>
        <w:ind w:left="1440" w:hanging="360"/>
      </w:pPr>
    </w:lvl>
    <w:lvl w:ilvl="2" w:tplc="FAEE0CB0">
      <w:start w:val="1"/>
      <w:numFmt w:val="bullet"/>
      <w:lvlText w:val="■"/>
      <w:lvlJc w:val="left"/>
      <w:pPr>
        <w:ind w:left="2160" w:hanging="360"/>
      </w:pPr>
    </w:lvl>
    <w:lvl w:ilvl="3" w:tplc="07D835DE">
      <w:start w:val="1"/>
      <w:numFmt w:val="bullet"/>
      <w:lvlText w:val="●"/>
      <w:lvlJc w:val="left"/>
      <w:pPr>
        <w:ind w:left="2880" w:hanging="360"/>
      </w:pPr>
    </w:lvl>
    <w:lvl w:ilvl="4" w:tplc="EA6A634A">
      <w:start w:val="1"/>
      <w:numFmt w:val="bullet"/>
      <w:lvlText w:val="○"/>
      <w:lvlJc w:val="left"/>
      <w:pPr>
        <w:ind w:left="3600" w:hanging="360"/>
      </w:pPr>
    </w:lvl>
    <w:lvl w:ilvl="5" w:tplc="98F8DCA2">
      <w:start w:val="1"/>
      <w:numFmt w:val="bullet"/>
      <w:lvlText w:val="■"/>
      <w:lvlJc w:val="left"/>
      <w:pPr>
        <w:ind w:left="4320" w:hanging="360"/>
      </w:pPr>
    </w:lvl>
    <w:lvl w:ilvl="6" w:tplc="EB12C1C0">
      <w:start w:val="1"/>
      <w:numFmt w:val="bullet"/>
      <w:lvlText w:val="●"/>
      <w:lvlJc w:val="left"/>
      <w:pPr>
        <w:ind w:left="5040" w:hanging="360"/>
      </w:pPr>
    </w:lvl>
    <w:lvl w:ilvl="7" w:tplc="722A1556">
      <w:start w:val="1"/>
      <w:numFmt w:val="bullet"/>
      <w:lvlText w:val="●"/>
      <w:lvlJc w:val="left"/>
      <w:pPr>
        <w:ind w:left="5760" w:hanging="360"/>
      </w:pPr>
    </w:lvl>
    <w:lvl w:ilvl="8" w:tplc="FAC88830">
      <w:start w:val="1"/>
      <w:numFmt w:val="bullet"/>
      <w:lvlText w:val="●"/>
      <w:lvlJc w:val="left"/>
      <w:pPr>
        <w:ind w:left="6480" w:hanging="360"/>
      </w:pPr>
    </w:lvl>
  </w:abstractNum>
  <w:num w:numId="1" w16cid:durableId="28530950">
    <w:abstractNumId w:val="1"/>
    <w:lvlOverride w:ilvl="0">
      <w:startOverride w:val="1"/>
    </w:lvlOverride>
  </w:num>
  <w:num w:numId="2" w16cid:durableId="20666361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E81"/>
    <w:rsid w:val="00166E81"/>
    <w:rsid w:val="002304E4"/>
    <w:rsid w:val="00C51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C63EF"/>
  <w15:docId w15:val="{DF8F9BB6-3830-452B-9612-942A200CE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1169</Words>
  <Characters>6669</Characters>
  <Application>Microsoft Office Word</Application>
  <DocSecurity>0</DocSecurity>
  <Lines>55</Lines>
  <Paragraphs>15</Paragraphs>
  <ScaleCrop>false</ScaleCrop>
  <Company/>
  <LinksUpToDate>false</LinksUpToDate>
  <CharactersWithSpaces>7823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Kehinde Fakeye</cp:lastModifiedBy>
  <cp:revision>2</cp:revision>
  <dcterms:created xsi:type="dcterms:W3CDTF">2026-06-19T18:10:00Z</dcterms:created>
  <dcterms:modified xsi:type="dcterms:W3CDTF">2026-06-26T22:33:00Z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818d6ef8-0eed-4bdb-a4e9-cc613d973019</vt:lpwstr>
  </property>
</Properties>
</file>