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108960" cy="88087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komuna_logo_placehold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08960" cy="88087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51560" cy="10515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oc_icon_09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051560" cy="1051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7324D"/>
          <w:sz w:val="48"/>
        </w:rPr>
        <w:t>MVP Technical Architecture</w:t>
      </w:r>
    </w:p>
    <w:p>
      <w:pPr>
        <w:jc w:val="center"/>
      </w:pPr>
      <w:r>
        <w:rPr>
          <w:color w:val="637083"/>
          <w:sz w:val="25"/>
        </w:rPr>
        <w:t>Arsitektur Teknis MVP KomunaID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Nama PT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PT Komuna Digital Indonesia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Brand Utama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Platform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Komuna.id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Layanan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Komuna Studio, Komuna Activation, Komuna Partner, Komuna Space, Komuna Insight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Dokumen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KOM-MVP-09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Versi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Draft v1.0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Tanggal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05 Juli 2026</w:t>
            </w:r>
          </w:p>
        </w:tc>
      </w:tr>
      <w:tr>
        <w:tc>
          <w:tcPr>
            <w:tcW w:type="dxa" w:w="7041"/>
            <w:shd w:fill="17324D"/>
          </w:tcPr>
          <w:p>
            <w:pPr>
              <w:spacing w:after="0"/>
            </w:pPr>
            <w:r/>
            <w:r>
              <w:rPr>
                <w:b/>
                <w:color w:val="FFFFFF"/>
                <w:sz w:val="18"/>
              </w:rPr>
              <w:t>Status</w:t>
            </w:r>
          </w:p>
        </w:tc>
        <w:tc>
          <w:tcPr>
            <w:tcW w:type="dxa" w:w="7041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Dokumentasi MVP - untuk validasi internal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hAnsi="Arial"/>
          <w:color w:val="17324D"/>
        </w:rPr>
        <w:t>1. Ringkasan Dokumen</w:t>
      </w:r>
    </w:p>
    <w:p>
      <w:pPr>
        <w:spacing w:after="120" w:line="259" w:lineRule="auto"/>
      </w:pPr>
      <w:r>
        <w:t>Dokumen ini menjelaskan arsitektur teknis MVP KomunaID sebagai acuan pengembangan frontend, backend, database MySQL, keamanan akses, penyimpanan file, dan observability.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082"/>
      </w:tblGrid>
      <w:tr>
        <w:tc>
          <w:tcPr>
            <w:tcW w:type="dxa" w:w="14082"/>
            <w:shd w:fill="F4F8FA"/>
          </w:tcPr>
          <w:p>
            <w:pPr>
              <w:spacing w:after="40"/>
            </w:pPr>
            <w:r>
              <w:rPr>
                <w:b/>
                <w:color w:val="16A3A6"/>
                <w:sz w:val="20"/>
              </w:rPr>
              <w:t>Prinsip MVP</w:t>
            </w:r>
            <w:r>
              <w:br/>
              <w:t>MVP KomunaID difokuskan pada validasi ekosistem inti: individu menemukan komunitas/kegiatan, komunitas mengelola profil dan event, serta admin menjaga kualitas, keamanan, dan data dasar platform.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2. Konteks Produk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16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8064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Keterangan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Masalah inti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Informasi komunitas, kegiatan, brand partner, dan venue masih tersebar sehingga discovery, validasi, dan kolaborasi tidak efisien.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Target pengguna awal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Individual/Member, Community Owner/Admin, Organization Owner/Admin, Partner Admin/Sponsor Representative, Super Admin/Platform Admin.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Nilai utama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Satu platform untuk menemukan komunitas dan kegiatan yang relevan, aktif, terpercaya, dan mudah diakses.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Batasan MVP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Fokus pada discovery, profil, event, membership, proposal kolaborasi dasar, moderasi, dan analytics awal. Fitur pembayaran, marketplace kompleks, dan mobile native masuk fase lanjutan.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3. Output yang Dihasilkan</w:t>
      </w:r>
    </w:p>
    <w:p>
      <w:pPr>
        <w:pStyle w:val="ListBullet"/>
        <w:spacing w:after="40"/>
      </w:pPr>
      <w:r>
        <w:t>Diagram arsitektur</w:t>
      </w:r>
    </w:p>
    <w:p>
      <w:pPr>
        <w:pStyle w:val="ListBullet"/>
        <w:spacing w:after="40"/>
      </w:pPr>
      <w:r>
        <w:t>Komponen sistem</w:t>
      </w:r>
    </w:p>
    <w:p>
      <w:pPr>
        <w:pStyle w:val="ListBullet"/>
        <w:spacing w:after="40"/>
      </w:pPr>
      <w:r>
        <w:t>Alur data inti</w:t>
      </w:r>
    </w:p>
    <w:p>
      <w:pPr>
        <w:pStyle w:val="ListBullet"/>
        <w:spacing w:after="40"/>
      </w:pPr>
      <w:r>
        <w:t>Security &amp; performance notes</w:t>
      </w:r>
    </w:p>
    <w:p>
      <w:pPr>
        <w:pStyle w:val="Heading1"/>
      </w:pPr>
      <w:r>
        <w:rPr>
          <w:rFonts w:ascii="Arial" w:hAnsi="Arial"/>
          <w:color w:val="17324D"/>
        </w:rPr>
        <w:t>4. Architecture Diagram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321040" cy="49926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chitecture_diagram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8321040" cy="49926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rFonts w:ascii="Arial" w:hAnsi="Arial"/>
          <w:color w:val="17324D"/>
        </w:rPr>
        <w:t>5. Komponen Utama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31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Komponen</w:t>
            </w:r>
          </w:p>
        </w:tc>
        <w:tc>
          <w:tcPr>
            <w:tcW w:type="dxa" w:w="10368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Tanggung Jawab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Web Client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UI member, community, organization, partner, dan admin.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API Layer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Validasi request, business logic, RBAC, response API.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Auth &amp; Access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Session, password, role, permission, route guard.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Core Services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Discovery, community management, event registration, collaboration request.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MySQL Database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Relational data, constraints, indexing, audit log.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Storage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Logo/avatar/banner dan asset publik dengan validasi file.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Jobs/Notification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Proses notifikasi, reminder, cleanup, dan aktivitas async sederhana.</w:t>
            </w:r>
          </w:p>
        </w:tc>
      </w:tr>
      <w:tr>
        <w:tc>
          <w:tcPr>
            <w:tcW w:type="dxa" w:w="31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Observability</w:t>
            </w:r>
          </w:p>
        </w:tc>
        <w:tc>
          <w:tcPr>
            <w:tcW w:type="dxa" w:w="10368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 aplikasi, error tracking, metric performa, audit trail.</w:t>
            </w:r>
          </w:p>
        </w:tc>
      </w:tr>
    </w:tbl>
    <w:p/>
    <w:p>
      <w:pPr>
        <w:pStyle w:val="Heading1"/>
      </w:pPr>
      <w:r>
        <w:rPr>
          <w:rFonts w:ascii="Arial" w:hAnsi="Arial"/>
          <w:color w:val="17324D"/>
        </w:rPr>
        <w:t>6. Alur Data Inti</w:t>
      </w:r>
    </w:p>
    <w:p>
      <w:pPr>
        <w:pStyle w:val="ListNumber"/>
        <w:spacing w:after="40"/>
      </w:pPr>
      <w:r>
        <w:t>User melakukan request dari web client.</w:t>
      </w:r>
    </w:p>
    <w:p>
      <w:pPr>
        <w:pStyle w:val="ListNumber"/>
        <w:spacing w:after="40"/>
      </w:pPr>
      <w:r>
        <w:t>API memvalidasi session, role, dan input.</w:t>
      </w:r>
    </w:p>
    <w:p>
      <w:pPr>
        <w:pStyle w:val="ListNumber"/>
        <w:spacing w:after="40"/>
      </w:pPr>
      <w:r>
        <w:t>Service layer menjalankan business rules.</w:t>
      </w:r>
    </w:p>
    <w:p>
      <w:pPr>
        <w:pStyle w:val="ListNumber"/>
        <w:spacing w:after="40"/>
      </w:pPr>
      <w:r>
        <w:t>Data disimpan/diambil dari MySQL melalui repository/ORM.</w:t>
      </w:r>
    </w:p>
    <w:p>
      <w:pPr>
        <w:pStyle w:val="ListNumber"/>
        <w:spacing w:after="40"/>
      </w:pPr>
      <w:r>
        <w:t>Action penting dicatat ke audit_logs.</w:t>
      </w:r>
    </w:p>
    <w:p>
      <w:pPr>
        <w:pStyle w:val="ListNumber"/>
        <w:spacing w:after="40"/>
      </w:pPr>
      <w:r>
        <w:t>Sistem membuat notifikasi bila status berubah.</w:t>
      </w:r>
    </w:p>
    <w:p>
      <w:pPr>
        <w:pStyle w:val="ListNumber"/>
        <w:spacing w:after="40"/>
      </w:pPr>
      <w:r>
        <w:t>Response dikirim ke UI dengan status sukses/error yang jelas.</w:t>
      </w:r>
    </w:p>
    <w:p>
      <w:pPr>
        <w:pStyle w:val="Heading1"/>
      </w:pPr>
      <w:r>
        <w:rPr>
          <w:rFonts w:ascii="Arial" w:hAnsi="Arial"/>
          <w:color w:val="17324D"/>
        </w:rPr>
        <w:t>7. Security &amp; Performance Baseline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041"/>
        <w:gridCol w:w="7041"/>
      </w:tblGrid>
      <w:tr>
        <w:trPr>
          <w:tblHeader w:val="true"/>
        </w:trPr>
        <w:tc>
          <w:tcPr>
            <w:tcW w:type="dxa" w:w="288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Area</w:t>
            </w:r>
          </w:p>
        </w:tc>
        <w:tc>
          <w:tcPr>
            <w:tcW w:type="dxa" w:w="10800"/>
            <w:shd w:fill="17324D"/>
            <w:vAlign w:val="center"/>
          </w:tcPr>
          <w:p>
            <w:pPr>
              <w:spacing w:after="0"/>
            </w:pPr>
            <w:r/>
            <w:r>
              <w:rPr>
                <w:b/>
                <w:color w:val="FFFFFF"/>
                <w:sz w:val="17"/>
              </w:rPr>
              <w:t>Baseline MVP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RBAC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Middleware per route dan permission check pada action penting.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Input Validation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Validasi server-side wajib, frontend hanya lapisan tambahan.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Database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Index untuk slug, status, category, city, start_at, foreign key.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Pagination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Directory, admin queue, event list, audit log wajib pagination.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File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MIME/type validation, size limit, random filename, non-public path bila sensitif.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Monitoring</w:t>
            </w:r>
          </w:p>
        </w:tc>
        <w:tc>
          <w:tcPr>
            <w:tcW w:type="dxa" w:w="10800"/>
            <w:vAlign w:val="top"/>
          </w:tcPr>
          <w:p>
            <w:pPr>
              <w:spacing w:after="0"/>
            </w:pPr>
            <w:r/>
            <w:r>
              <w:rPr>
                <w:b w:val="0"/>
                <w:sz w:val="17"/>
              </w:rPr>
              <w:t>Log error, slow query review, audit admin action.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5840" w:h="12240" w:orient="landscape"/>
      <w:pgMar w:top="879" w:right="879" w:bottom="822" w:left="8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37083"/>
        <w:sz w:val="16"/>
      </w:rPr>
      <w:t>PT Komuna Digital Indonesia - KomunaID MVP Documentation - Draft v1.0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508760" cy="42748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komuna_logo_placeholder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08760" cy="427482"/>
                  </a:xfrm>
                  <a:prstGeom prst="rect"/>
                </pic:spPr>
              </pic:pic>
            </a:graphicData>
          </a:graphic>
        </wp:inline>
      </w:drawing>
    </w:r>
    <w:r>
      <w:rPr>
        <w:color w:val="637083"/>
        <w:sz w:val="16"/>
      </w:rPr>
      <w:t xml:space="preserve">   KOM-MVP-09 | MVP Technical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7324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6A3A6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637083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Arial" w:hAnsi="Arial" w:eastAsia="Arial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