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108960" cy="880872"/>
            <wp:docPr id="1" name="Picture 1"/>
            <wp:cNvGraphicFramePr>
              <a:graphicFrameLocks noChangeAspect="1"/>
            </wp:cNvGraphicFramePr>
            <a:graphic>
              <a:graphicData uri="http://schemas.openxmlformats.org/drawingml/2006/picture">
                <pic:pic>
                  <pic:nvPicPr>
                    <pic:cNvPr id="0" name="komuna_logo_placeholder.png"/>
                    <pic:cNvPicPr/>
                  </pic:nvPicPr>
                  <pic:blipFill>
                    <a:blip r:embed="rId11"/>
                    <a:stretch>
                      <a:fillRect/>
                    </a:stretch>
                  </pic:blipFill>
                  <pic:spPr>
                    <a:xfrm>
                      <a:off x="0" y="0"/>
                      <a:ext cx="3108960" cy="880872"/>
                    </a:xfrm>
                    <a:prstGeom prst="rect"/>
                  </pic:spPr>
                </pic:pic>
              </a:graphicData>
            </a:graphic>
          </wp:inline>
        </w:drawing>
      </w:r>
    </w:p>
    <w:p/>
    <w:p>
      <w:pPr>
        <w:jc w:val="center"/>
      </w:pPr>
      <w:r>
        <w:drawing>
          <wp:inline xmlns:a="http://schemas.openxmlformats.org/drawingml/2006/main" xmlns:pic="http://schemas.openxmlformats.org/drawingml/2006/picture">
            <wp:extent cx="1051560" cy="1051560"/>
            <wp:docPr id="2" name="Picture 2"/>
            <wp:cNvGraphicFramePr>
              <a:graphicFrameLocks noChangeAspect="1"/>
            </wp:cNvGraphicFramePr>
            <a:graphic>
              <a:graphicData uri="http://schemas.openxmlformats.org/drawingml/2006/picture">
                <pic:pic>
                  <pic:nvPicPr>
                    <pic:cNvPr id="0" name="doc_icon_10.png"/>
                    <pic:cNvPicPr/>
                  </pic:nvPicPr>
                  <pic:blipFill>
                    <a:blip r:embed="rId12"/>
                    <a:stretch>
                      <a:fillRect/>
                    </a:stretch>
                  </pic:blipFill>
                  <pic:spPr>
                    <a:xfrm>
                      <a:off x="0" y="0"/>
                      <a:ext cx="1051560" cy="1051560"/>
                    </a:xfrm>
                    <a:prstGeom prst="rect"/>
                  </pic:spPr>
                </pic:pic>
              </a:graphicData>
            </a:graphic>
          </wp:inline>
        </w:drawing>
      </w:r>
    </w:p>
    <w:p>
      <w:pPr>
        <w:jc w:val="center"/>
      </w:pPr>
      <w:r>
        <w:rPr>
          <w:b/>
          <w:color w:val="17324D"/>
          <w:sz w:val="48"/>
        </w:rPr>
        <w:t>Tech Stack Document</w:t>
      </w:r>
    </w:p>
    <w:p>
      <w:pPr>
        <w:jc w:val="center"/>
      </w:pPr>
      <w:r>
        <w:rPr>
          <w:color w:val="637083"/>
          <w:sz w:val="25"/>
        </w:rPr>
        <w:t>Rekomendasi Stack MVP KomunaID</w:t>
      </w:r>
    </w:p>
    <w:tbl>
      <w:tblPr>
        <w:tblStyle w:val="TableGrid"/>
        <w:tblW w:type="auto" w:w="0"/>
        <w:jc w:val="center"/>
        <w:tblLook w:firstColumn="1" w:firstRow="1" w:lastColumn="0" w:lastRow="0" w:noHBand="0" w:noVBand="1" w:val="04A0"/>
      </w:tblPr>
      <w:tblGrid>
        <w:gridCol w:w="5241"/>
        <w:gridCol w:w="5241"/>
      </w:tblGrid>
      <w:tr>
        <w:tc>
          <w:tcPr>
            <w:tcW w:type="dxa" w:w="5241"/>
            <w:shd w:fill="17324D"/>
          </w:tcPr>
          <w:p>
            <w:pPr>
              <w:spacing w:after="0"/>
            </w:pPr>
            <w:r/>
            <w:r>
              <w:rPr>
                <w:b/>
                <w:color w:val="FFFFFF"/>
                <w:sz w:val="18"/>
              </w:rPr>
              <w:t>Nama PT</w:t>
            </w:r>
          </w:p>
        </w:tc>
        <w:tc>
          <w:tcPr>
            <w:tcW w:type="dxa" w:w="5241"/>
          </w:tcPr>
          <w:p>
            <w:pPr>
              <w:spacing w:after="0"/>
            </w:pPr>
            <w:r/>
            <w:r>
              <w:rPr>
                <w:b w:val="0"/>
                <w:sz w:val="18"/>
              </w:rPr>
              <w:t>PT Komuna Digital Indonesia</w:t>
            </w:r>
          </w:p>
        </w:tc>
      </w:tr>
      <w:tr>
        <w:tc>
          <w:tcPr>
            <w:tcW w:type="dxa" w:w="5241"/>
            <w:shd w:fill="17324D"/>
          </w:tcPr>
          <w:p>
            <w:pPr>
              <w:spacing w:after="0"/>
            </w:pPr>
            <w:r/>
            <w:r>
              <w:rPr>
                <w:b/>
                <w:color w:val="FFFFFF"/>
                <w:sz w:val="18"/>
              </w:rPr>
              <w:t>Brand Utama</w:t>
            </w:r>
          </w:p>
        </w:tc>
        <w:tc>
          <w:tcPr>
            <w:tcW w:type="dxa" w:w="5241"/>
          </w:tcPr>
          <w:p>
            <w:pPr>
              <w:spacing w:after="0"/>
            </w:pPr>
            <w:r/>
            <w:r>
              <w:rPr>
                <w:b w:val="0"/>
                <w:sz w:val="18"/>
              </w:rPr>
              <w:t>KomunaID</w:t>
            </w:r>
          </w:p>
        </w:tc>
      </w:tr>
      <w:tr>
        <w:tc>
          <w:tcPr>
            <w:tcW w:type="dxa" w:w="5241"/>
            <w:shd w:fill="17324D"/>
          </w:tcPr>
          <w:p>
            <w:pPr>
              <w:spacing w:after="0"/>
            </w:pPr>
            <w:r/>
            <w:r>
              <w:rPr>
                <w:b/>
                <w:color w:val="FFFFFF"/>
                <w:sz w:val="18"/>
              </w:rPr>
              <w:t>Platform</w:t>
            </w:r>
          </w:p>
        </w:tc>
        <w:tc>
          <w:tcPr>
            <w:tcW w:type="dxa" w:w="5241"/>
          </w:tcPr>
          <w:p>
            <w:pPr>
              <w:spacing w:after="0"/>
            </w:pPr>
            <w:r/>
            <w:r>
              <w:rPr>
                <w:b w:val="0"/>
                <w:sz w:val="18"/>
              </w:rPr>
              <w:t>Komuna.id</w:t>
            </w:r>
          </w:p>
        </w:tc>
      </w:tr>
      <w:tr>
        <w:tc>
          <w:tcPr>
            <w:tcW w:type="dxa" w:w="5241"/>
            <w:shd w:fill="17324D"/>
          </w:tcPr>
          <w:p>
            <w:pPr>
              <w:spacing w:after="0"/>
            </w:pPr>
            <w:r/>
            <w:r>
              <w:rPr>
                <w:b/>
                <w:color w:val="FFFFFF"/>
                <w:sz w:val="18"/>
              </w:rPr>
              <w:t>Layanan</w:t>
            </w:r>
          </w:p>
        </w:tc>
        <w:tc>
          <w:tcPr>
            <w:tcW w:type="dxa" w:w="5241"/>
          </w:tcPr>
          <w:p>
            <w:pPr>
              <w:spacing w:after="0"/>
            </w:pPr>
            <w:r/>
            <w:r>
              <w:rPr>
                <w:b w:val="0"/>
                <w:sz w:val="18"/>
              </w:rPr>
              <w:t>Komuna Studio, Komuna Activation, Komuna Partner, Komuna Space, Komuna Insight</w:t>
            </w:r>
          </w:p>
        </w:tc>
      </w:tr>
      <w:tr>
        <w:tc>
          <w:tcPr>
            <w:tcW w:type="dxa" w:w="5241"/>
            <w:shd w:fill="17324D"/>
          </w:tcPr>
          <w:p>
            <w:pPr>
              <w:spacing w:after="0"/>
            </w:pPr>
            <w:r/>
            <w:r>
              <w:rPr>
                <w:b/>
                <w:color w:val="FFFFFF"/>
                <w:sz w:val="18"/>
              </w:rPr>
              <w:t>Dokumen</w:t>
            </w:r>
          </w:p>
        </w:tc>
        <w:tc>
          <w:tcPr>
            <w:tcW w:type="dxa" w:w="5241"/>
          </w:tcPr>
          <w:p>
            <w:pPr>
              <w:spacing w:after="0"/>
            </w:pPr>
            <w:r/>
            <w:r>
              <w:rPr>
                <w:b w:val="0"/>
                <w:sz w:val="18"/>
              </w:rPr>
              <w:t>KOM-MVP-10</w:t>
            </w:r>
          </w:p>
        </w:tc>
      </w:tr>
      <w:tr>
        <w:tc>
          <w:tcPr>
            <w:tcW w:type="dxa" w:w="5241"/>
            <w:shd w:fill="17324D"/>
          </w:tcPr>
          <w:p>
            <w:pPr>
              <w:spacing w:after="0"/>
            </w:pPr>
            <w:r/>
            <w:r>
              <w:rPr>
                <w:b/>
                <w:color w:val="FFFFFF"/>
                <w:sz w:val="18"/>
              </w:rPr>
              <w:t>Versi</w:t>
            </w:r>
          </w:p>
        </w:tc>
        <w:tc>
          <w:tcPr>
            <w:tcW w:type="dxa" w:w="5241"/>
          </w:tcPr>
          <w:p>
            <w:pPr>
              <w:spacing w:after="0"/>
            </w:pPr>
            <w:r/>
            <w:r>
              <w:rPr>
                <w:b w:val="0"/>
                <w:sz w:val="18"/>
              </w:rPr>
              <w:t>Draft v1.0</w:t>
            </w:r>
          </w:p>
        </w:tc>
      </w:tr>
      <w:tr>
        <w:tc>
          <w:tcPr>
            <w:tcW w:type="dxa" w:w="5241"/>
            <w:shd w:fill="17324D"/>
          </w:tcPr>
          <w:p>
            <w:pPr>
              <w:spacing w:after="0"/>
            </w:pPr>
            <w:r/>
            <w:r>
              <w:rPr>
                <w:b/>
                <w:color w:val="FFFFFF"/>
                <w:sz w:val="18"/>
              </w:rPr>
              <w:t>Tanggal</w:t>
            </w:r>
          </w:p>
        </w:tc>
        <w:tc>
          <w:tcPr>
            <w:tcW w:type="dxa" w:w="5241"/>
          </w:tcPr>
          <w:p>
            <w:pPr>
              <w:spacing w:after="0"/>
            </w:pPr>
            <w:r/>
            <w:r>
              <w:rPr>
                <w:b w:val="0"/>
                <w:sz w:val="18"/>
              </w:rPr>
              <w:t>05 Juli 2026</w:t>
            </w:r>
          </w:p>
        </w:tc>
      </w:tr>
      <w:tr>
        <w:tc>
          <w:tcPr>
            <w:tcW w:type="dxa" w:w="5241"/>
            <w:shd w:fill="17324D"/>
          </w:tcPr>
          <w:p>
            <w:pPr>
              <w:spacing w:after="0"/>
            </w:pPr>
            <w:r/>
            <w:r>
              <w:rPr>
                <w:b/>
                <w:color w:val="FFFFFF"/>
                <w:sz w:val="18"/>
              </w:rPr>
              <w:t>Status</w:t>
            </w:r>
          </w:p>
        </w:tc>
        <w:tc>
          <w:tcPr>
            <w:tcW w:type="dxa" w:w="5241"/>
          </w:tcPr>
          <w:p>
            <w:pPr>
              <w:spacing w:after="0"/>
            </w:pPr>
            <w:r/>
            <w:r>
              <w:rPr>
                <w:b w:val="0"/>
                <w:sz w:val="18"/>
              </w:rPr>
              <w:t>Dokumentasi MVP - untuk validasi internal</w:t>
            </w:r>
          </w:p>
        </w:tc>
      </w:tr>
    </w:tbl>
    <w:p>
      <w:r>
        <w:br w:type="page"/>
      </w:r>
    </w:p>
    <w:p>
      <w:pPr>
        <w:pStyle w:val="Heading1"/>
      </w:pPr>
      <w:r>
        <w:rPr>
          <w:rFonts w:ascii="Arial" w:hAnsi="Arial"/>
          <w:color w:val="17324D"/>
        </w:rPr>
        <w:t>1. Ringkasan Dokumen</w:t>
      </w:r>
    </w:p>
    <w:p>
      <w:pPr>
        <w:spacing w:after="120" w:line="259" w:lineRule="auto"/>
      </w:pPr>
      <w:r>
        <w:t>Dokumen ini menetapkan pilihan stack teknis MVP KomunaID dengan fokus pada kecepatan pengembangan, maintainability, kompatibilitas MySQL, dan kesiapan scaling awal.</w:t>
      </w:r>
    </w:p>
    <w:tbl>
      <w:tblPr>
        <w:tblStyle w:val="TableGrid"/>
        <w:tblW w:type="auto" w:w="0"/>
        <w:tblLook w:firstColumn="1" w:firstRow="1" w:lastColumn="0" w:lastRow="0" w:noHBand="0" w:noVBand="1" w:val="04A0"/>
      </w:tblPr>
      <w:tblGrid>
        <w:gridCol w:w="10482"/>
      </w:tblGrid>
      <w:tr>
        <w:tc>
          <w:tcPr>
            <w:tcW w:type="dxa" w:w="10482"/>
            <w:shd w:fill="F4F8FA"/>
          </w:tcPr>
          <w:p>
            <w:pPr>
              <w:spacing w:after="40"/>
            </w:pPr>
            <w:r>
              <w:rPr>
                <w:b/>
                <w:color w:val="16A3A6"/>
                <w:sz w:val="20"/>
              </w:rPr>
              <w:t>Prinsip MVP</w:t>
            </w:r>
            <w:r>
              <w:br/>
              <w:t>MVP KomunaID difokuskan pada validasi ekosistem inti: individu menemukan komunitas/kegiatan, komunitas mengelola profil dan event, serta admin menjaga kualitas, keamanan, dan data dasar platform.</w:t>
            </w:r>
          </w:p>
        </w:tc>
      </w:tr>
    </w:tbl>
    <w:p/>
    <w:p>
      <w:pPr>
        <w:pStyle w:val="Heading1"/>
      </w:pPr>
      <w:r>
        <w:rPr>
          <w:rFonts w:ascii="Arial" w:hAnsi="Arial"/>
          <w:color w:val="17324D"/>
        </w:rPr>
        <w:t>2. Konteks Produk</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160"/>
            <w:shd w:fill="17324D"/>
            <w:vAlign w:val="center"/>
          </w:tcPr>
          <w:p>
            <w:pPr>
              <w:spacing w:after="0"/>
            </w:pPr>
            <w:r/>
            <w:r>
              <w:rPr>
                <w:b/>
                <w:color w:val="FFFFFF"/>
                <w:sz w:val="17"/>
              </w:rPr>
              <w:t>Area</w:t>
            </w:r>
          </w:p>
        </w:tc>
        <w:tc>
          <w:tcPr>
            <w:tcW w:type="dxa" w:w="8064"/>
            <w:shd w:fill="17324D"/>
            <w:vAlign w:val="center"/>
          </w:tcPr>
          <w:p>
            <w:pPr>
              <w:spacing w:after="0"/>
            </w:pPr>
            <w:r/>
            <w:r>
              <w:rPr>
                <w:b/>
                <w:color w:val="FFFFFF"/>
                <w:sz w:val="17"/>
              </w:rPr>
              <w:t>Keterangan</w:t>
            </w:r>
          </w:p>
        </w:tc>
      </w:tr>
      <w:tr>
        <w:tc>
          <w:tcPr>
            <w:tcW w:type="dxa" w:w="2160"/>
            <w:vAlign w:val="top"/>
          </w:tcPr>
          <w:p>
            <w:pPr>
              <w:spacing w:after="0"/>
            </w:pPr>
            <w:r/>
            <w:r>
              <w:rPr>
                <w:b w:val="0"/>
                <w:sz w:val="17"/>
              </w:rPr>
              <w:t>Masalah inti</w:t>
            </w:r>
          </w:p>
        </w:tc>
        <w:tc>
          <w:tcPr>
            <w:tcW w:type="dxa" w:w="8064"/>
            <w:vAlign w:val="top"/>
          </w:tcPr>
          <w:p>
            <w:pPr>
              <w:spacing w:after="0"/>
            </w:pPr>
            <w:r/>
            <w:r>
              <w:rPr>
                <w:b w:val="0"/>
                <w:sz w:val="17"/>
              </w:rPr>
              <w:t>Informasi komunitas, kegiatan, brand partner, dan venue masih tersebar sehingga discovery, validasi, dan kolaborasi tidak efisien.</w:t>
            </w:r>
          </w:p>
        </w:tc>
      </w:tr>
      <w:tr>
        <w:tc>
          <w:tcPr>
            <w:tcW w:type="dxa" w:w="2160"/>
            <w:vAlign w:val="top"/>
          </w:tcPr>
          <w:p>
            <w:pPr>
              <w:spacing w:after="0"/>
            </w:pPr>
            <w:r/>
            <w:r>
              <w:rPr>
                <w:b w:val="0"/>
                <w:sz w:val="17"/>
              </w:rPr>
              <w:t>Target pengguna awal</w:t>
            </w:r>
          </w:p>
        </w:tc>
        <w:tc>
          <w:tcPr>
            <w:tcW w:type="dxa" w:w="8064"/>
            <w:vAlign w:val="top"/>
          </w:tcPr>
          <w:p>
            <w:pPr>
              <w:spacing w:after="0"/>
            </w:pPr>
            <w:r/>
            <w:r>
              <w:rPr>
                <w:b w:val="0"/>
                <w:sz w:val="17"/>
              </w:rPr>
              <w:t>Individual/Member, Community Owner/Admin, Organization Owner/Admin, Partner Admin/Sponsor Representative, Super Admin/Platform Admin.</w:t>
            </w:r>
          </w:p>
        </w:tc>
      </w:tr>
      <w:tr>
        <w:tc>
          <w:tcPr>
            <w:tcW w:type="dxa" w:w="2160"/>
            <w:vAlign w:val="top"/>
          </w:tcPr>
          <w:p>
            <w:pPr>
              <w:spacing w:after="0"/>
            </w:pPr>
            <w:r/>
            <w:r>
              <w:rPr>
                <w:b w:val="0"/>
                <w:sz w:val="17"/>
              </w:rPr>
              <w:t>Nilai utama</w:t>
            </w:r>
          </w:p>
        </w:tc>
        <w:tc>
          <w:tcPr>
            <w:tcW w:type="dxa" w:w="8064"/>
            <w:vAlign w:val="top"/>
          </w:tcPr>
          <w:p>
            <w:pPr>
              <w:spacing w:after="0"/>
            </w:pPr>
            <w:r/>
            <w:r>
              <w:rPr>
                <w:b w:val="0"/>
                <w:sz w:val="17"/>
              </w:rPr>
              <w:t>Satu platform untuk menemukan komunitas dan kegiatan yang relevan, aktif, terpercaya, dan mudah diakses.</w:t>
            </w:r>
          </w:p>
        </w:tc>
      </w:tr>
      <w:tr>
        <w:tc>
          <w:tcPr>
            <w:tcW w:type="dxa" w:w="2160"/>
            <w:vAlign w:val="top"/>
          </w:tcPr>
          <w:p>
            <w:pPr>
              <w:spacing w:after="0"/>
            </w:pPr>
            <w:r/>
            <w:r>
              <w:rPr>
                <w:b w:val="0"/>
                <w:sz w:val="17"/>
              </w:rPr>
              <w:t>Batasan MVP</w:t>
            </w:r>
          </w:p>
        </w:tc>
        <w:tc>
          <w:tcPr>
            <w:tcW w:type="dxa" w:w="8064"/>
            <w:vAlign w:val="top"/>
          </w:tcPr>
          <w:p>
            <w:pPr>
              <w:spacing w:after="0"/>
            </w:pPr>
            <w:r/>
            <w:r>
              <w:rPr>
                <w:b w:val="0"/>
                <w:sz w:val="17"/>
              </w:rPr>
              <w:t>Fokus pada discovery, profil, event, membership, proposal kolaborasi dasar, moderasi, dan analytics awal. Fitur pembayaran, marketplace kompleks, dan mobile native masuk fase lanjutan.</w:t>
            </w:r>
          </w:p>
        </w:tc>
      </w:tr>
    </w:tbl>
    <w:p/>
    <w:p>
      <w:pPr>
        <w:pStyle w:val="Heading1"/>
      </w:pPr>
      <w:r>
        <w:rPr>
          <w:rFonts w:ascii="Arial" w:hAnsi="Arial"/>
          <w:color w:val="17324D"/>
        </w:rPr>
        <w:t>3. Output yang Dihasilkan</w:t>
      </w:r>
    </w:p>
    <w:p>
      <w:pPr>
        <w:pStyle w:val="ListBullet"/>
        <w:spacing w:after="40"/>
      </w:pPr>
      <w:r>
        <w:t>Stack frontend, backend, database</w:t>
      </w:r>
    </w:p>
    <w:p>
      <w:pPr>
        <w:pStyle w:val="ListBullet"/>
        <w:spacing w:after="40"/>
      </w:pPr>
      <w:r>
        <w:t>Tooling development</w:t>
      </w:r>
    </w:p>
    <w:p>
      <w:pPr>
        <w:pStyle w:val="ListBullet"/>
        <w:spacing w:after="40"/>
      </w:pPr>
      <w:r>
        <w:t>Deployment &amp; CI/CD</w:t>
      </w:r>
    </w:p>
    <w:p>
      <w:pPr>
        <w:pStyle w:val="ListBullet"/>
        <w:spacing w:after="40"/>
      </w:pPr>
      <w:r>
        <w:t>Pertimbangan alternatif</w:t>
      </w:r>
    </w:p>
    <w:p>
      <w:pPr>
        <w:pStyle w:val="Heading1"/>
      </w:pPr>
      <w:r>
        <w:rPr>
          <w:rFonts w:ascii="Arial" w:hAnsi="Arial"/>
          <w:color w:val="17324D"/>
        </w:rPr>
        <w:t>4. Recommended Stack MVP</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2304"/>
            <w:shd w:fill="17324D"/>
            <w:vAlign w:val="center"/>
          </w:tcPr>
          <w:p>
            <w:pPr>
              <w:spacing w:after="0"/>
            </w:pPr>
            <w:r/>
            <w:r>
              <w:rPr>
                <w:b/>
                <w:color w:val="FFFFFF"/>
                <w:sz w:val="16"/>
              </w:rPr>
              <w:t>Layer</w:t>
            </w:r>
          </w:p>
        </w:tc>
        <w:tc>
          <w:tcPr>
            <w:tcW w:type="dxa" w:w="3168"/>
            <w:shd w:fill="17324D"/>
            <w:vAlign w:val="center"/>
          </w:tcPr>
          <w:p>
            <w:pPr>
              <w:spacing w:after="0"/>
            </w:pPr>
            <w:r/>
            <w:r>
              <w:rPr>
                <w:b/>
                <w:color w:val="FFFFFF"/>
                <w:sz w:val="16"/>
              </w:rPr>
              <w:t>Pilihan</w:t>
            </w:r>
          </w:p>
        </w:tc>
        <w:tc>
          <w:tcPr>
            <w:tcW w:type="dxa" w:w="4752"/>
            <w:shd w:fill="17324D"/>
            <w:vAlign w:val="center"/>
          </w:tcPr>
          <w:p>
            <w:pPr>
              <w:spacing w:after="0"/>
            </w:pPr>
            <w:r/>
            <w:r>
              <w:rPr>
                <w:b/>
                <w:color w:val="FFFFFF"/>
                <w:sz w:val="16"/>
              </w:rPr>
              <w:t>Alasan</w:t>
            </w:r>
          </w:p>
        </w:tc>
      </w:tr>
      <w:tr>
        <w:tc>
          <w:tcPr>
            <w:tcW w:type="dxa" w:w="2304"/>
            <w:vAlign w:val="top"/>
          </w:tcPr>
          <w:p>
            <w:pPr>
              <w:spacing w:after="0"/>
            </w:pPr>
            <w:r/>
            <w:r>
              <w:rPr>
                <w:b w:val="0"/>
                <w:sz w:val="16"/>
              </w:rPr>
              <w:t>Frontend</w:t>
            </w:r>
          </w:p>
        </w:tc>
        <w:tc>
          <w:tcPr>
            <w:tcW w:type="dxa" w:w="3168"/>
            <w:vAlign w:val="top"/>
          </w:tcPr>
          <w:p>
            <w:pPr>
              <w:spacing w:after="0"/>
            </w:pPr>
            <w:r/>
            <w:r>
              <w:rPr>
                <w:b w:val="0"/>
                <w:sz w:val="16"/>
              </w:rPr>
              <w:t>Next.js + React + TypeScript</w:t>
            </w:r>
          </w:p>
        </w:tc>
        <w:tc>
          <w:tcPr>
            <w:tcW w:type="dxa" w:w="4752"/>
            <w:vAlign w:val="top"/>
          </w:tcPr>
          <w:p>
            <w:pPr>
              <w:spacing w:after="0"/>
            </w:pPr>
            <w:r/>
            <w:r>
              <w:rPr>
                <w:b w:val="0"/>
                <w:sz w:val="16"/>
              </w:rPr>
              <w:t>Cepat untuk web app, SEO-friendly untuk directory publik, komponen reusable.</w:t>
            </w:r>
          </w:p>
        </w:tc>
      </w:tr>
      <w:tr>
        <w:tc>
          <w:tcPr>
            <w:tcW w:type="dxa" w:w="2304"/>
            <w:vAlign w:val="top"/>
          </w:tcPr>
          <w:p>
            <w:pPr>
              <w:spacing w:after="0"/>
            </w:pPr>
            <w:r/>
            <w:r>
              <w:rPr>
                <w:b w:val="0"/>
                <w:sz w:val="16"/>
              </w:rPr>
              <w:t>UI Styling</w:t>
            </w:r>
          </w:p>
        </w:tc>
        <w:tc>
          <w:tcPr>
            <w:tcW w:type="dxa" w:w="3168"/>
            <w:vAlign w:val="top"/>
          </w:tcPr>
          <w:p>
            <w:pPr>
              <w:spacing w:after="0"/>
            </w:pPr>
            <w:r/>
            <w:r>
              <w:rPr>
                <w:b w:val="0"/>
                <w:sz w:val="16"/>
              </w:rPr>
              <w:t>Tailwind CSS + component primitives</w:t>
            </w:r>
          </w:p>
        </w:tc>
        <w:tc>
          <w:tcPr>
            <w:tcW w:type="dxa" w:w="4752"/>
            <w:vAlign w:val="top"/>
          </w:tcPr>
          <w:p>
            <w:pPr>
              <w:spacing w:after="0"/>
            </w:pPr>
            <w:r/>
            <w:r>
              <w:rPr>
                <w:b w:val="0"/>
                <w:sz w:val="16"/>
              </w:rPr>
              <w:t>Konsisten dengan design system dan cepat untuk MVP.</w:t>
            </w:r>
          </w:p>
        </w:tc>
      </w:tr>
      <w:tr>
        <w:tc>
          <w:tcPr>
            <w:tcW w:type="dxa" w:w="2304"/>
            <w:vAlign w:val="top"/>
          </w:tcPr>
          <w:p>
            <w:pPr>
              <w:spacing w:after="0"/>
            </w:pPr>
            <w:r/>
            <w:r>
              <w:rPr>
                <w:b w:val="0"/>
                <w:sz w:val="16"/>
              </w:rPr>
              <w:t>Backend API</w:t>
            </w:r>
          </w:p>
        </w:tc>
        <w:tc>
          <w:tcPr>
            <w:tcW w:type="dxa" w:w="3168"/>
            <w:vAlign w:val="top"/>
          </w:tcPr>
          <w:p>
            <w:pPr>
              <w:spacing w:after="0"/>
            </w:pPr>
            <w:r/>
            <w:r>
              <w:rPr>
                <w:b w:val="0"/>
                <w:sz w:val="16"/>
              </w:rPr>
              <w:t>Laravel REST API atau NestJS REST API</w:t>
            </w:r>
          </w:p>
        </w:tc>
        <w:tc>
          <w:tcPr>
            <w:tcW w:type="dxa" w:w="4752"/>
            <w:vAlign w:val="top"/>
          </w:tcPr>
          <w:p>
            <w:pPr>
              <w:spacing w:after="0"/>
            </w:pPr>
            <w:r/>
            <w:r>
              <w:rPr>
                <w:b w:val="0"/>
                <w:sz w:val="16"/>
              </w:rPr>
              <w:t>Keduanya kuat untuk modular API; Laravel cocok bila tim nyaman PHP/MySQL.</w:t>
            </w:r>
          </w:p>
        </w:tc>
      </w:tr>
      <w:tr>
        <w:tc>
          <w:tcPr>
            <w:tcW w:type="dxa" w:w="2304"/>
            <w:vAlign w:val="top"/>
          </w:tcPr>
          <w:p>
            <w:pPr>
              <w:spacing w:after="0"/>
            </w:pPr>
            <w:r/>
            <w:r>
              <w:rPr>
                <w:b w:val="0"/>
                <w:sz w:val="16"/>
              </w:rPr>
              <w:t>Database</w:t>
            </w:r>
          </w:p>
        </w:tc>
        <w:tc>
          <w:tcPr>
            <w:tcW w:type="dxa" w:w="3168"/>
            <w:vAlign w:val="top"/>
          </w:tcPr>
          <w:p>
            <w:pPr>
              <w:spacing w:after="0"/>
            </w:pPr>
            <w:r/>
            <w:r>
              <w:rPr>
                <w:b w:val="0"/>
                <w:sz w:val="16"/>
              </w:rPr>
              <w:t>MySQL 8.x</w:t>
            </w:r>
          </w:p>
        </w:tc>
        <w:tc>
          <w:tcPr>
            <w:tcW w:type="dxa" w:w="4752"/>
            <w:vAlign w:val="top"/>
          </w:tcPr>
          <w:p>
            <w:pPr>
              <w:spacing w:after="0"/>
            </w:pPr>
            <w:r/>
            <w:r>
              <w:rPr>
                <w:b w:val="0"/>
                <w:sz w:val="16"/>
              </w:rPr>
              <w:t>Relational, umum, kuat untuk data komunitas/event/registrasi.</w:t>
            </w:r>
          </w:p>
        </w:tc>
      </w:tr>
      <w:tr>
        <w:tc>
          <w:tcPr>
            <w:tcW w:type="dxa" w:w="2304"/>
            <w:vAlign w:val="top"/>
          </w:tcPr>
          <w:p>
            <w:pPr>
              <w:spacing w:after="0"/>
            </w:pPr>
            <w:r/>
            <w:r>
              <w:rPr>
                <w:b w:val="0"/>
                <w:sz w:val="16"/>
              </w:rPr>
              <w:t>ORM/Migration</w:t>
            </w:r>
          </w:p>
        </w:tc>
        <w:tc>
          <w:tcPr>
            <w:tcW w:type="dxa" w:w="3168"/>
            <w:vAlign w:val="top"/>
          </w:tcPr>
          <w:p>
            <w:pPr>
              <w:spacing w:after="0"/>
            </w:pPr>
            <w:r/>
            <w:r>
              <w:rPr>
                <w:b w:val="0"/>
                <w:sz w:val="16"/>
              </w:rPr>
              <w:t>Eloquent Migration atau Prisma/TypeORM sesuai backend</w:t>
            </w:r>
          </w:p>
        </w:tc>
        <w:tc>
          <w:tcPr>
            <w:tcW w:type="dxa" w:w="4752"/>
            <w:vAlign w:val="top"/>
          </w:tcPr>
          <w:p>
            <w:pPr>
              <w:spacing w:after="0"/>
            </w:pPr>
            <w:r/>
            <w:r>
              <w:rPr>
                <w:b w:val="0"/>
                <w:sz w:val="16"/>
              </w:rPr>
              <w:t>Schema versioning, migration, seeding, dan query abstraction.</w:t>
            </w:r>
          </w:p>
        </w:tc>
      </w:tr>
      <w:tr>
        <w:tc>
          <w:tcPr>
            <w:tcW w:type="dxa" w:w="2304"/>
            <w:vAlign w:val="top"/>
          </w:tcPr>
          <w:p>
            <w:pPr>
              <w:spacing w:after="0"/>
            </w:pPr>
            <w:r/>
            <w:r>
              <w:rPr>
                <w:b w:val="0"/>
                <w:sz w:val="16"/>
              </w:rPr>
              <w:t>Auth</w:t>
            </w:r>
          </w:p>
        </w:tc>
        <w:tc>
          <w:tcPr>
            <w:tcW w:type="dxa" w:w="3168"/>
            <w:vAlign w:val="top"/>
          </w:tcPr>
          <w:p>
            <w:pPr>
              <w:spacing w:after="0"/>
            </w:pPr>
            <w:r/>
            <w:r>
              <w:rPr>
                <w:b w:val="0"/>
                <w:sz w:val="16"/>
              </w:rPr>
              <w:t>Session/JWT + RBAC middleware</w:t>
            </w:r>
          </w:p>
        </w:tc>
        <w:tc>
          <w:tcPr>
            <w:tcW w:type="dxa" w:w="4752"/>
            <w:vAlign w:val="top"/>
          </w:tcPr>
          <w:p>
            <w:pPr>
              <w:spacing w:after="0"/>
            </w:pPr>
            <w:r/>
            <w:r>
              <w:rPr>
                <w:b w:val="0"/>
                <w:sz w:val="16"/>
              </w:rPr>
              <w:t>Mendukung role-aware dashboard dan permission control.</w:t>
            </w:r>
          </w:p>
        </w:tc>
      </w:tr>
      <w:tr>
        <w:tc>
          <w:tcPr>
            <w:tcW w:type="dxa" w:w="2304"/>
            <w:vAlign w:val="top"/>
          </w:tcPr>
          <w:p>
            <w:pPr>
              <w:spacing w:after="0"/>
            </w:pPr>
            <w:r/>
            <w:r>
              <w:rPr>
                <w:b w:val="0"/>
                <w:sz w:val="16"/>
              </w:rPr>
              <w:t>Storage</w:t>
            </w:r>
          </w:p>
        </w:tc>
        <w:tc>
          <w:tcPr>
            <w:tcW w:type="dxa" w:w="3168"/>
            <w:vAlign w:val="top"/>
          </w:tcPr>
          <w:p>
            <w:pPr>
              <w:spacing w:after="0"/>
            </w:pPr>
            <w:r/>
            <w:r>
              <w:rPr>
                <w:b w:val="0"/>
                <w:sz w:val="16"/>
              </w:rPr>
              <w:t>Object storage/S3-compatible atau local storage sementara</w:t>
            </w:r>
          </w:p>
        </w:tc>
        <w:tc>
          <w:tcPr>
            <w:tcW w:type="dxa" w:w="4752"/>
            <w:vAlign w:val="top"/>
          </w:tcPr>
          <w:p>
            <w:pPr>
              <w:spacing w:after="0"/>
            </w:pPr>
            <w:r/>
            <w:r>
              <w:rPr>
                <w:b w:val="0"/>
                <w:sz w:val="16"/>
              </w:rPr>
              <w:t>Menyimpan logo, avatar, banner, dokumen pendukung.</w:t>
            </w:r>
          </w:p>
        </w:tc>
      </w:tr>
      <w:tr>
        <w:tc>
          <w:tcPr>
            <w:tcW w:type="dxa" w:w="2304"/>
            <w:vAlign w:val="top"/>
          </w:tcPr>
          <w:p>
            <w:pPr>
              <w:spacing w:after="0"/>
            </w:pPr>
            <w:r/>
            <w:r>
              <w:rPr>
                <w:b w:val="0"/>
                <w:sz w:val="16"/>
              </w:rPr>
              <w:t>Cache/Queue</w:t>
            </w:r>
          </w:p>
        </w:tc>
        <w:tc>
          <w:tcPr>
            <w:tcW w:type="dxa" w:w="3168"/>
            <w:vAlign w:val="top"/>
          </w:tcPr>
          <w:p>
            <w:pPr>
              <w:spacing w:after="0"/>
            </w:pPr>
            <w:r/>
            <w:r>
              <w:rPr>
                <w:b w:val="0"/>
                <w:sz w:val="16"/>
              </w:rPr>
              <w:t>Redis optional</w:t>
            </w:r>
          </w:p>
        </w:tc>
        <w:tc>
          <w:tcPr>
            <w:tcW w:type="dxa" w:w="4752"/>
            <w:vAlign w:val="top"/>
          </w:tcPr>
          <w:p>
            <w:pPr>
              <w:spacing w:after="0"/>
            </w:pPr>
            <w:r/>
            <w:r>
              <w:rPr>
                <w:b w:val="0"/>
                <w:sz w:val="16"/>
              </w:rPr>
              <w:t>Untuk queue notifikasi, cache kategori, dan performa.</w:t>
            </w:r>
          </w:p>
        </w:tc>
      </w:tr>
      <w:tr>
        <w:tc>
          <w:tcPr>
            <w:tcW w:type="dxa" w:w="2304"/>
            <w:vAlign w:val="top"/>
          </w:tcPr>
          <w:p>
            <w:pPr>
              <w:spacing w:after="0"/>
            </w:pPr>
            <w:r/>
            <w:r>
              <w:rPr>
                <w:b w:val="0"/>
                <w:sz w:val="16"/>
              </w:rPr>
              <w:t>CI/CD</w:t>
            </w:r>
          </w:p>
        </w:tc>
        <w:tc>
          <w:tcPr>
            <w:tcW w:type="dxa" w:w="3168"/>
            <w:vAlign w:val="top"/>
          </w:tcPr>
          <w:p>
            <w:pPr>
              <w:spacing w:after="0"/>
            </w:pPr>
            <w:r/>
            <w:r>
              <w:rPr>
                <w:b w:val="0"/>
                <w:sz w:val="16"/>
              </w:rPr>
              <w:t>GitHub Actions/GitLab CI</w:t>
            </w:r>
          </w:p>
        </w:tc>
        <w:tc>
          <w:tcPr>
            <w:tcW w:type="dxa" w:w="4752"/>
            <w:vAlign w:val="top"/>
          </w:tcPr>
          <w:p>
            <w:pPr>
              <w:spacing w:after="0"/>
            </w:pPr>
            <w:r/>
            <w:r>
              <w:rPr>
                <w:b w:val="0"/>
                <w:sz w:val="16"/>
              </w:rPr>
              <w:t>Lint, test, build, migration check, deploy staging.</w:t>
            </w:r>
          </w:p>
        </w:tc>
      </w:tr>
      <w:tr>
        <w:tc>
          <w:tcPr>
            <w:tcW w:type="dxa" w:w="2304"/>
            <w:vAlign w:val="top"/>
          </w:tcPr>
          <w:p>
            <w:pPr>
              <w:spacing w:after="0"/>
            </w:pPr>
            <w:r/>
            <w:r>
              <w:rPr>
                <w:b w:val="0"/>
                <w:sz w:val="16"/>
              </w:rPr>
              <w:t>Deployment</w:t>
            </w:r>
          </w:p>
        </w:tc>
        <w:tc>
          <w:tcPr>
            <w:tcW w:type="dxa" w:w="3168"/>
            <w:vAlign w:val="top"/>
          </w:tcPr>
          <w:p>
            <w:pPr>
              <w:spacing w:after="0"/>
            </w:pPr>
            <w:r/>
            <w:r>
              <w:rPr>
                <w:b w:val="0"/>
                <w:sz w:val="16"/>
              </w:rPr>
              <w:t>VPS/Cloud App Platform + managed MySQL</w:t>
            </w:r>
          </w:p>
        </w:tc>
        <w:tc>
          <w:tcPr>
            <w:tcW w:type="dxa" w:w="4752"/>
            <w:vAlign w:val="top"/>
          </w:tcPr>
          <w:p>
            <w:pPr>
              <w:spacing w:after="0"/>
            </w:pPr>
            <w:r/>
            <w:r>
              <w:rPr>
                <w:b w:val="0"/>
                <w:sz w:val="16"/>
              </w:rPr>
              <w:t>Cukup untuk MVP dan mudah dikontrol biaya.</w:t>
            </w:r>
          </w:p>
        </w:tc>
      </w:tr>
    </w:tbl>
    <w:p/>
    <w:p>
      <w:pPr>
        <w:pStyle w:val="Heading1"/>
      </w:pPr>
      <w:r>
        <w:rPr>
          <w:rFonts w:ascii="Arial" w:hAnsi="Arial"/>
          <w:color w:val="17324D"/>
        </w:rPr>
        <w:t>5. Repository Structure</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880"/>
            <w:shd w:fill="17324D"/>
            <w:vAlign w:val="center"/>
          </w:tcPr>
          <w:p>
            <w:pPr>
              <w:spacing w:after="0"/>
            </w:pPr>
            <w:r/>
            <w:r>
              <w:rPr>
                <w:b/>
                <w:color w:val="FFFFFF"/>
                <w:sz w:val="17"/>
              </w:rPr>
              <w:t>Repository</w:t>
            </w:r>
          </w:p>
        </w:tc>
        <w:tc>
          <w:tcPr>
            <w:tcW w:type="dxa" w:w="7344"/>
            <w:shd w:fill="17324D"/>
            <w:vAlign w:val="center"/>
          </w:tcPr>
          <w:p>
            <w:pPr>
              <w:spacing w:after="0"/>
            </w:pPr>
            <w:r/>
            <w:r>
              <w:rPr>
                <w:b/>
                <w:color w:val="FFFFFF"/>
                <w:sz w:val="17"/>
              </w:rPr>
              <w:t>Isi</w:t>
            </w:r>
          </w:p>
        </w:tc>
      </w:tr>
      <w:tr>
        <w:tc>
          <w:tcPr>
            <w:tcW w:type="dxa" w:w="2880"/>
            <w:vAlign w:val="top"/>
          </w:tcPr>
          <w:p>
            <w:pPr>
              <w:spacing w:after="0"/>
            </w:pPr>
            <w:r/>
            <w:r>
              <w:rPr>
                <w:b w:val="0"/>
                <w:sz w:val="17"/>
              </w:rPr>
              <w:t>komuna-web</w:t>
            </w:r>
          </w:p>
        </w:tc>
        <w:tc>
          <w:tcPr>
            <w:tcW w:type="dxa" w:w="7344"/>
            <w:vAlign w:val="top"/>
          </w:tcPr>
          <w:p>
            <w:pPr>
              <w:spacing w:after="0"/>
            </w:pPr>
            <w:r/>
            <w:r>
              <w:rPr>
                <w:b w:val="0"/>
                <w:sz w:val="17"/>
              </w:rPr>
              <w:t>Frontend web app, UI components, page routes, admin/member portal.</w:t>
            </w:r>
          </w:p>
        </w:tc>
      </w:tr>
      <w:tr>
        <w:tc>
          <w:tcPr>
            <w:tcW w:type="dxa" w:w="2880"/>
            <w:vAlign w:val="top"/>
          </w:tcPr>
          <w:p>
            <w:pPr>
              <w:spacing w:after="0"/>
            </w:pPr>
            <w:r/>
            <w:r>
              <w:rPr>
                <w:b w:val="0"/>
                <w:sz w:val="17"/>
              </w:rPr>
              <w:t>komuna-api</w:t>
            </w:r>
          </w:p>
        </w:tc>
        <w:tc>
          <w:tcPr>
            <w:tcW w:type="dxa" w:w="7344"/>
            <w:vAlign w:val="top"/>
          </w:tcPr>
          <w:p>
            <w:pPr>
              <w:spacing w:after="0"/>
            </w:pPr>
            <w:r/>
            <w:r>
              <w:rPr>
                <w:b w:val="0"/>
                <w:sz w:val="17"/>
              </w:rPr>
              <w:t>Backend API, business logic, migrations, seeders, tests.</w:t>
            </w:r>
          </w:p>
        </w:tc>
      </w:tr>
      <w:tr>
        <w:tc>
          <w:tcPr>
            <w:tcW w:type="dxa" w:w="2880"/>
            <w:vAlign w:val="top"/>
          </w:tcPr>
          <w:p>
            <w:pPr>
              <w:spacing w:after="0"/>
            </w:pPr>
            <w:r/>
            <w:r>
              <w:rPr>
                <w:b w:val="0"/>
                <w:sz w:val="17"/>
              </w:rPr>
              <w:t>komuna-docs</w:t>
            </w:r>
          </w:p>
        </w:tc>
        <w:tc>
          <w:tcPr>
            <w:tcW w:type="dxa" w:w="7344"/>
            <w:vAlign w:val="top"/>
          </w:tcPr>
          <w:p>
            <w:pPr>
              <w:spacing w:after="0"/>
            </w:pPr>
            <w:r/>
            <w:r>
              <w:rPr>
                <w:b w:val="0"/>
                <w:sz w:val="17"/>
              </w:rPr>
              <w:t>Product docs, API docs, ERD, architecture, release notes.</w:t>
            </w:r>
          </w:p>
        </w:tc>
      </w:tr>
      <w:tr>
        <w:tc>
          <w:tcPr>
            <w:tcW w:type="dxa" w:w="2880"/>
            <w:vAlign w:val="top"/>
          </w:tcPr>
          <w:p>
            <w:pPr>
              <w:spacing w:after="0"/>
            </w:pPr>
            <w:r/>
            <w:r>
              <w:rPr>
                <w:b w:val="0"/>
                <w:sz w:val="17"/>
              </w:rPr>
              <w:t>komuna-infra</w:t>
            </w:r>
          </w:p>
        </w:tc>
        <w:tc>
          <w:tcPr>
            <w:tcW w:type="dxa" w:w="7344"/>
            <w:vAlign w:val="top"/>
          </w:tcPr>
          <w:p>
            <w:pPr>
              <w:spacing w:after="0"/>
            </w:pPr>
            <w:r/>
            <w:r>
              <w:rPr>
                <w:b w:val="0"/>
                <w:sz w:val="17"/>
              </w:rPr>
              <w:t>Docker compose, deployment script, environment templates.</w:t>
            </w:r>
          </w:p>
        </w:tc>
      </w:tr>
    </w:tbl>
    <w:p/>
    <w:p>
      <w:pPr>
        <w:pStyle w:val="Heading1"/>
      </w:pPr>
      <w:r>
        <w:rPr>
          <w:rFonts w:ascii="Arial" w:hAnsi="Arial"/>
          <w:color w:val="17324D"/>
        </w:rPr>
        <w:t>6. Non-Functional Baseline</w:t>
      </w:r>
    </w:p>
    <w:p>
      <w:pPr>
        <w:pStyle w:val="ListBullet"/>
        <w:spacing w:after="40"/>
      </w:pPr>
      <w:r>
        <w:t>Semua kode TypeScript/PHP/Node mengikuti linting dan formatting.</w:t>
      </w:r>
    </w:p>
    <w:p>
      <w:pPr>
        <w:pStyle w:val="ListBullet"/>
        <w:spacing w:after="40"/>
      </w:pPr>
      <w:r>
        <w:t>Environment variable tidak boleh masuk repository.</w:t>
      </w:r>
    </w:p>
    <w:p>
      <w:pPr>
        <w:pStyle w:val="ListBullet"/>
        <w:spacing w:after="40"/>
      </w:pPr>
      <w:r>
        <w:t>Migration harus reversible atau memiliki rollback plan.</w:t>
      </w:r>
    </w:p>
    <w:p>
      <w:pPr>
        <w:pStyle w:val="ListBullet"/>
        <w:spacing w:after="40"/>
      </w:pPr>
      <w:r>
        <w:t>Endpoint sensitif wajib memakai permission middleware.</w:t>
      </w:r>
    </w:p>
    <w:p>
      <w:pPr>
        <w:pStyle w:val="ListBullet"/>
        <w:spacing w:after="40"/>
      </w:pPr>
      <w:r>
        <w:t>Logging error server wajib aktif di staging dan production.</w:t>
      </w:r>
    </w:p>
    <w:p>
      <w:pPr>
        <w:pStyle w:val="ListBullet"/>
        <w:spacing w:after="40"/>
      </w:pPr>
      <w:r>
        <w:t>Backup database minimal harian untuk production MVP.</w:t>
      </w:r>
    </w:p>
    <w:p>
      <w:pPr>
        <w:pStyle w:val="Heading1"/>
      </w:pPr>
      <w:r>
        <w:rPr>
          <w:rFonts w:ascii="Arial" w:hAnsi="Arial"/>
          <w:color w:val="17324D"/>
        </w:rPr>
        <w:t>7. Catatan Alternatif</w:t>
      </w:r>
    </w:p>
    <w:p>
      <w:pPr>
        <w:spacing w:after="120" w:line="259" w:lineRule="auto"/>
      </w:pPr>
      <w:r>
        <w:t>Jika tim ingin mempercepat full-stack dalam satu repository, Next.js full-stack dengan Prisma dan MySQL dapat digunakan. Jika tim lebih nyaman enterprise PHP, gunakan Next.js sebagai frontend dan Laravel sebagai API backend. Pilihan final perlu mengikuti kemampuan tim dan timeline MVP.</w:t>
      </w:r>
    </w:p>
    <w:sectPr w:rsidR="00FC693F" w:rsidRPr="0006063C" w:rsidSect="00034616">
      <w:headerReference w:type="default" r:id="rId9"/>
      <w:footerReference w:type="default" r:id="rId10"/>
      <w:pgSz w:w="12240" w:h="15840"/>
      <w:pgMar w:top="879"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37083"/>
        <w:sz w:val="16"/>
      </w:rPr>
      <w:t>PT Komuna Digital Indonesia - KomunaID MVP Documentation - Draft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508760" cy="427482"/>
          <wp:docPr id="1" name="Picture 1"/>
          <wp:cNvGraphicFramePr>
            <a:graphicFrameLocks noChangeAspect="1"/>
          </wp:cNvGraphicFramePr>
          <a:graphic>
            <a:graphicData uri="http://schemas.openxmlformats.org/drawingml/2006/picture">
              <pic:pic>
                <pic:nvPicPr>
                  <pic:cNvPr id="0" name="komuna_logo_placeholder.png"/>
                  <pic:cNvPicPr/>
                </pic:nvPicPr>
                <pic:blipFill>
                  <a:blip r:embed="rId1"/>
                  <a:stretch>
                    <a:fillRect/>
                  </a:stretch>
                </pic:blipFill>
                <pic:spPr>
                  <a:xfrm>
                    <a:off x="0" y="0"/>
                    <a:ext cx="1508760" cy="427482"/>
                  </a:xfrm>
                  <a:prstGeom prst="rect"/>
                </pic:spPr>
              </pic:pic>
            </a:graphicData>
          </a:graphic>
        </wp:inline>
      </w:drawing>
    </w:r>
    <w:r>
      <w:rPr>
        <w:color w:val="637083"/>
        <w:sz w:val="16"/>
      </w:rPr>
      <w:t xml:space="preserve">   KOM-MVP-10 | Tech Stack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6A3A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6370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