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Benchmark semi-sintetik (H1–H5)</w:t>
      </w:r>
    </w:p>
    <w:p>
      <w:r>
        <w:rPr>
          <w:i/>
        </w:rPr>
        <w:t>Inferensi kausal grafis pada data IDHS 2017 · dibuat otomatis dari aplikasi Kausal IDHS · 11-10-2026 15:43</w:t>
      </w:r>
    </w:p>
    <w:p>
      <w:pPr>
        <w:pStyle w:val="Heading1"/>
      </w:pPr>
      <w:r>
        <w:t>Pengantar</w:t>
      </w:r>
    </w:p>
    <w:p>
      <w:pPr>
        <w:jc w:val="both"/>
      </w:pPr>
      <w:r>
        <w:t>Laporan ini menghimpun hasil, tabel, grafik, rangkuman proses, dan narasi dari menu Benchmark semi-sintetik (H1–H5) untuk 6 analisis: sanitasi_diare (T_sanitasi → Y_diare); pbi_diare (T_pbi → Y_diare); pbi_neonatal (T_pbi → Y_mati_neonatal); fasilitas_neonatal (T_fasilitas → Y_mati_neonatal); sanitasi_diare_ctps (T_sanitasi → Y_diare); pbi_diare_biaya (T_pbi → Y_diare).</w:t>
      </w:r>
    </w:p>
    <w:p>
      <w:pPr>
        <w:jc w:val="both"/>
      </w:pPr>
      <w:r>
        <w:t>Seluruh estimasi memakai bobot sampel (v005/10⁶) dan desain survei berklaster (PSU v021, strata v023) IDHS 2017.</w:t>
      </w:r>
    </w:p>
    <w:p>
      <w:r>
        <w:br w:type="page"/>
      </w:r>
    </w:p>
    <w:p>
      <w:pPr>
        <w:pStyle w:val="Heading1"/>
      </w:pPr>
      <w:r>
        <w:t>1. Benchmark semi-sintetik (H1–H5)</w:t>
      </w:r>
    </w:p>
    <w:p>
      <w:pPr>
        <w:pStyle w:val="Heading2"/>
      </w:pPr>
      <w:r>
        <w:t>1.1 sanitasi_diare: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Skenario A: graf benar = DAG pakar sanitasi_diare dengan 30% panah diganti (patuh tier); SCM dicocokkan pada IDHS (logistik/linear berbobot) dengan efek acak PSU dari ANOVA residual.</w:t>
      </w:r>
    </w:p>
    <w:p>
      <w:pPr>
        <w:spacing w:after="40"/>
        <w:ind w:left="340" w:hanging="340"/>
      </w:pPr>
      <w:r>
        <w:t>2.</w:t>
        <w:tab/>
        <w:t>Skenario B: node = konstruk/komposit MLC v2 dan variabel teramati; graf benar = DAG pakar dipetakan ke tingkat konstruk lalu diperturbasi; indikator dibangkitkan dari konstruknya (muatan nyata, ambang prevalensi).</w:t>
      </w:r>
    </w:p>
    <w:p>
      <w:pPr>
        <w:spacing w:after="40"/>
        <w:ind w:left="340" w:hanging="340"/>
      </w:pPr>
      <w:r>
        <w:t>3.</w:t>
        <w:tab/>
        <w:t>Setiap skenario diulang 100 kali dengan bobot, PSU, dan strata IDHS asli; efek benar dihitung secara kontrafaktual do(T=1) − do(T=0) dengan noise bersama.</w:t>
      </w:r>
    </w:p>
    <w:p>
      <w:pPr>
        <w:spacing w:after="40"/>
        <w:ind w:left="340" w:hanging="340"/>
      </w:pPr>
      <w:r>
        <w:t>4.</w:t>
        <w:tab/>
        <w:t>Metrik yang sama untuk semua metode: SHD, SID, |galat RD| (RMSE), waktu dan memori penemuan, stabilitas (SHD antar-replikasi), cakupan CI 95% (20 bootstrap PSU), galat tipe I dan daya uji pada 20 pernyataan independensi/dependensi benar.</w:t>
      </w:r>
    </w:p>
    <w:p>
      <w:pPr>
        <w:spacing w:after="40"/>
        <w:ind w:left="340" w:hanging="340"/>
      </w:pPr>
      <w:r>
        <w:t>5.</w:t>
        <w:tab/>
        <w:t>Uji hipotesis: SOL-DAG vs setiap pembanding dengan Wilcoxon berpasangan satu sisi, p dikoreksi Holm per hipotesis; H5 dengan interval Wilson terhadap target nominal.</w:t>
      </w:r>
    </w:p>
    <w:p>
      <w:pPr>
        <w:spacing w:after="40"/>
        <w:ind w:left="340" w:hanging="340"/>
      </w:pPr>
      <w:r>
        <w:t>6.</w:t>
        <w:tab/>
        <w:t>Benchmark v2 (pra-registrasi): DAG acak patuh tier yang independen dari metode, grid ICC {0,05; 0,4} × β_TY {−0,6; −0,15; 0}, 200 replikasi per sel; varian v2 desain, v2 naif, dan aturan v1.</w:t>
      </w:r>
    </w:p>
    <w:p>
      <w:pPr>
        <w:spacing w:after="40"/>
        <w:ind w:left="340" w:hanging="340"/>
      </w:pPr>
      <w:r>
        <w:t>7.</w:t>
        <w:tab/>
        <w:t>Benchmark v3 (pra-registrasi S6–S10): desain sintetis setara IDHS (67 strata × 29 PSU × 9), ICC heterogen U(0,1; 0,8) vs homogen 0,45; lima uji CI (naif, Kish, deff-global, sandwich CR1, desain usulan); S8 200 replikasi, dampak hilir 100 replikasi (p = 15 utama, 30 sekunder).</w:t>
      </w:r>
    </w:p>
    <w:p>
      <w:pPr>
        <w:pStyle w:val="Heading3"/>
      </w:pPr>
      <w:r>
        <w:t>Narasi</w:t>
      </w:r>
    </w:p>
    <w:p>
      <w:pPr>
        <w:jc w:val="both"/>
      </w:pPr>
      <w:r>
        <w:rPr>
          <w:b/>
        </w:rPr>
        <w:t>Skenario A.</w:t>
      </w:r>
      <w:r>
        <w:t xml:space="preserve"> Efek benar RD = -0,0202 (14,1% vs 16,2%); graf benar 29 sisi. SHD terkecil: B3 BN skor (14,7); RMSE efek terkecil: B2 PC + tier + IDA (0,0090). SOL-DAG: SHD 16,9, SID 76,2, RMSE 0,0197, efek nol pada 93% replikasi, cakupan CI 6%.</w:t>
      </w:r>
    </w:p>
    <w:p>
      <w:pPr>
        <w:jc w:val="both"/>
      </w:pPr>
      <w:r>
        <w:rPr>
          <w:b/>
        </w:rPr>
        <w:t>Skenario B.</w:t>
      </w:r>
      <w:r>
        <w:t xml:space="preserve"> Efek benar RD = -0,0455 (13,0% vs 17,5%); graf benar 29 sisi. SHD terkecil: SOL-DAG (14,1); RMSE efek terkecil: N3 MLC-DAG (0,0104). SOL-DAG: SHD 14,1, SID 79,7, RMSE 0,0263, efek nol pada 10% replikasi, cakupan CI 75%.</w:t>
      </w:r>
    </w:p>
    <w:p>
      <w:pPr>
        <w:jc w:val="both"/>
      </w:pPr>
      <w:r>
        <w:rPr>
          <w:b/>
        </w:rPr>
        <w:t>Putusan hipotesis.</w:t>
      </w:r>
      <w:r>
        <w:t xml:space="preserve"> H1 (Akurasi): </w:t>
      </w:r>
      <w:r>
        <w:rPr>
          <w:b/>
        </w:rPr>
        <w:t>didukung sebagian</w:t>
      </w:r>
      <w:r>
        <w:t xml:space="preserve"> (4/27); H2 (Kecepatan): </w:t>
      </w:r>
      <w:r>
        <w:rPr>
          <w:b/>
        </w:rPr>
        <w:t>didukung sebagian</w:t>
      </w:r>
      <w:r>
        <w:t xml:space="preserve"> (3/8); H3 (Memori): </w:t>
      </w:r>
      <w:r>
        <w:rPr>
          <w:b/>
        </w:rPr>
        <w:t>didukung sebagian</w:t>
      </w:r>
      <w:r>
        <w:t xml:space="preserve"> (7/8); H4 (Konvergensi &amp; stabilitas): </w:t>
      </w:r>
      <w:r>
        <w:rPr>
          <w:b/>
        </w:rPr>
        <w:t>didukung sebagian</w:t>
      </w:r>
      <w:r>
        <w:t xml:space="preserve"> (6/8); H5 (Validitas koreksi desain): </w:t>
      </w:r>
      <w:r>
        <w:rPr>
          <w:b/>
        </w:rPr>
        <w:t>didukung sebagian</w:t>
      </w:r>
      <w:r>
        <w:t xml:space="preserve"> (1/2).</w:t>
      </w:r>
    </w:p>
    <w:p>
      <w:pPr>
        <w:jc w:val="both"/>
      </w:pPr>
      <w:r>
        <w:rPr>
          <w:b/>
        </w:rPr>
        <w:t>H5 — validitas koreksi desain.</w:t>
      </w:r>
      <w:r>
        <w:t xml:space="preserve"> Pada pernyataan independensi yang benar, uji naif menolak 12,8% (CI 11,4–14,3%) dan uji terkoreksi 4,5% (CI 3,6–5,4%) terhadap nominal 5%.</w:t>
      </w:r>
    </w:p>
    <w:p>
      <w:pPr>
        <w:jc w:val="both"/>
      </w:pPr>
      <w:r>
        <w:t>Benchmark ini memakai satu analisis dan satu graf benar per skenario; kesimpulan umum memerlukan variasi graf, ukuran efek, dan kekuatan klaster.</w:t>
      </w:r>
    </w:p>
    <w:p>
      <w:pPr>
        <w:jc w:val="both"/>
      </w:pPr>
      <w:r>
        <w:rPr>
          <w:b/>
        </w:rPr>
        <w:t>Benchmark v2 (pra-registrasi).</w:t>
      </w:r>
      <w:r>
        <w:t xml:space="preserve"> H1v2 (Estimasi sadar-query memulihkan efek): </w:t>
      </w:r>
      <w:r>
        <w:rPr>
          <w:b/>
        </w:rPr>
        <w:t>diterima</w:t>
      </w:r>
      <w:r>
        <w:t xml:space="preserve"> — ICC 0.05 β -0.15: cakupan 92.5%, efek nol 0.0%; ICC 0.05 β -0.6: cakupan 92.5%, efek nol 0.0%; ICC 0.4 β -0.15: cakupan 91.0%, efek nol 0.0%; ICC 0.4 β -0.6: cakupan 93.0%, efek nol 0.0%; H2v2 (v2 lebih akurat daripada aturan v1 pada efek kecil): </w:t>
      </w:r>
      <w:r>
        <w:rPr>
          <w:b/>
        </w:rPr>
        <w:t>gagal</w:t>
      </w:r>
      <w:r>
        <w:t xml:space="preserve"> — ICC 0.05: RMSE v2 0.0300 vs v1 0.0318 (lebih kecil) (p Holm 3.4e-09); ICC 0.4: RMSE v2 0.0341 vs v1 0.0307 (TIDAK lebih kecil) (p Holm 0.00049); H3v2 (Uji desain terkalibrasi (ICC 0,4)): </w:t>
      </w:r>
      <w:r>
        <w:rPr>
          <w:b/>
        </w:rPr>
        <w:t>diterima</w:t>
      </w:r>
      <w:r>
        <w:t xml:space="preserve"> — galat tipe I desain 5.7% (Wilson 5.3%–6.1%, n≈12000); H4v2 (Uji naif tidak terkalibrasi (ICC 0,4)): </w:t>
      </w:r>
      <w:r>
        <w:rPr>
          <w:b/>
        </w:rPr>
        <w:t>diterima</w:t>
      </w:r>
      <w:r>
        <w:t xml:space="preserve"> — galat tipe I naif 14.1%; H5v2 (Kehilangan daya uji terbatas): </w:t>
      </w:r>
      <w:r>
        <w:rPr>
          <w:b/>
        </w:rPr>
        <w:t>diterima</w:t>
      </w:r>
      <w:r>
        <w:t xml:space="preserve"> — daya desain 82.0% vs naif 84.1% (selisih -2.1 pp, semua sel); H6v2 (Akurasi struktur tidak lebih buruk (ICC 0,4)): </w:t>
      </w:r>
      <w:r>
        <w:rPr>
          <w:b/>
        </w:rPr>
        <w:t>diterima</w:t>
      </w:r>
      <w:r>
        <w:t xml:space="preserve"> — SHD desain 6.14 vs naif 6.07 (selisih +0.07).</w:t>
      </w:r>
    </w:p>
    <w:p>
      <w:pPr>
        <w:jc w:val="both"/>
      </w:pPr>
      <w:r>
        <w:rPr>
          <w:b/>
        </w:rPr>
        <w:t>Benchmark v3 (pra-registrasi).</w:t>
      </w:r>
      <w:r>
        <w:t xml:space="preserve"> H8a (Uji desain terkalibrasi pada deff heterogen): </w:t>
      </w:r>
      <w:r>
        <w:rPr>
          <w:b/>
        </w:rPr>
        <w:t>diterima</w:t>
      </w:r>
      <w:r>
        <w:t xml:space="preserve"> — galat tipe I 5.2% (Wilson 4.7%–5.7%); H8b (Pembanding lazim salah kalibrasi): </w:t>
      </w:r>
      <w:r>
        <w:rPr>
          <w:b/>
        </w:rPr>
        <w:t>diterima</w:t>
      </w:r>
      <w:r>
        <w:t xml:space="preserve"> — naif 18.2%, Kish 18.4% (&gt; 10%?); deff-global 0.4% (&lt; 2,5%?); H8c (Uji desain setara sandwich CR1): </w:t>
      </w:r>
      <w:r>
        <w:rPr>
          <w:b/>
        </w:rPr>
        <w:t>diterima → klaim 'uji baru' DICABUT</w:t>
      </w:r>
      <w:r>
        <w:t xml:space="preserve"> — kesepakatan keputusan pada H0 99.9% (heterogen 99.9%; homogen 99.9%); H8d (Daya uji desain &gt; deff-global): </w:t>
      </w:r>
      <w:r>
        <w:rPr>
          <w:b/>
        </w:rPr>
        <w:t>diterima</w:t>
      </w:r>
      <w:r>
        <w:t xml:space="preserve"> — daya desain 54.3% vs deff-global 43.4% (selisih +10.8 pp); H7a (Validitas himpunan penyesuaian desain ≥ naif dan Kish (heterogen)): </w:t>
      </w:r>
      <w:r>
        <w:rPr>
          <w:b/>
        </w:rPr>
        <w:t>gagal</w:t>
      </w:r>
      <w:r>
        <w:t xml:space="preserve"> — desain 72.0% vs naif 90.0% (p Holm 1), Kish 84.0% (p Holm 1); H7b (FDR sisi desain &lt; naif): </w:t>
      </w:r>
      <w:r>
        <w:rPr>
          <w:b/>
        </w:rPr>
        <w:t>diterima</w:t>
      </w:r>
      <w:r>
        <w:t xml:space="preserve"> — heterogen: 0.072 vs 0.191 (p Holm 7.8e-10); homogen: 0.052 vs 0.167 (p Holm 7.8e-10); H9 (Cakupan CI (uji desain, p = 15)): </w:t>
      </w:r>
      <w:r>
        <w:rPr>
          <w:b/>
        </w:rPr>
        <w:t>diterima</w:t>
      </w:r>
      <w:r>
        <w:t xml:space="preserve"> — heterogen: gabungan 100.0%, utama 100.0%; homogen: gabungan 98.0%, utama 98.0%. Tafsiran bagian ambigu: H8a, H8b, H8d pada skenario heterogen (inti S8); H8c gabungan kedua skenario; H7a heterogen seperti tertulis; H7b dan H9 memakai skenario heterogen sebagai utama (homogen dilaporkan); H9 pada uji desain_usulan, p = 15.</w:t>
      </w:r>
    </w:p>
    <w:p>
      <w:pPr>
        <w:pStyle w:val="Heading3"/>
      </w:pPr>
      <w:r>
        <w:t>Putusan hipotesis</w:t>
      </w:r>
    </w:p>
    <w:p>
      <w:pPr>
        <w:keepNext/>
      </w:pPr>
      <w:r>
        <w:rPr>
          <w:b/>
          <w:color w:val="1F3A5F"/>
          <w:sz w:val="18"/>
        </w:rPr>
        <w:t>Tabel 1.1.1 Putusan H1–H5 (SOL-DAG vs 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hipotesis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aspek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perbandingan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SOL lebih baik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putusan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H1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Akurasi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didukung sebagian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H2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Kecepatan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didukung sebagian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H3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Memori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didukung sebagian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H4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Konvergensi &amp; stabilitas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didukung sebagian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H5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Validitas koreksi desain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didukung sebagian</w:t>
            </w:r>
          </w:p>
        </w:tc>
      </w:tr>
    </w:tbl>
    <w:p/>
    <w:p>
      <w:pPr>
        <w:pStyle w:val="Heading3"/>
      </w:pPr>
      <w:r>
        <w:t>Skenario A</w:t>
      </w:r>
    </w:p>
    <w:p>
      <w:pPr>
        <w:keepNext/>
      </w:pPr>
      <w:r>
        <w:rPr>
          <w:b/>
          <w:color w:val="1F3A5F"/>
          <w:sz w:val="18"/>
        </w:rPr>
        <w:t>Tabel 1.1.2 Metrik rata-rata per metode, skenario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</w:trPr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SHD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SID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RMSE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bias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efek nol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cakupan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detik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memori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stabilitas SHD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B1 DAG pakar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16,0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44,0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0,0090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−0,0001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85%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18,9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69,7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0,0090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−0,0002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82%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1,65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3,9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14,5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B3 BN skor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14,7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61,3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0,0135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+0,0042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35%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57%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0,44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5,9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9,0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N1 SD-Hybrid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15,6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70,9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0,0185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+0,0131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77%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19%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4,33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11,4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2,9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15,3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68,9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0,0185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+0,0131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77%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18%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0,27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8,1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4,5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SOL-DAG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16,9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76,2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0,0197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+0,0192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93%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6%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2,80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4,0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3,3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16,6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67,5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0,0173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+0,0119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59%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37%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1,51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4,0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7,9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17,6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85,5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0,0197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+0,0192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93%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6%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3,10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4,0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3,9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15,6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70,7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0,0186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+0,0132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77%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18%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4,34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8,1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3,1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47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1.1.3 Akurasi struktur dan efek, skenario A</w:t>
      </w:r>
    </w:p>
    <w:p>
      <w:pPr>
        <w:keepNext/>
      </w:pPr>
      <w:r>
        <w:rPr>
          <w:b/>
          <w:color w:val="1F3A5F"/>
          <w:sz w:val="18"/>
        </w:rPr>
        <w:t>Tabel 1.1.3 Uji berpasangan Wilcoxon satu sisi (SOL-DAG &lt; pembanding), skenario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hipotesis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pembanding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metrik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SOL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lawan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median selisih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p holm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keputusan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B1 DAG pakar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16,89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B1 DAG pakar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76,18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44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+38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B1 DAG pakar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0,01941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0,007236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+0,01344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16,89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18,92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76,18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69,71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0,01941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0,007214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+0,01362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B3 BN skor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16,89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14,69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B3 BN skor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76,18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61,33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B3 BN skor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0,01941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0,01108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+0,0101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N1 SD-Hybrid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16,89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15,59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N1 SD-Hybrid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76,18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70,93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+3,5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N1 SD-Hybrid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0,01941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0,01799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16,89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15,26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76,18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68,94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0,01941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0,01798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16,89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16,56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76,18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67,52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0,01941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0,01588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16,89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17,62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76,18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85,47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0,01941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0,01937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16,89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15,58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76,18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70,66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+5,5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0,01941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0,01793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2,799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1,65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+1,084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B3 BN skor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2,799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0,4399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+2,144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N1 SD-Hybrid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2,799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4,33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−1,437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2,799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0,2692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+2,357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2,799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1,505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+1,14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2,799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3,098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−0,2335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2,799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4,339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−1,374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4,039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3,902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+0,1362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B3 BN skor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4,039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5,85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−1,812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N1 SD-Hybrid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4,039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11,38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−7,348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4,039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8,087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−4,049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4,039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4,03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+0,009275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4,039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4,039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−3,9e−05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0,1405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tidak berbeda bermakna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4,039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8,088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−4,049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3,293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14,52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B3 BN skor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3,293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8,98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N1 SD-Hybrid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3,293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2,929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3,293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4,505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3,293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7,899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3,293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3,879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0,1368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tidak berbeda bermakna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3,293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3,071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benar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1.1.4 Graf benar skenario A</w:t>
      </w:r>
    </w:p>
    <w:p>
      <w:pPr>
        <w:pStyle w:val="Heading3"/>
      </w:pPr>
      <w:r>
        <w:t>Skenario B</w:t>
      </w:r>
    </w:p>
    <w:p>
      <w:pPr>
        <w:keepNext/>
      </w:pPr>
      <w:r>
        <w:rPr>
          <w:b/>
          <w:color w:val="1F3A5F"/>
          <w:sz w:val="18"/>
        </w:rPr>
        <w:t>Tabel 1.1.5 Metrik rata-rata per metode, skenario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</w:trPr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SHD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SID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RMSE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bias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efek nol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cakupan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detik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memori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stabilitas SHD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SOL-DAG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14,1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79,7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0,0263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+0,0020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10%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75%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11,97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3,4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8,0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15,3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0,0304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+0,0091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24%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63%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562,39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7,9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4,2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N3 MLC-DAG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23,2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75,8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0,0104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−0,0005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85%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8,30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4,9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18,5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N3 tanpa konstruk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28,1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82,6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0,0129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+0,0007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84%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15,55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7,5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20,7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B2 indikator mentah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18,9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69,8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0,0105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−0,0006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88%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170,34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7,8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15,5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B3 indikator mentah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14,3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85,5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0,0104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−0,0005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85%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8,43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11,6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7,7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297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2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1.1.6 Akurasi struktur dan efek, skenario B</w:t>
      </w:r>
    </w:p>
    <w:p>
      <w:pPr>
        <w:keepNext/>
      </w:pPr>
      <w:r>
        <w:rPr>
          <w:b/>
          <w:color w:val="1F3A5F"/>
          <w:sz w:val="18"/>
        </w:rPr>
        <w:t>Tabel 1.1.6 Uji berpasangan Wilcoxon satu sisi (SOL-DAG &lt; pembanding), skenario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hipotesis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pembanding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metrik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SOL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lawan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median selisih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p holm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keputusan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B2 indikator mentah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14,06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18,89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B2 indikator mentah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79,68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69,85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B2 indikator mentah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0,02017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0,008305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+0,008902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B3 indikator mentah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14,06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14,34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tidak berbeda bermakna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B3 indikator mentah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79,68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85,5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−12,5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tidak berbeda bermakna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B3 indikator mentah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0,02017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0,0082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+0,009637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N3 MLC-DAG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14,06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23,21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−9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N3 MLC-DAG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79,68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75,77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N3 MLC-DAG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0,02017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0,008171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+0,009169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N3 tanpa konstruk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14,06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28,14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N3 tanpa konstruk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79,68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82,57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tidak berbeda bermakna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N3 tanpa konstruk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0,02017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0,009269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+0,008421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SHD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14,06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15,31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SID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79,68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tidak berbeda bermakna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abs_galat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0,02017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0,02432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−4,943e−05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0,3381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tidak berbeda bermakna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B2 indikator mentah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11,97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170,3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−165,2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B3 indikator mentah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11,97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8,432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+3,007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N3 MLC-DAG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11,97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8,305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+3,516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N3 tanpa konstruk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11,97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15,55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−2,97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detik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11,97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562,4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−601,4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B2 indikator mentah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3,445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7,755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−4,306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B3 indikator mentah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3,445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11,63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−8,177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N3 MLC-DAG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3,445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4,902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−1,454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N3 tanpa konstruk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3,445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7,458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−4,162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memori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3,445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7,875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−4,433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B2 indikator mentah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7,98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15,54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−6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B3 indikator mentah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7,98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7,727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N3 MLC-DAG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7,98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18,52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N3 tanpa konstruk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7,98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20,73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−13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0,0000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4"/>
              </w:rPr>
              <w:t>SOL lebih baik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H4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stabilitas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7,98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4,182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+4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SOL tidak lebih baik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benar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1.1.7 Graf benar skenario B</w:t>
      </w:r>
    </w:p>
    <w:p>
      <w:pPr>
        <w:pStyle w:val="Heading3"/>
      </w:pPr>
      <w:r>
        <w:t>H5 — validitas koreksi desain</w:t>
      </w:r>
    </w:p>
    <w:p>
      <w:pPr>
        <w:keepNext/>
      </w:pPr>
      <w:r>
        <w:rPr>
          <w:b/>
          <w:color w:val="1F3A5F"/>
          <w:sz w:val="18"/>
        </w:rPr>
        <w:t>Tabel 1.1.8 Galat tipe I, daya uji, dan cakupan CI 95% (interval Wilson)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uji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ci lo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ci hi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sesuai target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daya uji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naif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71,2%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69,2%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73,1%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2.000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daya uji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terkoreksi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67,8%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65,8%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69,9%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2.000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galat tipe I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naif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12,8%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11,4%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14,3%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2.000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  <w:shd w:val="clear" w:color="auto" w:fill="D4EDDA"/>
          </w:tcPr>
          <w:p>
            <w:r/>
            <w:r>
              <w:rPr>
                <w:sz w:val="16"/>
              </w:rPr>
              <w:t>galat tipe 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6"/>
              </w:rPr>
              <w:t>terkoreksi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6"/>
              </w:rPr>
              <w:t>4,5%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6"/>
              </w:rPr>
              <w:t>3,6%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6"/>
              </w:rPr>
              <w:t>5,4%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6"/>
              </w:rPr>
              <w:t>2.000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6"/>
              </w:rPr>
              <w:t>5%</w:t>
            </w:r>
          </w:p>
        </w:tc>
        <w:tc>
          <w:tcPr>
            <w:tcW w:type="dxa" w:w="1218"/>
            <w:shd w:val="clear" w:color="auto" w:fill="D4EDDA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A)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SOL-DAG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2,8%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12,5%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A)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SOL tanpa koreksi desain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37,0%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28,2%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46,8%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A)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B1 DAG pakar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85,0%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76,7%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90,7%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A)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82,0%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88,3%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A)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B3 BN skor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57,0%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47,2%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66,3%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A)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19,0%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12,5%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27,8%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A)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18,0%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11,7%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26,7%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B)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SOL-DAG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75,0%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65,7%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82,5%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B)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B2 indikator mentah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88,0%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80,2%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93,0%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B)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B3 indikator mentah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85,0%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76,7%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90,7%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B)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85,0%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76,7%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90,7%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cakupan CI 95% (skenario B)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N3 tanpa konstruk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84,0%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75,6%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89,9%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False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956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1.1.8 H5: proporsi dan interval Wilson terhadap target (garis putus-putus)</w:t>
      </w:r>
    </w:p>
    <w:p>
      <w:pPr>
        <w:pStyle w:val="Heading3"/>
      </w:pPr>
      <w:r>
        <w:t>Benchmark v2 (pra-registrasi)</w:t>
      </w:r>
    </w:p>
    <w:p>
      <w:pPr>
        <w:keepNext/>
      </w:pPr>
      <w:r>
        <w:rPr>
          <w:b/>
          <w:color w:val="1F3A5F"/>
          <w:sz w:val="18"/>
        </w:rPr>
        <w:t>Tabel 1.1.v2a Putusan H1v2–H6v2 menurut kriteria PRAREGISTRASI_v2.md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kode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hipotesis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hasil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putusan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H1v2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Estimasi sadar-query memulihkan efek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ICC 0.05 β -0.15: cakupan 92.5%, efek nol 0.0%; ICC 0.05 β -0.6: cakupan 92.5%, efek nol 0.0%; ICC 0.4 β -0.15: cakupan 91.0%, efek nol 0.0%; ICC 0.4 β -0.6: cakupan 93.0%, efek nol 0.0%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H2v2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v2 lebih akurat daripada aturan v1 pada efek kecil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ICC 0.05: RMSE v2 0.0300 vs v1 0.0318 (lebih kecil) (p Holm 3.4e-09); ICC 0.4: RMSE v2 0.0341 vs v1 0.0307 (TIDAK lebih kecil) (p Holm 0.00049)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gagal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H3v2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Uji desain terkalibrasi (ICC 0,4)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galat tipe I desain 5.7% (Wilson 5.3%–6.1%, n≈12000)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H4v2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Uji naif tidak terkalibrasi (ICC 0,4)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galat tipe I naif 14.1%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H5v2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Kehilangan daya uji terbatas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daya desain 82.0% vs naif 84.1% (selisih -2.1 pp, semua sel)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H6v2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Akurasi struktur tidak lebih buruk (ICC 0,4)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SHD desain 6.14 vs naif 6.07 (selisih +0.07)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1.1.v2b Metrik per sel grid (ICC × β_TY) dan varian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>
        <w:trPr>
          <w:tblHeader w:val="true"/>
        </w:trPr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icc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beta ty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varian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rep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SHD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RMSE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cakupan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efek nol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detik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MB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t1 naif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t1 desain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daya naif</w:t>
            </w:r>
          </w:p>
        </w:tc>
        <w:tc>
          <w:tcPr>
            <w:tcW w:type="dxa" w:w="696"/>
            <w:shd w:val="clear" w:color="auto" w:fill="D9E2F3"/>
          </w:tcPr>
          <w:p>
            <w:r/>
            <w:r>
              <w:rPr>
                <w:b/>
                <w:sz w:val="14"/>
              </w:rPr>
              <w:t>daya desain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0,05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−0,15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v1 aturan lama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5,63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0,0318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6,0%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91,5%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1,74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0,4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5,4%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83,2%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82,6%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0,05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−0,15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desain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5,63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92,5%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1,81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5,4%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83,2%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82,6%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0,05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−0,15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naif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5,33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0,0302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93,0%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2,29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5,4%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83,2%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82,6%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0,05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−0,60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v1 aturan lama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5,02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0,0562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72,5%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23,0%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1,85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5,3%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5,3%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86,5%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85,5%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0,05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−0,60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desain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5,02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0,0279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92,5%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1,86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5,3%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5,3%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86,5%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85,5%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0,05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−0,60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naif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4,63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0,0278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91,5%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2,40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5,3%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5,3%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86,5%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85,5%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0,05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+0,00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v1 aturan lama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5,71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0,0113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98,0%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97,5%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5,2%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5,4%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82,1%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81,7%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0,05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+0,00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desain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5,71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0,0310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91,5%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1,05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5,2%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5,4%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82,1%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81,7%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0,05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+0,00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naif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5,41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0,0313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91,5%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1,34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5,2%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5,4%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82,1%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81,7%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0,40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−0,15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v1 aturan lama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6,33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0,0307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94,0%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0,89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0,4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14,2%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5,7%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83,6%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80,0%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0,40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−0,15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desain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6,33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0,0341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91,0%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0,93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14,2%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5,7%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83,6%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80,0%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0,40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−0,15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naif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6,25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0,0335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92,0%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1,50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14,2%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5,7%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83,6%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80,0%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0,40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−0,60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v1 aturan lama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5,69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0,0573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72,0%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24,5%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1,65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13,9%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5,6%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86,5%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82,9%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0,40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−0,60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desain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5,69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0,0321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93,0%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1,66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13,9%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5,6%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86,5%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82,9%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0,40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−0,60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naif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5,62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0,0317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94,0%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2,61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13,9%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5,6%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86,5%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82,9%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0,40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+0,00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v1 aturan lama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6,39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0,0090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98,5%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98,0%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0,87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0,3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14,1%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5,8%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82,7%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79,1%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0,40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+0,00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desain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6,39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0,0346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0,91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14,1%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5,8%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82,7%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79,1%</w:t>
            </w:r>
          </w:p>
        </w:tc>
      </w:tr>
      <w:tr>
        <w:tc>
          <w:tcPr>
            <w:tcW w:type="dxa" w:w="696"/>
          </w:tcPr>
          <w:p>
            <w:r/>
            <w:r>
              <w:rPr>
                <w:sz w:val="14"/>
              </w:rPr>
              <w:t>0,40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+0,00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v2 naif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200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6,34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0,0341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91,5%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1,45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1,9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14,1%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5,8%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82,7%</w:t>
            </w:r>
          </w:p>
        </w:tc>
        <w:tc>
          <w:tcPr>
            <w:tcW w:type="dxa" w:w="696"/>
          </w:tcPr>
          <w:p>
            <w:r/>
            <w:r>
              <w:rPr>
                <w:sz w:val="14"/>
              </w:rPr>
              <w:t>79,1%</w:t>
            </w:r>
          </w:p>
        </w:tc>
      </w:tr>
    </w:tbl>
    <w:p/>
    <w:p>
      <w:pPr>
        <w:pStyle w:val="Heading3"/>
      </w:pPr>
      <w:r>
        <w:t>Benchmark v3 (pra-registrasi S6–S10)</w:t>
      </w:r>
    </w:p>
    <w:p>
      <w:pPr>
        <w:keepNext/>
      </w:pPr>
      <w:r>
        <w:rPr>
          <w:b/>
          <w:color w:val="1F3A5F"/>
          <w:sz w:val="18"/>
        </w:rPr>
        <w:t>Tabel 1.1.v3a Putusan H7a–H9 menurut kriteria PRAREGISTRASI_v3.md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kode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hipotesis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hasil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putusan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H8a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Uji desain terkalibrasi pada deff heterogen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galat tipe I 5.2% (Wilson 4.7%–5.7%)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H8b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Pembanding lazim salah kalibrasi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naif 18.2%, Kish 18.4% (&gt; 10%?); deff-global 0.4% (&lt; 2,5%?)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H8c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Uji desain setara sandwich CR1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kesepakatan keputusan pada H0 99.9% (heterogen 99.9%; homogen 99.9%)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 → klaim 'uji baru' DICABUT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H8d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Daya uji desain &gt; deff-global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daya desain 54.3% vs deff-global 43.4% (selisih +10.8 pp)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H7a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Validitas himpunan penyesuaian desain ≥ naif dan Kish (heterogen)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desain 72.0% vs naif 90.0% (p Holm 1), Kish 84.0% (p Holm 1)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gagal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H7b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FDR sisi desain &lt; naif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heterogen: 0.072 vs 0.191 (p Holm 7.8e-10); homogen: 0.052 vs 0.167 (p Holm 7.8e-10)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H9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Cakupan CI (uji desain, p = 15)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heterogen: gabungan 100.0%, utama 100.0%; homogen: gabungan 98.0%, utama 98.0%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</w:tbl>
    <w:p/>
    <w:p>
      <w:r>
        <w:rPr>
          <w:i/>
        </w:rPr>
        <w:t>Tafsiran bagian ambigu: H8a, H8b, H8d pada skenario heterogen (inti S8); H8c gabungan kedua skenario; H7a heterogen seperti tertulis; H7b dan H9 memakai skenario heterogen sebagai utama (homogen dilaporkan); H9 pada uji desain_usulan, p = 15.</w:t>
      </w:r>
    </w:p>
    <w:p>
      <w:pPr>
        <w:keepNext/>
      </w:pPr>
      <w:r>
        <w:rPr>
          <w:b/>
          <w:color w:val="1F3A5F"/>
          <w:sz w:val="18"/>
        </w:rPr>
        <w:t>Tabel 1.1.v3b S8: galat tipe I dan daya lima uji per skenario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skenario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uji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tipeI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wilson lo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wilson hi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n H0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daya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n H1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heterogen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naif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18,2%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17,3%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19,1%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63,9%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4668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heterogen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kish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18,4%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17,5%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19,3%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62,8%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4668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heterogen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deff_global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0,4%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0,6%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43,4%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4668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heterogen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sandwich_CR1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4,8%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5,8%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54,3%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4668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heterogen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desain_usulan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5,2%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5,7%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54,3%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4668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homogen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naif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17,2%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16,3%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18,1%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64,4%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4668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homogen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kish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17,3%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16,4%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18,1%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63,0%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4668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homogen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deff_global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0,3%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0,2%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0,4%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45,1%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4668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homogen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sandwich_CR1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4,5%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4,1%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54,1%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4668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homogen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desain_usulan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4,5%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5,0%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7332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54,2%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4668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42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1.1.v3 Galat tipe I lima uji (garis = nominal 5%)</w:t>
      </w:r>
    </w:p>
    <w:p>
      <w:pPr>
        <w:keepNext/>
      </w:pPr>
      <w:r>
        <w:rPr>
          <w:b/>
          <w:color w:val="1F3A5F"/>
          <w:sz w:val="18"/>
        </w:rPr>
        <w:t>Tabel 1.1.v3c Dampak hilir (p = 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true"/>
        </w:trPr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skenario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uji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SHD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presisi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recall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FDR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adj valid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RMSE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cakupan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cakupan gabungan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detik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MB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heterogen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deff_global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6,720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0,997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0,871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0,003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0,520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1,744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1,508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heterogen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desain_usulan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6,660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0,928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0,941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0,072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0,720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1,000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1,000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2,398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1,508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heterogen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kish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10,400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0,809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0,966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0,191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0,840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3,408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1,508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heterogen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naif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10,280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0,809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0,974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0,191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4,067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1,643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heterogen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sandwich_CR1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6,600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0,929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0,943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0,071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0,720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1,000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1,000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2,933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1,972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homogen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deff_global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5,760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0,995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0,910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0,005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0,640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1,630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1,508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homogen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desain_usulan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5,660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0,948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0,962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0,052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0,740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0,009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2,198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1,508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homogen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kish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9,240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0,833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0,975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0,167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0,820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0,009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3,116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1,508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homogen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naif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9,100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0,833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0,167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0,880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0,009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3,648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1,642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homogen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sandwich_CR1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5,660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0,948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0,961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0,052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0,740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0,009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0,980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2,716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1,972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