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Benchmark v4 (M0–M6, H10–H13)</w:t>
      </w:r>
    </w:p>
    <w:p>
      <w:r>
        <w:rPr>
          <w:i/>
        </w:rPr>
        <w:t>Inferensi kausal grafis pada data IDHS 2017 · dibuat otomatis dari aplikasi Kausal IDHS · 11-10-2026 18:24</w:t>
      </w:r>
    </w:p>
    <w:p>
      <w:pPr>
        <w:pStyle w:val="Heading1"/>
      </w:pPr>
      <w:r>
        <w:t>Pengantar</w:t>
      </w:r>
    </w:p>
    <w:p>
      <w:pPr>
        <w:jc w:val="both"/>
      </w:pPr>
      <w:r>
        <w:t>Laporan ini menghimpun hasil, tabel, grafik, rangkuman proses, dan narasi dari menu Benchmark v4 (M0–M6, H10–H13) untuk 6 analisis: sanitasi_diare (T_sanitasi → Y_diare); pbi_diare (T_pbi → Y_diare); pbi_neonatal (T_pbi → Y_mati_neonatal); fasilitas_neonatal (T_fasilitas → Y_mati_neonatal); sanitasi_diare_ctps (T_sanitasi → Y_diare); pbi_diare_biaya (T_pbi → Y_diare).</w:t>
      </w:r>
    </w:p>
    <w:p>
      <w:pPr>
        <w:jc w:val="both"/>
      </w:pPr>
      <w:r>
        <w:t>Seluruh estimasi memakai bobot sampel (v005/10⁶) dan desain survei berklaster (PSU v021, strata v023) IDHS 2017.</w:t>
      </w:r>
    </w:p>
    <w:p>
      <w:r>
        <w:br w:type="page"/>
      </w:r>
    </w:p>
    <w:p>
      <w:pPr>
        <w:pStyle w:val="Heading1"/>
      </w:pPr>
      <w:r>
        <w:t>1. Benchmark v4 (M0–M6, H10–H13)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Setiap replikasi membangkitkan graf acak patuh tier (15 atau 30 node): kovariat di tier 0–2, treatment biner T di tier 3, outcome biner Y di tier 4; tiga kovariat dipaksa menjadi confounder (kuat: koefisien 0,30–0,50; lemah: 0,05–0,15) dan 15% kovariat lain disembunyikan dari metode.</w:t>
      </w:r>
    </w:p>
    <w:p>
      <w:pPr>
        <w:spacing w:after="40"/>
        <w:ind w:left="340" w:hanging="340"/>
      </w:pPr>
      <w:r>
        <w:t>2.</w:t>
        <w:tab/>
        <w:t>Data dibangkitkan pada desain sintetis setara IDHS (67 strata × 29 PSU × 9 unit) dengan efek acak PSU per variabel (ICC heterogen U(0,1; 0,8) atau 0,15); efek benar dihitung eksak dari model probit.</w:t>
      </w:r>
    </w:p>
    <w:p>
      <w:pPr>
        <w:spacing w:after="40"/>
        <w:ind w:left="340" w:hanging="340"/>
      </w:pPr>
      <w:r>
        <w:t>3.</w:t>
        <w:tab/>
        <w:t>Tujuh strategi memilih himpunan penyesuaian: M0 semua kovariat pra-treatment; M1 induk T di DAG pakar yang 30% panahnya keliru; M2 PC naif; M3 PC dengan uji terkoreksi desain; M4 = M3 dengan α longgar (0,10, 0,20, 0,30) untuk pasangan yang melibatkan T atau Y; M5 induk T dari M3 ∪ M1; M6 induk T atau induk Y dari graf M3.</w:t>
      </w:r>
    </w:p>
    <w:p>
      <w:pPr>
        <w:spacing w:after="40"/>
        <w:ind w:left="340" w:hanging="340"/>
      </w:pPr>
      <w:r>
        <w:t>4.</w:t>
        <w:tab/>
        <w:t>Semua strategi memakai estimator yang sama: AIPW cross-fitting 5 lipatan per PSU, SE linearisasi desain, sehingga perbedaan hasil hanya berasal dari himpunan penyesuaian.</w:t>
      </w:r>
    </w:p>
    <w:p>
      <w:pPr>
        <w:spacing w:after="40"/>
        <w:ind w:left="340" w:hanging="340"/>
      </w:pPr>
      <w:r>
        <w:t>5.</w:t>
        <w:tab/>
        <w:t>Grid 24 sel (ICC × efek × kekuatan confounder × jumlah node), 200 replikasi per sel = 4.800 survei simulasi. Ukuran: validitas himpunan penyesuaian di graf benar, FDR skeleton, RMSE, dan cakupan CI 95%.</w:t>
      </w:r>
    </w:p>
    <w:p>
      <w:pPr>
        <w:spacing w:after="40"/>
        <w:ind w:left="340" w:hanging="340"/>
      </w:pPr>
      <w:r>
        <w:t>6.</w:t>
        <w:tab/>
        <w:t>Hipotesis H10–H13 dan cara membacanya dikunci sebelum simulasi penuh (RENCANA_ANALISIS_v4.md, tag git rencana-v4) dan diuji pada sel ICC heterogen.</w:t>
      </w:r>
    </w:p>
    <w:p>
      <w:pPr>
        <w:pStyle w:val="Heading3"/>
      </w:pPr>
      <w:r>
        <w:t>Narasi</w:t>
      </w:r>
    </w:p>
    <w:p>
      <w:pPr>
        <w:jc w:val="both"/>
      </w:pPr>
      <w:r>
        <w:rPr>
          <w:b/>
        </w:rPr>
        <w:t>Kalibrasi melawan identifikasi.</w:t>
      </w:r>
      <w:r>
        <w:t xml:space="preserve"> Koreksi desain memperbaiki graf: FDR skeleton turun dari 27,1% (M2, uji naif) menjadi 13,4% (M3, uji terkoreksi). Namun himpunan penyesuaian yang valid justru turun dari 55,0% menjadi 49,2%, dan RMSE naik dari 0,0136 menjadi 0,0142. Uji yang ukurannya benar lebih sulit mendeteksi sisi confounder yang lemah, sehingga graf yang lebih baik menghasilkan himpunan penyesuaian yang lebih buruk.</w:t>
      </w:r>
    </w:p>
    <w:p>
      <w:pPr>
        <w:jc w:val="both"/>
      </w:pPr>
      <w:r>
        <w:rPr>
          <w:b/>
        </w:rPr>
        <w:t>Melonggarkan α (M4) hanya memulihkan sebagian.</w:t>
      </w:r>
      <w:r>
        <w:t xml:space="preserve"> Validitas naik dari 51,8% pada α_T = 0,10 menjadi 58,2% pada 0,30, dengan FDR tetap 14,0%–16,5%. Memperbesar himpunan lebih efektif: M5 mencapai 69,8% dan M6 77,2%.</w:t>
      </w:r>
    </w:p>
    <w:p>
      <w:pPr>
        <w:jc w:val="both"/>
      </w:pPr>
      <w:r>
        <w:rPr>
          <w:b/>
        </w:rPr>
        <w:t>Dua acuan.</w:t>
      </w:r>
      <w:r>
        <w:t xml:space="preserve"> M0 (semua kovariat pra-treatment) valid pada 99,2% replikasi dengan RMSE 0,0098 dan cakupan 94,4%, memakai rata-rata 17,5 kovariat (M6: 9,6). M1 (DAG pakar yang 30% keliru) adalah pilihan terburuk: valid 14,2%, RMSE 0,0487, cakupan 56,3%.</w:t>
      </w:r>
    </w:p>
    <w:p>
      <w:pPr>
        <w:jc w:val="both"/>
      </w:pPr>
      <w:r>
        <w:rPr>
          <w:b/>
        </w:rPr>
        <w:t>Kekuatan confounder menentukan.</w:t>
      </w:r>
      <w:r>
        <w:t xml:space="preserve"> Pada semua sel, validitas dengan confounder kuat adalah 73,3% (M2), 72,0% (M3), dan 95,3% (M6); dengan confounder lemah turun menjadi 38,6%, 31,5%, dan 65,0%. Untuk M2–M4, RMSE 0,0103 bila himpunannya valid dan 0,0159 bila tidak; cakupan 94,3% dan 86,8%.</w:t>
      </w:r>
    </w:p>
    <w:p>
      <w:pPr>
        <w:jc w:val="both"/>
      </w:pPr>
      <w:r>
        <w:rPr>
          <w:b/>
        </w:rPr>
        <w:t>Putusan hipotesis.</w:t>
      </w:r>
      <w:r>
        <w:t xml:space="preserve"> H10: </w:t>
      </w:r>
      <w:r>
        <w:rPr>
          <w:b/>
        </w:rPr>
        <w:t>ditolak</w:t>
      </w:r>
      <w:r>
        <w:t xml:space="preserve"> — M6 77.2% (Wilson 75.5%-78.8%) vs M2 55.0%, M0 99.2%; H11: </w:t>
      </w:r>
      <w:r>
        <w:rPr>
          <w:b/>
        </w:rPr>
        <w:t>diterima</w:t>
      </w:r>
      <w:r>
        <w:t xml:space="preserve"> — 0.140 vs 0.271 (Wilcoxon p 0); H12: </w:t>
      </w:r>
      <w:r>
        <w:rPr>
          <w:b/>
        </w:rPr>
        <w:t>ditolak</w:t>
      </w:r>
      <w:r>
        <w:t xml:space="preserve"> — M6 0.0099 vs M0 0.0098 (Wilcoxon |galat| p 0.086); H13: </w:t>
      </w:r>
      <w:r>
        <w:rPr>
          <w:b/>
        </w:rPr>
        <w:t>diterima</w:t>
      </w:r>
      <w:r>
        <w:t xml:space="preserve"> — M6 94.0%. H10 ditolak, sehingga sesuai rencana hasil ini dibaca sebagai peringatan: penemuan graf dengan uji terkalibrasi belum dapat diandalkan untuk memilih confounder. H12 ditolak hanya pada nilai titik; M6 dan M0 praktis setara dalam ketepatan.</w:t>
      </w:r>
    </w:p>
    <w:p>
      <w:pPr>
        <w:jc w:val="both"/>
      </w:pPr>
      <w:r>
        <w:rPr>
          <w:b/>
        </w:rPr>
        <w:t>M0–M6 pada IDHS 2017.</w:t>
      </w:r>
      <w:r>
        <w:t xml:space="preserve"> sanitasi layak → diare pada balita (2 minggu terakhir): RD -0,0326 sampai -0,0299 di ketujuh strategi (n = 16.232), semua CI 95% tidak memuat nol; kepesertaan JKN PBI → diare pada balita (2 minggu terakhir): RD 0,0235 sampai 0,0266 di ketujuh strategi (n = 16.508), semua CI 95% tidak memuat nol. Efek benar tidak diketahui pada data nyata; yang dibaca adalah konsistensi antar-himpunan, bukan peringkat metode. Arah positif pada JKN PBI mencerminkan confounding penargetan, bukan bukti bahaya.</w:t>
      </w:r>
    </w:p>
    <w:p>
      <w:pPr>
        <w:jc w:val="both"/>
      </w:pPr>
      <w:r>
        <w:t>Keterbatasan: graf simulasi tidak memuat mediator antara T dan Y, sehingga M0 aman secara konstruksi; efek laten linear, satu desain sampling, dan satu algoritma penemuan (PC-stable).</w:t>
      </w:r>
    </w:p>
    <w:p>
      <w:pPr>
        <w:pStyle w:val="Heading3"/>
      </w:pPr>
      <w:r>
        <w:t>Putusan hipotesis</w:t>
      </w:r>
    </w:p>
    <w:p>
      <w:pPr>
        <w:keepNext/>
      </w:pPr>
      <w:r>
        <w:rPr>
          <w:b/>
          <w:color w:val="1F3A5F"/>
          <w:sz w:val="18"/>
        </w:rPr>
        <w:t>Tabel 1.1 Putusan H10–H13 menurut RENCANA_ANALISIS_v4.md (sel ICC heterogen)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kode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hipotesis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hasil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putusan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H10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Validitas penyesuaian metode terbaik (M4 utama/M5/M6) &gt;= 90% dan &gt;= M2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M6 77.2% (Wilson 75.5%-78.8%) vs M2 55.0%, M0 99.2%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ditolak</w:t>
            </w:r>
          </w:p>
        </w:tc>
      </w:tr>
      <w:tr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H11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FDR sisi M4(aT=0.1) &lt;= M2 (naif)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0.140 vs 0.271 (Wilcoxon p 0)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H12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RMSE metode terbaik &lt;= M0 (semua kovariat pra-treatment)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M6 0.0099 vs M0 0.0098 (Wilcoxon |galat| p 0.086)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ditolak</w:t>
            </w:r>
          </w:p>
        </w:tc>
      </w:tr>
      <w:tr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H13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Cakupan CI 95% metode terbaik &gt;= 92%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M6 94.0%</w:t>
            </w:r>
          </w:p>
        </w:tc>
        <w:tc>
          <w:tcPr>
            <w:tcW w:type="dxa" w:w="2436"/>
            <w:shd w:val="clear" w:color="auto" w:fill="D4EDDA"/>
          </w:tcPr>
          <w:p>
            <w:r/>
            <w:r>
              <w:rPr>
                <w:sz w:val="16"/>
              </w:rPr>
              <w:t>diterima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Gerbang 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Bingkai naskah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terbaik = M6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B (studi peringatan)</w:t>
            </w:r>
          </w:p>
        </w:tc>
      </w:tr>
    </w:tbl>
    <w:p/>
    <w:p>
      <w:pPr>
        <w:pStyle w:val="Heading3"/>
      </w:pPr>
      <w:r>
        <w:t>Kinerja per metode</w:t>
      </w:r>
    </w:p>
    <w:p>
      <w:pPr>
        <w:keepNext/>
      </w:pPr>
      <w:r>
        <w:rPr>
          <w:b/>
          <w:color w:val="1F3A5F"/>
          <w:sz w:val="18"/>
        </w:rPr>
        <w:t>Tabel 1.2 Kinerja per metode, ICC heterogen (interval Wilson untuk validitas)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rPr>
          <w:tblHeader w:val="true"/>
        </w:trPr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replikasi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valid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valid lo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valid hi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bias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RMSE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cakupan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lebar CI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n Z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FDR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recall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99,2%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98,8%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99,5%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0,0098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94,4%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0,0357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17,5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14,2%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12,8%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15,6%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0,0487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56,3%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0,0359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5,2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55,0%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53,0%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57,0%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−0,0006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0,0136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91,3%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0,0390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6,8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27,1%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94,2%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M3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49,2%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47,3%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51,2%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−0,0006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0,0142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91,2%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0,0390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6,4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13,4%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92,9%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M4(aT=0.1)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51,8%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49,8%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53,8%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−0,0006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0,0138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91,2%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0,0389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6,6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14,0%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93,5%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M4(aT=0.2)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55,7%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53,7%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57,7%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−0,0005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0,0134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91,8%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0,0389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6,9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15,2%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94,3%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M4(aT=0.3)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58,2%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56,3%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60,2%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−0,0005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0,0133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91,9%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0,0389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7,2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16,5%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94,7%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M5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69,8%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67,9%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71,6%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−0,0003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0,0128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92,5%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0,0389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7,3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M6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77,2%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75,5%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78,8%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0,0099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94,0%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0,0353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9,6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1.3 Kinerja per metode, ICC 0,15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rPr>
          <w:tblHeader w:val="true"/>
        </w:trPr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replikasi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valid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valid lo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valid hi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bias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RMSE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cakupan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lebar CI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n Z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FDR</w:t>
            </w:r>
          </w:p>
        </w:tc>
        <w:tc>
          <w:tcPr>
            <w:tcW w:type="dxa" w:w="812"/>
            <w:shd w:val="clear" w:color="auto" w:fill="D9E2F3"/>
          </w:tcPr>
          <w:p>
            <w:r/>
            <w:r>
              <w:rPr>
                <w:b/>
                <w:sz w:val="14"/>
              </w:rPr>
              <w:t>recall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99,4%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99,0%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99,6%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0,0088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93,5%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0,0314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17,5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13,6%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12,3%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15,0%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0,0475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51,7%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0,0308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5,2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56,9%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54,9%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58,9%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−0,0007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0,0124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90,5%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0,0341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6,7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15,3%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94,2%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M3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54,2%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52,3%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56,2%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0,0126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90,0%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0,0342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6,6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13,6%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93,8%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M4(aT=0.1)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57,0%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55,0%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59,0%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−0,0007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0,0124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90,6%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0,0342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6,8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14,2%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94,3%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M4(aT=0.2)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60,9%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58,9%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62,8%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0,0123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90,9%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0,0342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7,1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15,4%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94,9%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M4(aT=0.3)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62,7%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60,8%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64,6%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−0,0007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0,0121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91,1%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0,0341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7,4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16,8%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95,2%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M5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72,2%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70,3%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73,9%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−0,0005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0,0105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92,4%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0,0341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7,4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4"/>
              </w:rPr>
              <w:t>M6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2400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83,1%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81,6%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84,6%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−0,0001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0,0088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93,5%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0,0311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9,8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812"/>
          </w:tcPr>
          <w:p>
            <w:r/>
            <w:r>
              <w:rPr>
                <w:sz w:val="14"/>
              </w:rPr>
              <w:t>–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 Validitas himpunan penyesuaian dan FDR skeleton, ICC heterogen (M0, M1, M5, M6 tidak menjalankan penemuan graf sendiri)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 RMSE dan cakupan CI 95% per metode, ICC heterogen</w:t>
      </w:r>
    </w:p>
    <w:p>
      <w:pPr>
        <w:pStyle w:val="Heading3"/>
      </w:pPr>
      <w:r>
        <w:t>Validitas menurut faktor simulasi</w:t>
      </w:r>
    </w:p>
    <w:p>
      <w:pPr>
        <w:keepNext/>
      </w:pPr>
      <w:r>
        <w:rPr>
          <w:b/>
          <w:color w:val="1F3A5F"/>
          <w:sz w:val="18"/>
        </w:rPr>
        <w:t>Tabel 1.4 Himpunan valid menurut kekuatan confounder, semua sel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kuat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lemah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99,3%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99,2%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14,3%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13,4%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73,3%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38,6%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72,0%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31,5%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M4(aT=0.1)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73,1%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35,7%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M4(aT=0.2)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75,0%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41,6%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M4(aT=0.3)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76,0%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45,0%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78,6%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63,3%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95,3%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65,0%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1.5 Himpunan valid menurut jumlah node, semua sel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30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99,8%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98,8%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21,4%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6,4%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63,4%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48,5%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58,9%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44,6%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M4(aT=0.1)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62,0%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46,8%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M4(aT=0.2)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65,9%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50,7%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M4(aT=0.3)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68,4%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52,6%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79,9%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62,0%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83,4%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76,9%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1.6 Himpunan valid menurut efek T→Y (laten probit), semua sel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-0.6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-0.15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0.0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M0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99,2%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99,3%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99,3%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M1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14,4%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13,9%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13,4%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M2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53,8%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56,9%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57,2%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M3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49,1%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52,3%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53,8%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M4(aT=0.1)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52,3%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54,8%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56,1%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M4(aT=0.2)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56,2%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59,1%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59,5%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M4(aT=0.3)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57,9%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61,8%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61,7%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M5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69,7%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71,0%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72,2%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M6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78,5%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80,6%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81,4%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1.7 Himpunan valid menurut ICC, semua sel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0.15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heterogen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99,4%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99,2%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13,6%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14,2%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56,9%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55,0%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54,2%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49,2%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M4(aT=0.1)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57,0%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51,8%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M4(aT=0.2)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60,9%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55,7%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M4(aT=0.3)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62,7%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58,2%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72,2%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69,8%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M6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83,1%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77,2%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86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6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 Validitas menurut kekuatan confounder, semua sel</w:t>
      </w:r>
    </w:p>
    <w:p>
      <w:pPr>
        <w:pStyle w:val="Heading3"/>
      </w:pPr>
      <w:r>
        <w:t>M0–M6 pada IDHS 2017</w:t>
      </w:r>
    </w:p>
    <w:p>
      <w:pPr>
        <w:keepNext/>
      </w:pPr>
      <w:r>
        <w:rPr>
          <w:b/>
          <w:color w:val="1F3A5F"/>
          <w:sz w:val="18"/>
        </w:rPr>
        <w:t>Tabel 1.8 sanitasi_diare: risk difference per strategi (AIPW cross-fitting per PSU, n = 16.232)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4"/>
              </w:rPr>
              <w:t>n Z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4"/>
              </w:rPr>
              <w:t>Z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M0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−0,0323 [−0,0536; −0,0110]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anak_laki, cuci_tangan_klaster_lo, org_per_kamar, p0_daerah_mar2017, pend_ibu_thn, perdesaan, punya_ternak, sanitasi_klaster_lo, skor_kekayaan_nonwash, umur_anak_bln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M1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−0,0299 [−0,0506; −0,0092]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p0_daerah_mar2017, pend_ibu_thn, perdesaan, sanitasi_klaster_lo, skor_kekayaan_nonwash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M2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−0,0318 [−0,0527; −0,0109]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sanitasi_klaster_lo, pend_ibu_thn, org_per_kamar, skor_kekayaan_nonwash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M3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−0,0318 [−0,0527; −0,0109]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sanitasi_klaster_lo, pend_ibu_thn, org_per_kamar, skor_kekayaan_nonwash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M4(aT=0.1)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−0,0318 [−0,0527; −0,0109]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sanitasi_klaster_lo, pend_ibu_thn, org_per_kamar, skor_kekayaan_nonwash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M4(aT=0.2)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−0,0318 [−0,0527; −0,0109]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sanitasi_klaster_lo, pend_ibu_thn, org_per_kamar, skor_kekayaan_nonwash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M4(aT=0.3)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−0,0318 [−0,0527; −0,0109]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sanitasi_klaster_lo, pend_ibu_thn, org_per_kamar, skor_kekayaan_nonwash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M5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−0,0301 [−0,0509; −0,0092]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org_per_kamar, p0_daerah_mar2017, pend_ibu_thn, perdesaan, sanitasi_klaster_lo, skor_kekayaan_nonwash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M6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−0,0326 [−0,0538; −0,0115]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org_per_kamar, pend_ibu_thn, sanitasi_klaster_lo, skor_kekayaan_nonwash, umur_anak_bln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 sanitasi_diare: RD dan CI 95% di bawah himpunan penyesuaian M0–M6</w:t>
      </w:r>
    </w:p>
    <w:p>
      <w:pPr>
        <w:keepNext/>
      </w:pPr>
      <w:r>
        <w:rPr>
          <w:b/>
          <w:color w:val="1F3A5F"/>
          <w:sz w:val="18"/>
        </w:rPr>
        <w:t>Tabel 1.9 pbi_diare: risk difference per strategi (AIPW cross-fitting per PSU, n = 16.508)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4"/>
              </w:rPr>
              <w:t>n Z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4"/>
              </w:rPr>
              <w:t>Z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M0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+0,0245 [+0,0072; +0,0417]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anak_laki, ibu_bekerja, jml_art, kk_perempuan, p0_daerah_mar2017, pbi_pct_prov, pend_ibu_thn, perdesaan, skor_kekayaan_nonwash, umur_anak_bln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M1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+0,0266 [+0,0092; +0,0440]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ibu_bekerja, jml_art, kk_perempuan, p0_daerah_mar2017, pbi_pct_prov, pend_ibu_thn, perdesaan, skor_kekayaan_nonwash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M2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+0,0261 [+0,0089; +0,0433]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pbi_pct_prov, ibu_bekerja, jml_art, pend_ibu_thn, skor_kekayaan_nonwash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M3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+0,0255 [+0,0083; +0,0427]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pbi_pct_prov, ibu_bekerja, jml_art, pend_ibu_thn, skor_kekayaan_nonwash, T_sanitasi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M4(aT=0.1)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+0,0255 [+0,0083; +0,0427]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pbi_pct_prov, ibu_bekerja, jml_art, pend_ibu_thn, skor_kekayaan_nonwash, T_sanitasi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M4(aT=0.2)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+0,0235 [+0,0064; +0,0406]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pbi_pct_prov, ibu_bekerja, jml_art, pend_ibu_thn, umur_anak_bln, skor_kekayaan_nonwash, T_sanitasi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M4(aT=0.3)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+0,0235 [+0,0064; +0,0406]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pbi_pct_prov, ibu_bekerja, jml_art, pend_ibu_thn, umur_anak_bln, skor_kekayaan_nonwash, T_sanitasi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M5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+0,0260 [+0,0086; +0,0434]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T_sanitasi, ibu_bekerja, jml_art, kk_perempuan, p0_daerah_mar2017, pbi_pct_prov, pend_ibu_thn, perdesaan, skor_kekayaan_nonwash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M6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+0,0235 [+0,0064; +0,0406]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T_sanitasi, ibu_bekerja, jml_art, pbi_pct_prov, pend_ibu_thn, skor_kekayaan_nonwash, umur_anak_bln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 pbi_diare: RD dan CI 95% di bawah himpunan penyesuaian M0–M6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