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Fiscal Service Intelligence</w:t>
      </w:r>
    </w:p>
    <w:p>
      <w:pPr>
        <w:jc w:val="center"/>
      </w:pPr>
      <w:r>
        <w:rPr>
          <w:b/>
          <w:sz w:val="28"/>
        </w:rPr>
        <w:t>Executive Brief</w:t>
        <w:br/>
      </w:r>
      <w:r>
        <w:t>Tanggal Laporan: 09 June 2026</w:t>
      </w:r>
    </w:p>
    <w:p>
      <w:r>
        <w:t>Generated by Fiscal Service Intelligence (FSI)</w:t>
      </w:r>
    </w:p>
    <w:p>
      <w:r>
        <w:t>Data Source: HAI DJPb, IKPA, Realisasi Anggaran</w:t>
      </w:r>
    </w:p>
    <w:p>
      <w:r>
        <w:br w:type="page"/>
      </w:r>
    </w:p>
    <w:p>
      <w:pPr>
        <w:pStyle w:val="Heading1"/>
      </w:pPr>
      <w:r>
        <w:t>1. Ringkasan Eksekutif</w:t>
      </w:r>
    </w:p>
    <w:p>
      <w:r>
        <w:t>Periode Analisis: 2020-01 s.d. 2022-12</w:t>
      </w:r>
    </w:p>
    <w:p>
      <w:r>
        <w:t>Fiscal Service Intelligence (FSI) memanfaatkan data layanan HAI DJPb untuk mengidentifikasi pola permasalahan pelaksanaan anggaran, mengukur kompleksitas layanan, serta mendeteksi potensi risiko yang dapat mempengaruhi kualitas pelaksanaan anggaran. Berdasarkan hasil analisis, topik prioritas tertinggi saat ini adalah UP_TUP_GUP dengan Watchlist Score 93,11.</w:t>
      </w:r>
    </w:p>
    <w:p>
      <w:r>
        <w:t>Topik prioritas saat ini meliputi: UP_TUP_GUP, MPN_G3, LPJ_BENDAHARA, SAKTI, SIMASPATEN.</w:t>
      </w:r>
    </w:p>
    <w:p>
      <w:pPr>
        <w:pStyle w:val="Heading1"/>
      </w:pPr>
      <w:r>
        <w:t>2. Early Warning Watchlist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Rank</w:t>
            </w:r>
          </w:p>
        </w:tc>
        <w:tc>
          <w:tcPr>
            <w:tcW w:type="dxa" w:w="2160"/>
          </w:tcPr>
          <w:p>
            <w:r>
              <w:t>Topic</w:t>
            </w:r>
          </w:p>
        </w:tc>
        <w:tc>
          <w:tcPr>
            <w:tcW w:type="dxa" w:w="2160"/>
          </w:tcPr>
          <w:p>
            <w:r>
              <w:t>Score</w:t>
            </w:r>
          </w:p>
        </w:tc>
        <w:tc>
          <w:tcPr>
            <w:tcW w:type="dxa" w:w="2160"/>
          </w:tcPr>
          <w:p>
            <w:r>
              <w:t>Priority</w:t>
            </w:r>
          </w:p>
        </w:tc>
      </w:tr>
      <w:tr>
        <w:tc>
          <w:tcPr>
            <w:tcW w:type="dxa" w:w="2160"/>
          </w:tcPr>
          <w:p>
            <w:r>
              <w:t>1</w:t>
            </w:r>
          </w:p>
        </w:tc>
        <w:tc>
          <w:tcPr>
            <w:tcW w:type="dxa" w:w="2160"/>
          </w:tcPr>
          <w:p>
            <w:r>
              <w:t>UP_TUP_GUP</w:t>
            </w:r>
          </w:p>
        </w:tc>
        <w:tc>
          <w:tcPr>
            <w:tcW w:type="dxa" w:w="2160"/>
          </w:tcPr>
          <w:p>
            <w:r>
              <w:t>93,11</w:t>
            </w:r>
          </w:p>
        </w:tc>
        <w:tc>
          <w:tcPr>
            <w:tcW w:type="dxa" w:w="2160"/>
          </w:tcPr>
          <w:p>
            <w:r>
              <w:t>CRITICAL</w:t>
            </w:r>
          </w:p>
        </w:tc>
      </w:tr>
      <w:tr>
        <w:tc>
          <w:tcPr>
            <w:tcW w:type="dxa" w:w="2160"/>
          </w:tcPr>
          <w:p>
            <w:r>
              <w:t>2</w:t>
            </w:r>
          </w:p>
        </w:tc>
        <w:tc>
          <w:tcPr>
            <w:tcW w:type="dxa" w:w="2160"/>
          </w:tcPr>
          <w:p>
            <w:r>
              <w:t>MPN_G3</w:t>
            </w:r>
          </w:p>
        </w:tc>
        <w:tc>
          <w:tcPr>
            <w:tcW w:type="dxa" w:w="2160"/>
          </w:tcPr>
          <w:p>
            <w:r>
              <w:t>77,11</w:t>
            </w:r>
          </w:p>
        </w:tc>
        <w:tc>
          <w:tcPr>
            <w:tcW w:type="dxa" w:w="2160"/>
          </w:tcPr>
          <w:p>
            <w:r>
              <w:t>CRITICAL</w:t>
            </w:r>
          </w:p>
        </w:tc>
      </w:tr>
      <w:tr>
        <w:tc>
          <w:tcPr>
            <w:tcW w:type="dxa" w:w="2160"/>
          </w:tcPr>
          <w:p>
            <w:r>
              <w:t>3</w:t>
            </w:r>
          </w:p>
        </w:tc>
        <w:tc>
          <w:tcPr>
            <w:tcW w:type="dxa" w:w="2160"/>
          </w:tcPr>
          <w:p>
            <w:r>
              <w:t>LPJ_BENDAHARA</w:t>
            </w:r>
          </w:p>
        </w:tc>
        <w:tc>
          <w:tcPr>
            <w:tcW w:type="dxa" w:w="2160"/>
          </w:tcPr>
          <w:p>
            <w:r>
              <w:t>68,04</w:t>
            </w:r>
          </w:p>
        </w:tc>
        <w:tc>
          <w:tcPr>
            <w:tcW w:type="dxa" w:w="2160"/>
          </w:tcPr>
          <w:p>
            <w:r>
              <w:t>HIGH</w:t>
            </w:r>
          </w:p>
        </w:tc>
      </w:tr>
      <w:tr>
        <w:tc>
          <w:tcPr>
            <w:tcW w:type="dxa" w:w="2160"/>
          </w:tcPr>
          <w:p>
            <w:r>
              <w:t>4</w:t>
            </w:r>
          </w:p>
        </w:tc>
        <w:tc>
          <w:tcPr>
            <w:tcW w:type="dxa" w:w="2160"/>
          </w:tcPr>
          <w:p>
            <w:r>
              <w:t>SAKTI</w:t>
            </w:r>
          </w:p>
        </w:tc>
        <w:tc>
          <w:tcPr>
            <w:tcW w:type="dxa" w:w="2160"/>
          </w:tcPr>
          <w:p>
            <w:r>
              <w:t>67,98</w:t>
            </w:r>
          </w:p>
        </w:tc>
        <w:tc>
          <w:tcPr>
            <w:tcW w:type="dxa" w:w="2160"/>
          </w:tcPr>
          <w:p>
            <w:r>
              <w:t>HIGH</w:t>
            </w:r>
          </w:p>
        </w:tc>
      </w:tr>
      <w:tr>
        <w:tc>
          <w:tcPr>
            <w:tcW w:type="dxa" w:w="2160"/>
          </w:tcPr>
          <w:p>
            <w:r>
              <w:t>5</w:t>
            </w:r>
          </w:p>
        </w:tc>
        <w:tc>
          <w:tcPr>
            <w:tcW w:type="dxa" w:w="2160"/>
          </w:tcPr>
          <w:p>
            <w:r>
              <w:t>SIMASPATEN</w:t>
            </w:r>
          </w:p>
        </w:tc>
        <w:tc>
          <w:tcPr>
            <w:tcW w:type="dxa" w:w="2160"/>
          </w:tcPr>
          <w:p>
            <w:r>
              <w:t>66,21</w:t>
            </w:r>
          </w:p>
        </w:tc>
        <w:tc>
          <w:tcPr>
            <w:tcW w:type="dxa" w:w="2160"/>
          </w:tcPr>
          <w:p>
            <w:r>
              <w:t>HIGH</w:t>
            </w:r>
          </w:p>
        </w:tc>
      </w:tr>
      <w:tr>
        <w:tc>
          <w:tcPr>
            <w:tcW w:type="dxa" w:w="2160"/>
          </w:tcPr>
          <w:p>
            <w:r>
              <w:t>6</w:t>
            </w:r>
          </w:p>
        </w:tc>
        <w:tc>
          <w:tcPr>
            <w:tcW w:type="dxa" w:w="2160"/>
          </w:tcPr>
          <w:p>
            <w:r>
              <w:t>OMSPAN</w:t>
            </w:r>
          </w:p>
        </w:tc>
        <w:tc>
          <w:tcPr>
            <w:tcW w:type="dxa" w:w="2160"/>
          </w:tcPr>
          <w:p>
            <w:r>
              <w:t>62,75</w:t>
            </w:r>
          </w:p>
        </w:tc>
        <w:tc>
          <w:tcPr>
            <w:tcW w:type="dxa" w:w="2160"/>
          </w:tcPr>
          <w:p>
            <w:r>
              <w:t>HIGH</w:t>
            </w:r>
          </w:p>
        </w:tc>
      </w:tr>
      <w:tr>
        <w:tc>
          <w:tcPr>
            <w:tcW w:type="dxa" w:w="2160"/>
          </w:tcPr>
          <w:p>
            <w:r>
              <w:t>7</w:t>
            </w:r>
          </w:p>
        </w:tc>
        <w:tc>
          <w:tcPr>
            <w:tcW w:type="dxa" w:w="2160"/>
          </w:tcPr>
          <w:p>
            <w:r>
              <w:t>SAS</w:t>
            </w:r>
          </w:p>
        </w:tc>
        <w:tc>
          <w:tcPr>
            <w:tcW w:type="dxa" w:w="2160"/>
          </w:tcPr>
          <w:p>
            <w:r>
              <w:t>62,21</w:t>
            </w:r>
          </w:p>
        </w:tc>
        <w:tc>
          <w:tcPr>
            <w:tcW w:type="dxa" w:w="2160"/>
          </w:tcPr>
          <w:p>
            <w:r>
              <w:t>HIGH</w:t>
            </w:r>
          </w:p>
        </w:tc>
      </w:tr>
      <w:tr>
        <w:tc>
          <w:tcPr>
            <w:tcW w:type="dxa" w:w="2160"/>
          </w:tcPr>
          <w:p>
            <w:r>
              <w:t>8</w:t>
            </w:r>
          </w:p>
        </w:tc>
        <w:tc>
          <w:tcPr>
            <w:tcW w:type="dxa" w:w="2160"/>
          </w:tcPr>
          <w:p>
            <w:r>
              <w:t>GPP</w:t>
            </w:r>
          </w:p>
        </w:tc>
        <w:tc>
          <w:tcPr>
            <w:tcW w:type="dxa" w:w="2160"/>
          </w:tcPr>
          <w:p>
            <w:r>
              <w:t>61,42</w:t>
            </w:r>
          </w:p>
        </w:tc>
        <w:tc>
          <w:tcPr>
            <w:tcW w:type="dxa" w:w="2160"/>
          </w:tcPr>
          <w:p>
            <w:r>
              <w:t>HIGH</w:t>
            </w:r>
          </w:p>
        </w:tc>
      </w:tr>
      <w:tr>
        <w:tc>
          <w:tcPr>
            <w:tcW w:type="dxa" w:w="2160"/>
          </w:tcPr>
          <w:p>
            <w:r>
              <w:t>9</w:t>
            </w:r>
          </w:p>
        </w:tc>
        <w:tc>
          <w:tcPr>
            <w:tcW w:type="dxa" w:w="2160"/>
          </w:tcPr>
          <w:p>
            <w:r>
              <w:t>SPM</w:t>
            </w:r>
          </w:p>
        </w:tc>
        <w:tc>
          <w:tcPr>
            <w:tcW w:type="dxa" w:w="2160"/>
          </w:tcPr>
          <w:p>
            <w:r>
              <w:t>57,73</w:t>
            </w:r>
          </w:p>
        </w:tc>
        <w:tc>
          <w:tcPr>
            <w:tcW w:type="dxa" w:w="2160"/>
          </w:tcPr>
          <w:p>
            <w:r>
              <w:t>HIGH</w:t>
            </w:r>
          </w:p>
        </w:tc>
      </w:tr>
      <w:tr>
        <w:tc>
          <w:tcPr>
            <w:tcW w:type="dxa" w:w="2160"/>
          </w:tcPr>
          <w:p>
            <w:r>
              <w:t>10</w:t>
            </w:r>
          </w:p>
        </w:tc>
        <w:tc>
          <w:tcPr>
            <w:tcW w:type="dxa" w:w="2160"/>
          </w:tcPr>
          <w:p>
            <w:r>
              <w:t>SPAN</w:t>
            </w:r>
          </w:p>
        </w:tc>
        <w:tc>
          <w:tcPr>
            <w:tcW w:type="dxa" w:w="2160"/>
          </w:tcPr>
          <w:p>
            <w:r>
              <w:t>54,26</w:t>
            </w:r>
          </w:p>
        </w:tc>
        <w:tc>
          <w:tcPr>
            <w:tcW w:type="dxa" w:w="2160"/>
          </w:tcPr>
          <w:p>
            <w:r>
              <w:t>MEDIUM</w:t>
            </w:r>
          </w:p>
        </w:tc>
      </w:tr>
    </w:tbl>
    <w:p/>
    <w:p>
      <w:pPr>
        <w:pStyle w:val="Heading1"/>
      </w:pPr>
      <w:r>
        <w:t>3. Leading Indicator Analysis</w:t>
      </w:r>
    </w:p>
    <w:p>
      <w:r>
        <w:t>Topik dengan hubungan terkuat terhadap IKPA adalah UP_TUP_GUP dengan korelasi -0.830 dan lag 0 bulan.</w:t>
      </w:r>
    </w:p>
    <w:p>
      <w:r>
        <w:t>Topik dengan hubungan terkuat terhadap realisasi anggaran adalah SAS dengan korelasi -0.570 dan lag 0 bulan.</w:t>
      </w:r>
    </w:p>
    <w:p>
      <w:pPr>
        <w:pStyle w:val="Heading1"/>
      </w:pPr>
      <w:r>
        <w:t>4. Risk Monitoring</w:t>
      </w:r>
    </w:p>
    <w:p>
      <w:r>
        <w:t>Distribusi risiko selama periode analisis:</w:t>
        <w:br/>
        <w:t>GREEN: 27  |  YELLOW: 5  |  RED: 4</w:t>
      </w:r>
    </w:p>
    <w:p>
      <w:pPr>
        <w:pStyle w:val="Heading1"/>
      </w:pPr>
      <w:r>
        <w:t>5. Key Findings</w:t>
      </w:r>
    </w:p>
    <w:p>
      <w:pPr>
        <w:pStyle w:val="ListBullet"/>
      </w:pPr>
      <w:r>
        <w:t>Topik UP_TUP_GUP merupakan prioritas pembinaan tertinggi berdasarkan kombinasi indikator emerging issues, complexity, dan impact.</w:t>
      </w:r>
    </w:p>
    <w:p>
      <w:pPr>
        <w:pStyle w:val="ListBullet"/>
      </w:pPr>
      <w:r>
        <w:t>Topik UP_TUP_GUP memiliki hubungan negatif terkuat terhadap kualitas pelaksanaan anggaran (IKPA).</w:t>
      </w:r>
    </w:p>
    <w:p>
      <w:pPr>
        <w:pStyle w:val="ListBullet"/>
      </w:pPr>
      <w:r>
        <w:t>Topik SAS berpotensi mempengaruhi realisasi anggaran dalam kurun waktu 0 bulan.</w:t>
      </w:r>
    </w:p>
    <w:p>
      <w:pPr>
        <w:pStyle w:val="ListBullet"/>
      </w:pPr>
      <w:r>
        <w:t>Data layanan HAI DJPb dapat dimanfaatkan sebagai early warning system pelaksanaan anggaran.</w:t>
      </w:r>
    </w:p>
    <w:p>
      <w:pPr>
        <w:pStyle w:val="Heading1"/>
      </w:pPr>
      <w:r>
        <w:t>6. Recommendations</w:t>
      </w:r>
    </w:p>
    <w:p>
      <w:pPr>
        <w:pStyle w:val="ListNumber"/>
      </w:pPr>
      <w:r>
        <w:t>Prioritaskan pembinaan pada topik UP_TUP_GUP.</w:t>
      </w:r>
    </w:p>
    <w:p>
      <w:pPr>
        <w:pStyle w:val="ListNumber"/>
      </w:pPr>
      <w:r>
        <w:t>Fokuskan monitoring pada topik yang memiliki hubungan kuat dengan IKPA dan realisasi.</w:t>
      </w:r>
    </w:p>
    <w:p>
      <w:pPr>
        <w:pStyle w:val="ListNumber"/>
      </w:pPr>
      <w:r>
        <w:t>Manfaatkan Early Warning Watchlist sebagai dasar penentuan prioritas pembinaan.</w:t>
      </w:r>
    </w:p>
    <w:p>
      <w:pPr>
        <w:pStyle w:val="ListNumber"/>
      </w:pPr>
      <w:r>
        <w:t>Gunakan data HAI DJPb sebagai sumber informasi strategis dalam pengambilan keputusan.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