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3752D" w14:textId="1AFB93CD" w:rsidR="00044EE3" w:rsidRDefault="00044EE3" w:rsidP="00044EE3">
      <w:pPr>
        <w:spacing w:before="10" w:after="10"/>
        <w:rPr>
          <w:rFonts w:ascii="TimesNewRomanPS" w:hAnsi="TimesNewRomanPS"/>
          <w:b/>
          <w:bCs/>
          <w:color w:val="000000" w:themeColor="text1"/>
        </w:rPr>
      </w:pPr>
      <w:r>
        <w:rPr>
          <w:rFonts w:ascii="TimesNewRomanPS" w:hAnsi="TimesNewRomanPS"/>
          <w:b/>
          <w:bCs/>
        </w:rPr>
        <w:t xml:space="preserve">Press release for </w:t>
      </w:r>
      <w:r w:rsidRPr="00044EE3">
        <w:rPr>
          <w:rFonts w:ascii="TimesNewRomanPS" w:hAnsi="TimesNewRomanPS"/>
          <w:b/>
          <w:bCs/>
          <w:i/>
          <w:iCs/>
        </w:rPr>
        <w:t>‘</w:t>
      </w:r>
      <w:r w:rsidRPr="00044EE3">
        <w:rPr>
          <w:rFonts w:ascii="TimesNewRomanPS" w:hAnsi="TimesNewRomanPS"/>
          <w:b/>
          <w:bCs/>
          <w:i/>
          <w:iCs/>
        </w:rPr>
        <w:t xml:space="preserve">How COVID-19 Has Changed the Volatility of Different GICS Sectors Within the S&amp;P500 From </w:t>
      </w:r>
      <w:r w:rsidRPr="00044EE3">
        <w:rPr>
          <w:rFonts w:ascii="TimesNewRomanPS" w:hAnsi="TimesNewRomanPS"/>
          <w:b/>
          <w:bCs/>
          <w:i/>
          <w:iCs/>
          <w:color w:val="000000" w:themeColor="text1"/>
        </w:rPr>
        <w:t>the Same Time in 2019, A Preliminary View</w:t>
      </w:r>
      <w:r w:rsidRPr="00044EE3">
        <w:rPr>
          <w:rFonts w:ascii="TimesNewRomanPS" w:hAnsi="TimesNewRomanPS"/>
          <w:b/>
          <w:bCs/>
          <w:i/>
          <w:iCs/>
          <w:color w:val="000000" w:themeColor="text1"/>
        </w:rPr>
        <w:t>’</w:t>
      </w:r>
      <w:r>
        <w:rPr>
          <w:rFonts w:ascii="TimesNewRomanPS" w:hAnsi="TimesNewRomanPS"/>
          <w:b/>
          <w:bCs/>
          <w:color w:val="000000" w:themeColor="text1"/>
        </w:rPr>
        <w:t>.</w:t>
      </w:r>
    </w:p>
    <w:p w14:paraId="006EDF9B" w14:textId="3884F5CE" w:rsidR="00044EE3" w:rsidRDefault="00044EE3" w:rsidP="00044EE3">
      <w:pPr>
        <w:spacing w:before="10" w:after="10"/>
        <w:rPr>
          <w:rFonts w:ascii="TimesNewRomanPS" w:hAnsi="TimesNewRomanPS"/>
          <w:b/>
          <w:bCs/>
          <w:color w:val="000000" w:themeColor="text1"/>
        </w:rPr>
      </w:pPr>
    </w:p>
    <w:p w14:paraId="05BB10DF" w14:textId="77777777" w:rsidR="00044EE3" w:rsidRDefault="00044EE3" w:rsidP="00044EE3">
      <w:pPr>
        <w:spacing w:before="10" w:after="10"/>
        <w:rPr>
          <w:rFonts w:ascii="TimesNewRomanPS" w:hAnsi="TimesNewRomanPS"/>
          <w:color w:val="000000" w:themeColor="text1"/>
        </w:rPr>
      </w:pPr>
      <w:r>
        <w:rPr>
          <w:rFonts w:ascii="TimesNewRomanPS" w:hAnsi="TimesNewRomanPS"/>
          <w:color w:val="000000" w:themeColor="text1"/>
        </w:rPr>
        <w:t xml:space="preserve">This study aims to help those who want a view of what industries are more volatile to COVID-19 related economic events. </w:t>
      </w:r>
    </w:p>
    <w:p w14:paraId="5FD6B807" w14:textId="30205851" w:rsidR="00044EE3" w:rsidRDefault="00044EE3" w:rsidP="00044EE3">
      <w:pPr>
        <w:spacing w:before="10" w:after="10"/>
        <w:rPr>
          <w:rFonts w:ascii="TimesNewRomanPS" w:hAnsi="TimesNewRomanPS"/>
          <w:color w:val="000000" w:themeColor="text1"/>
        </w:rPr>
      </w:pPr>
      <w:r>
        <w:rPr>
          <w:rFonts w:ascii="TimesNewRomanPS" w:hAnsi="TimesNewRomanPS"/>
          <w:color w:val="000000" w:themeColor="text1"/>
        </w:rPr>
        <w:t>It does this by looking at a predefined industry classification standard, using advanced statistical formulas to determine the changes in the way markets have been behaving.</w:t>
      </w:r>
    </w:p>
    <w:p w14:paraId="7C8B9D85" w14:textId="77777777" w:rsidR="00044EE3" w:rsidRDefault="00044EE3" w:rsidP="00044EE3">
      <w:pPr>
        <w:spacing w:before="10" w:after="10"/>
        <w:rPr>
          <w:rFonts w:ascii="TimesNewRomanPS" w:hAnsi="TimesNewRomanPS"/>
          <w:color w:val="000000" w:themeColor="text1"/>
        </w:rPr>
      </w:pPr>
      <w:r>
        <w:rPr>
          <w:rFonts w:ascii="TimesNewRomanPS" w:hAnsi="TimesNewRomanPS"/>
          <w:color w:val="000000" w:themeColor="text1"/>
        </w:rPr>
        <w:t xml:space="preserve">We have found that, compared to last year, some industries have moved from going with market events to going against them. We have also found cases where this was the opposite. And other cases where they stayed overall the same. </w:t>
      </w:r>
    </w:p>
    <w:p w14:paraId="4C23047C" w14:textId="64008E8B" w:rsidR="00044EE3" w:rsidRPr="00044EE3" w:rsidRDefault="00044EE3" w:rsidP="00044EE3">
      <w:pPr>
        <w:spacing w:before="10" w:after="10"/>
        <w:rPr>
          <w:rFonts w:ascii="TimesNewRomanPS" w:hAnsi="TimesNewRomanPS"/>
        </w:rPr>
      </w:pPr>
      <w:r>
        <w:rPr>
          <w:rFonts w:ascii="TimesNewRomanPS" w:hAnsi="TimesNewRomanPS"/>
          <w:color w:val="000000" w:themeColor="text1"/>
        </w:rPr>
        <w:t>Overall, we found that there was a large range of perceivable changes in the unique volatilities of each industry.</w:t>
      </w:r>
    </w:p>
    <w:p w14:paraId="335C1D3E" w14:textId="046959D8" w:rsidR="007255CE" w:rsidRDefault="007255CE"/>
    <w:p w14:paraId="58A863CC" w14:textId="4F096904" w:rsidR="00044EE3" w:rsidRDefault="00044EE3"/>
    <w:p w14:paraId="370EAB7A" w14:textId="1CDEA6E8" w:rsidR="00044EE3" w:rsidRDefault="00044EE3">
      <w:r>
        <w:t xml:space="preserve">For more information regarding this research please contact Arie Hendrikse: </w:t>
      </w:r>
      <w:hyperlink r:id="rId4" w:history="1">
        <w:r w:rsidRPr="00BE09C6">
          <w:rPr>
            <w:rStyle w:val="Hyperlink"/>
          </w:rPr>
          <w:t>ahen0012@student.monash.edu</w:t>
        </w:r>
      </w:hyperlink>
      <w:r>
        <w:t xml:space="preserve"> .</w:t>
      </w:r>
      <w:bookmarkStart w:id="0" w:name="_GoBack"/>
      <w:bookmarkEnd w:id="0"/>
    </w:p>
    <w:sectPr w:rsidR="00044EE3" w:rsidSect="00347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42"/>
    <w:rsid w:val="00044EE3"/>
    <w:rsid w:val="003001AF"/>
    <w:rsid w:val="00347A16"/>
    <w:rsid w:val="007255CE"/>
    <w:rsid w:val="00A76A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FEC807B"/>
  <w15:chartTrackingRefBased/>
  <w15:docId w15:val="{EFA26E75-0D27-B148-9187-2D2DAF08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4EE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EE3"/>
    <w:rPr>
      <w:color w:val="0563C1" w:themeColor="hyperlink"/>
      <w:u w:val="single"/>
    </w:rPr>
  </w:style>
  <w:style w:type="character" w:styleId="UnresolvedMention">
    <w:name w:val="Unresolved Mention"/>
    <w:basedOn w:val="DefaultParagraphFont"/>
    <w:uiPriority w:val="99"/>
    <w:semiHidden/>
    <w:unhideWhenUsed/>
    <w:rsid w:val="00044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hen0012@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Hendrikse</dc:creator>
  <cp:keywords/>
  <dc:description/>
  <cp:lastModifiedBy>Arie Hendrikse</cp:lastModifiedBy>
  <cp:revision>2</cp:revision>
  <dcterms:created xsi:type="dcterms:W3CDTF">2020-06-18T01:04:00Z</dcterms:created>
  <dcterms:modified xsi:type="dcterms:W3CDTF">2020-06-18T01:12:00Z</dcterms:modified>
</cp:coreProperties>
</file>