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5FDC8" w14:textId="4E5024E6" w:rsidR="00C4269E" w:rsidRPr="00C4269E" w:rsidRDefault="00FA1330" w:rsidP="003A421C">
      <w:pPr>
        <w:spacing w:before="10" w:after="10"/>
        <w:rPr>
          <w:rFonts w:ascii="TimesNewRomanPS" w:hAnsi="TimesNewRomanPS"/>
          <w:b/>
          <w:bCs/>
        </w:rPr>
      </w:pPr>
      <w:r>
        <w:rPr>
          <w:rFonts w:ascii="TimesNewRomanPS" w:hAnsi="TimesNewRomanPS"/>
          <w:b/>
          <w:bCs/>
        </w:rPr>
        <w:t>How</w:t>
      </w:r>
      <w:r w:rsidR="00C41903">
        <w:rPr>
          <w:rFonts w:ascii="TimesNewRomanPS" w:hAnsi="TimesNewRomanPS"/>
          <w:b/>
          <w:bCs/>
        </w:rPr>
        <w:t xml:space="preserve"> </w:t>
      </w:r>
      <w:r w:rsidR="00C41903" w:rsidRPr="00C4269E">
        <w:rPr>
          <w:rFonts w:ascii="TimesNewRomanPS" w:hAnsi="TimesNewRomanPS"/>
          <w:b/>
          <w:bCs/>
        </w:rPr>
        <w:t>COVID</w:t>
      </w:r>
      <w:r w:rsidRPr="00C4269E">
        <w:rPr>
          <w:rFonts w:ascii="TimesNewRomanPS" w:hAnsi="TimesNewRomanPS"/>
          <w:b/>
          <w:bCs/>
        </w:rPr>
        <w:t>-19</w:t>
      </w:r>
      <w:r>
        <w:rPr>
          <w:rFonts w:ascii="TimesNewRomanPS" w:hAnsi="TimesNewRomanPS"/>
          <w:b/>
          <w:bCs/>
        </w:rPr>
        <w:t xml:space="preserve"> Has C</w:t>
      </w:r>
      <w:r w:rsidR="00241B3C">
        <w:rPr>
          <w:rFonts w:ascii="TimesNewRomanPS" w:hAnsi="TimesNewRomanPS"/>
          <w:b/>
          <w:bCs/>
        </w:rPr>
        <w:t>hanged</w:t>
      </w:r>
      <w:r w:rsidR="00C41903">
        <w:rPr>
          <w:rFonts w:ascii="TimesNewRomanPS" w:hAnsi="TimesNewRomanPS"/>
          <w:b/>
          <w:bCs/>
        </w:rPr>
        <w:t xml:space="preserve"> </w:t>
      </w:r>
      <w:r>
        <w:rPr>
          <w:rFonts w:ascii="TimesNewRomanPS" w:hAnsi="TimesNewRomanPS"/>
          <w:b/>
          <w:bCs/>
        </w:rPr>
        <w:t xml:space="preserve">The </w:t>
      </w:r>
      <w:r w:rsidRPr="00C4269E">
        <w:rPr>
          <w:rFonts w:ascii="TimesNewRomanPS" w:hAnsi="TimesNewRomanPS"/>
          <w:b/>
          <w:bCs/>
        </w:rPr>
        <w:t>Volatility</w:t>
      </w:r>
      <w:r>
        <w:rPr>
          <w:rFonts w:ascii="TimesNewRomanPS" w:hAnsi="TimesNewRomanPS"/>
          <w:b/>
          <w:bCs/>
        </w:rPr>
        <w:t xml:space="preserve"> Of</w:t>
      </w:r>
      <w:r w:rsidRPr="00C4269E">
        <w:rPr>
          <w:rFonts w:ascii="TimesNewRomanPS" w:hAnsi="TimesNewRomanPS"/>
          <w:b/>
          <w:bCs/>
        </w:rPr>
        <w:t xml:space="preserve"> Different </w:t>
      </w:r>
      <w:r w:rsidR="00C4269E" w:rsidRPr="00C4269E">
        <w:rPr>
          <w:rFonts w:ascii="TimesNewRomanPS" w:hAnsi="TimesNewRomanPS"/>
          <w:b/>
          <w:bCs/>
        </w:rPr>
        <w:t xml:space="preserve">GICS </w:t>
      </w:r>
      <w:r w:rsidRPr="00C4269E">
        <w:rPr>
          <w:rFonts w:ascii="TimesNewRomanPS" w:hAnsi="TimesNewRomanPS"/>
          <w:b/>
          <w:bCs/>
        </w:rPr>
        <w:t xml:space="preserve">Sectors Within The </w:t>
      </w:r>
      <w:r w:rsidR="00C4269E" w:rsidRPr="00C4269E">
        <w:rPr>
          <w:rFonts w:ascii="TimesNewRomanPS" w:hAnsi="TimesNewRomanPS"/>
          <w:b/>
          <w:bCs/>
        </w:rPr>
        <w:t>S</w:t>
      </w:r>
      <w:r w:rsidRPr="00C4269E">
        <w:rPr>
          <w:rFonts w:ascii="TimesNewRomanPS" w:hAnsi="TimesNewRomanPS"/>
          <w:b/>
          <w:bCs/>
        </w:rPr>
        <w:t>&amp;</w:t>
      </w:r>
      <w:r w:rsidR="00C4269E" w:rsidRPr="00C4269E">
        <w:rPr>
          <w:rFonts w:ascii="TimesNewRomanPS" w:hAnsi="TimesNewRomanPS"/>
          <w:b/>
          <w:bCs/>
        </w:rPr>
        <w:t xml:space="preserve">P500 </w:t>
      </w:r>
      <w:r>
        <w:rPr>
          <w:rFonts w:ascii="TimesNewRomanPS" w:hAnsi="TimesNewRomanPS"/>
          <w:b/>
          <w:bCs/>
        </w:rPr>
        <w:t xml:space="preserve">From </w:t>
      </w:r>
      <w:r>
        <w:rPr>
          <w:rFonts w:ascii="TimesNewRomanPS" w:hAnsi="TimesNewRomanPS"/>
          <w:b/>
          <w:bCs/>
          <w:color w:val="4472C4" w:themeColor="accent1"/>
        </w:rPr>
        <w:t>The Same Time</w:t>
      </w:r>
      <w:r w:rsidRPr="00C4269E">
        <w:rPr>
          <w:rFonts w:ascii="TimesNewRomanPS" w:hAnsi="TimesNewRomanPS"/>
          <w:b/>
          <w:bCs/>
        </w:rPr>
        <w:t xml:space="preserve"> </w:t>
      </w:r>
      <w:r w:rsidRPr="00450275">
        <w:rPr>
          <w:rFonts w:ascii="TimesNewRomanPS" w:hAnsi="TimesNewRomanPS"/>
          <w:b/>
          <w:bCs/>
          <w:color w:val="4472C4" w:themeColor="accent1"/>
        </w:rPr>
        <w:t>In 2019</w:t>
      </w:r>
      <w:r>
        <w:rPr>
          <w:rFonts w:ascii="TimesNewRomanPS" w:hAnsi="TimesNewRomanPS"/>
          <w:b/>
          <w:bCs/>
          <w:color w:val="4472C4" w:themeColor="accent1"/>
        </w:rPr>
        <w:t>,</w:t>
      </w:r>
      <w:r w:rsidRPr="00FA1330">
        <w:rPr>
          <w:rFonts w:ascii="TimesNewRomanPS" w:hAnsi="TimesNewRomanPS"/>
          <w:b/>
          <w:bCs/>
          <w:color w:val="4472C4" w:themeColor="accent1"/>
        </w:rPr>
        <w:t xml:space="preserve"> </w:t>
      </w:r>
      <w:r>
        <w:rPr>
          <w:rFonts w:ascii="TimesNewRomanPS" w:hAnsi="TimesNewRomanPS"/>
          <w:b/>
          <w:bCs/>
          <w:color w:val="4472C4" w:themeColor="accent1"/>
        </w:rPr>
        <w:t>A Preliminary View</w:t>
      </w:r>
      <w:r>
        <w:rPr>
          <w:rFonts w:ascii="TimesNewRomanPS" w:hAnsi="TimesNewRomanPS"/>
          <w:b/>
          <w:bCs/>
        </w:rPr>
        <w:t>.</w:t>
      </w:r>
      <w:bookmarkStart w:id="0" w:name="_GoBack"/>
      <w:bookmarkEnd w:id="0"/>
    </w:p>
    <w:p w14:paraId="3DC3BE65" w14:textId="22FB91D3" w:rsidR="006E5146" w:rsidRDefault="006E5146" w:rsidP="003A421C">
      <w:pPr>
        <w:spacing w:before="10" w:after="10"/>
        <w:rPr>
          <w:rFonts w:ascii="TimesNewRomanPSMT" w:hAnsi="TimesNewRomanPSMT"/>
          <w:sz w:val="20"/>
          <w:szCs w:val="20"/>
        </w:rPr>
      </w:pPr>
      <w:r>
        <w:rPr>
          <w:rFonts w:ascii="TimesNewRomanPSMT" w:hAnsi="TimesNewRomanPSMT"/>
          <w:sz w:val="20"/>
          <w:szCs w:val="20"/>
        </w:rPr>
        <w:t>Arie</w:t>
      </w:r>
      <w:r w:rsidR="0051788D" w:rsidRPr="0051788D">
        <w:rPr>
          <w:rFonts w:ascii="TimesNewRomanPSMT" w:hAnsi="TimesNewRomanPSMT"/>
          <w:sz w:val="20"/>
          <w:szCs w:val="20"/>
        </w:rPr>
        <w:t xml:space="preserve"> </w:t>
      </w:r>
      <w:r>
        <w:rPr>
          <w:rFonts w:ascii="TimesNewRomanPSMT" w:hAnsi="TimesNewRomanPSMT"/>
          <w:sz w:val="20"/>
          <w:szCs w:val="20"/>
        </w:rPr>
        <w:t>Hendrikse</w:t>
      </w:r>
      <w:r w:rsidR="0051788D" w:rsidRPr="0051788D">
        <w:rPr>
          <w:rFonts w:ascii="TimesNewRomanPSMT" w:hAnsi="TimesNewRomanPSMT"/>
          <w:position w:val="8"/>
          <w:sz w:val="12"/>
          <w:szCs w:val="12"/>
        </w:rPr>
        <w:t>*</w:t>
      </w:r>
      <w:r w:rsidR="00C4269E">
        <w:rPr>
          <w:rFonts w:ascii="TimesNewRomanPSMT" w:hAnsi="TimesNewRomanPSMT"/>
          <w:position w:val="8"/>
          <w:sz w:val="12"/>
          <w:szCs w:val="12"/>
        </w:rPr>
        <w:t>1</w:t>
      </w:r>
      <w:r w:rsidR="0051788D" w:rsidRPr="0051788D">
        <w:rPr>
          <w:rFonts w:ascii="TimesNewRomanPSMT" w:hAnsi="TimesNewRomanPSMT"/>
          <w:position w:val="8"/>
          <w:sz w:val="12"/>
          <w:szCs w:val="12"/>
        </w:rPr>
        <w:br/>
        <w:t>1</w:t>
      </w:r>
      <w:r w:rsidR="0051788D" w:rsidRPr="0051788D">
        <w:rPr>
          <w:rFonts w:ascii="TimesNewRomanPSMT" w:hAnsi="TimesNewRomanPSMT"/>
          <w:sz w:val="20"/>
          <w:szCs w:val="20"/>
        </w:rPr>
        <w:t xml:space="preserve">Faculty of Information Technology, Monash University, Australia 3800 </w:t>
      </w:r>
      <w:r w:rsidR="0051788D" w:rsidRPr="0051788D">
        <w:rPr>
          <w:rFonts w:ascii="TimesNewRomanPSMT" w:hAnsi="TimesNewRomanPSMT"/>
          <w:position w:val="8"/>
          <w:sz w:val="12"/>
          <w:szCs w:val="12"/>
        </w:rPr>
        <w:t>*</w:t>
      </w:r>
      <w:r w:rsidR="0051788D" w:rsidRPr="0051788D">
        <w:rPr>
          <w:rFonts w:ascii="TimesNewRomanPSMT" w:hAnsi="TimesNewRomanPSMT"/>
          <w:sz w:val="20"/>
          <w:szCs w:val="20"/>
        </w:rPr>
        <w:t>Corresponding</w:t>
      </w:r>
      <w:r w:rsidR="006A40A4">
        <w:rPr>
          <w:rFonts w:ascii="TimesNewRomanPSMT" w:hAnsi="TimesNewRomanPSMT"/>
          <w:sz w:val="20"/>
          <w:szCs w:val="20"/>
        </w:rPr>
        <w:t xml:space="preserve"> </w:t>
      </w:r>
      <w:r w:rsidR="0051788D" w:rsidRPr="0051788D">
        <w:rPr>
          <w:rFonts w:ascii="TimesNewRomanPSMT" w:hAnsi="TimesNewRomanPSMT"/>
          <w:sz w:val="20"/>
          <w:szCs w:val="20"/>
        </w:rPr>
        <w:t>author:</w:t>
      </w:r>
      <w:r>
        <w:rPr>
          <w:rFonts w:ascii="TimesNewRomanPSMT" w:hAnsi="TimesNewRomanPSMT"/>
          <w:sz w:val="20"/>
          <w:szCs w:val="20"/>
        </w:rPr>
        <w:t>ahen0012@student.monash.edu</w:t>
      </w:r>
    </w:p>
    <w:p w14:paraId="56320631" w14:textId="77777777" w:rsidR="00942A8A" w:rsidRPr="0051788D" w:rsidRDefault="00942A8A" w:rsidP="003A421C">
      <w:pPr>
        <w:spacing w:before="10" w:after="10"/>
        <w:rPr>
          <w:rFonts w:ascii="TimesNewRomanPSMT" w:hAnsi="TimesNewRomanPSMT"/>
          <w:sz w:val="20"/>
          <w:szCs w:val="20"/>
        </w:rPr>
      </w:pPr>
    </w:p>
    <w:p w14:paraId="7195693F" w14:textId="77777777" w:rsidR="00942A8A" w:rsidRDefault="0051788D" w:rsidP="003A421C">
      <w:pPr>
        <w:spacing w:before="10" w:after="10"/>
      </w:pPr>
      <w:r w:rsidRPr="0051788D">
        <w:rPr>
          <w:rFonts w:ascii="TimesNewRomanPS" w:hAnsi="TimesNewRomanPS"/>
          <w:b/>
          <w:bCs/>
        </w:rPr>
        <w:t xml:space="preserve">Author contributions. </w:t>
      </w:r>
      <w:r w:rsidR="00022302">
        <w:tab/>
      </w:r>
    </w:p>
    <w:p w14:paraId="5FC3CBEA" w14:textId="6D5E7285" w:rsidR="0051788D" w:rsidRDefault="0051788D" w:rsidP="003A421C">
      <w:pPr>
        <w:spacing w:before="10" w:after="10"/>
        <w:rPr>
          <w:rFonts w:ascii="TimesNewRomanPSMT" w:hAnsi="TimesNewRomanPSMT"/>
          <w:sz w:val="20"/>
          <w:szCs w:val="20"/>
        </w:rPr>
      </w:pPr>
      <w:r w:rsidRPr="0051788D">
        <w:rPr>
          <w:rFonts w:ascii="TimesNewRomanPSMT" w:hAnsi="TimesNewRomanPSMT"/>
          <w:sz w:val="20"/>
          <w:szCs w:val="20"/>
        </w:rPr>
        <w:t>A.</w:t>
      </w:r>
      <w:r w:rsidR="006E5146">
        <w:rPr>
          <w:rFonts w:ascii="TimesNewRomanPSMT" w:hAnsi="TimesNewRomanPSMT"/>
          <w:sz w:val="20"/>
          <w:szCs w:val="20"/>
        </w:rPr>
        <w:t>H</w:t>
      </w:r>
      <w:r w:rsidRPr="0051788D">
        <w:rPr>
          <w:rFonts w:ascii="TimesNewRomanPSMT" w:hAnsi="TimesNewRomanPSMT"/>
          <w:sz w:val="20"/>
          <w:szCs w:val="20"/>
        </w:rPr>
        <w:t xml:space="preserve">. proposed the research question, designed the study, </w:t>
      </w:r>
      <w:r w:rsidR="006E5146" w:rsidRPr="0051788D">
        <w:rPr>
          <w:rFonts w:ascii="TimesNewRomanPSMT" w:hAnsi="TimesNewRomanPSMT"/>
          <w:sz w:val="20"/>
          <w:szCs w:val="20"/>
        </w:rPr>
        <w:t>wrangled the dat</w:t>
      </w:r>
      <w:r w:rsidR="006E5146">
        <w:rPr>
          <w:rFonts w:ascii="TimesNewRomanPSMT" w:hAnsi="TimesNewRomanPSMT"/>
          <w:sz w:val="20"/>
          <w:szCs w:val="20"/>
        </w:rPr>
        <w:t>a,</w:t>
      </w:r>
      <w:r w:rsidRPr="0051788D">
        <w:rPr>
          <w:rFonts w:ascii="TimesNewRomanPSMT" w:hAnsi="TimesNewRomanPSMT"/>
          <w:sz w:val="20"/>
          <w:szCs w:val="20"/>
        </w:rPr>
        <w:t xml:space="preserve"> analysed the results,</w:t>
      </w:r>
      <w:r w:rsidR="006A40A4">
        <w:rPr>
          <w:rFonts w:ascii="TimesNewRomanPSMT" w:hAnsi="TimesNewRomanPSMT"/>
          <w:sz w:val="20"/>
          <w:szCs w:val="20"/>
        </w:rPr>
        <w:t xml:space="preserve"> and</w:t>
      </w:r>
      <w:r w:rsidRPr="0051788D">
        <w:rPr>
          <w:rFonts w:ascii="TimesNewRomanPSMT" w:hAnsi="TimesNewRomanPSMT"/>
          <w:sz w:val="20"/>
          <w:szCs w:val="20"/>
        </w:rPr>
        <w:t xml:space="preserve"> drafted the paper.</w:t>
      </w:r>
    </w:p>
    <w:p w14:paraId="2937CAC8" w14:textId="77777777" w:rsidR="00942A8A" w:rsidRPr="0051788D" w:rsidRDefault="00942A8A" w:rsidP="003A421C">
      <w:pPr>
        <w:spacing w:before="10" w:after="10"/>
      </w:pPr>
    </w:p>
    <w:p w14:paraId="014A5BC1" w14:textId="77777777" w:rsidR="00942A8A" w:rsidRDefault="0051788D" w:rsidP="003A421C">
      <w:pPr>
        <w:spacing w:before="10" w:after="10"/>
        <w:rPr>
          <w:rFonts w:ascii="TimesNewRomanPSMT" w:hAnsi="TimesNewRomanPSMT"/>
        </w:rPr>
      </w:pPr>
      <w:r w:rsidRPr="0051788D">
        <w:rPr>
          <w:rFonts w:ascii="TimesNewRomanPS" w:hAnsi="TimesNewRomanPS"/>
          <w:b/>
          <w:bCs/>
        </w:rPr>
        <w:t>Abstract</w:t>
      </w:r>
      <w:r w:rsidRPr="0051788D">
        <w:rPr>
          <w:rFonts w:ascii="TimesNewRomanPSMT" w:hAnsi="TimesNewRomanPSMT"/>
        </w:rPr>
        <w:t>.</w:t>
      </w:r>
      <w:r w:rsidR="00E976C8">
        <w:rPr>
          <w:rFonts w:ascii="TimesNewRomanPSMT" w:hAnsi="TimesNewRomanPSMT"/>
        </w:rPr>
        <w:tab/>
      </w:r>
    </w:p>
    <w:p w14:paraId="7572AAAB" w14:textId="362A6FAE" w:rsidR="0051788D" w:rsidRDefault="00241B3C" w:rsidP="003A421C">
      <w:pPr>
        <w:spacing w:before="10" w:after="10"/>
        <w:rPr>
          <w:rFonts w:ascii="TimesNewRomanPSMT" w:hAnsi="TimesNewRomanPSMT"/>
          <w:sz w:val="20"/>
          <w:szCs w:val="20"/>
        </w:rPr>
      </w:pPr>
      <w:r w:rsidRPr="007512CD">
        <w:rPr>
          <w:rFonts w:ascii="TimesNewRomanPSMT" w:hAnsi="TimesNewRomanPSMT"/>
          <w:color w:val="4472C4" w:themeColor="accent1"/>
          <w:sz w:val="20"/>
          <w:szCs w:val="20"/>
        </w:rPr>
        <w:t>This paper</w:t>
      </w:r>
      <w:r w:rsidR="00E976C8" w:rsidRPr="007512CD">
        <w:rPr>
          <w:rFonts w:ascii="TimesNewRomanPSMT" w:hAnsi="TimesNewRomanPSMT"/>
          <w:color w:val="4472C4" w:themeColor="accent1"/>
          <w:sz w:val="20"/>
          <w:szCs w:val="20"/>
        </w:rPr>
        <w:t xml:space="preserve"> </w:t>
      </w:r>
      <w:r w:rsidR="00E976C8" w:rsidRPr="005B0227">
        <w:rPr>
          <w:rFonts w:ascii="TimesNewRomanPSMT" w:hAnsi="TimesNewRomanPSMT"/>
          <w:sz w:val="20"/>
          <w:szCs w:val="20"/>
        </w:rPr>
        <w:t>analyse</w:t>
      </w:r>
      <w:r>
        <w:rPr>
          <w:rFonts w:ascii="TimesNewRomanPSMT" w:hAnsi="TimesNewRomanPSMT"/>
          <w:sz w:val="20"/>
          <w:szCs w:val="20"/>
        </w:rPr>
        <w:t>s</w:t>
      </w:r>
      <w:r w:rsidR="00E976C8" w:rsidRPr="005B0227">
        <w:rPr>
          <w:rFonts w:ascii="TimesNewRomanPSMT" w:hAnsi="TimesNewRomanPSMT"/>
          <w:sz w:val="20"/>
          <w:szCs w:val="20"/>
        </w:rPr>
        <w:t xml:space="preserve"> </w:t>
      </w:r>
      <w:r w:rsidR="00A42625">
        <w:rPr>
          <w:rFonts w:ascii="TimesNewRomanPSMT" w:hAnsi="TimesNewRomanPSMT"/>
          <w:sz w:val="20"/>
          <w:szCs w:val="20"/>
        </w:rPr>
        <w:t xml:space="preserve">stock volatility of </w:t>
      </w:r>
      <w:r w:rsidR="00942A8A">
        <w:rPr>
          <w:rFonts w:ascii="TimesNewRomanPSMT" w:hAnsi="TimesNewRomanPSMT"/>
          <w:sz w:val="20"/>
          <w:szCs w:val="20"/>
        </w:rPr>
        <w:t xml:space="preserve">every </w:t>
      </w:r>
      <w:r w:rsidR="00E976C8" w:rsidRPr="005B0227">
        <w:rPr>
          <w:rFonts w:ascii="TimesNewRomanPSMT" w:hAnsi="TimesNewRomanPSMT"/>
          <w:sz w:val="20"/>
          <w:szCs w:val="20"/>
        </w:rPr>
        <w:t>CIGS sub-industry</w:t>
      </w:r>
      <w:r w:rsidR="00A42625">
        <w:rPr>
          <w:rFonts w:ascii="TimesNewRomanPSMT" w:hAnsi="TimesNewRomanPSMT"/>
          <w:sz w:val="20"/>
          <w:szCs w:val="20"/>
        </w:rPr>
        <w:t xml:space="preserve"> during the COVID-19 pandemic and compare it to the same time last year.</w:t>
      </w:r>
      <w:r w:rsidR="00942A8A">
        <w:rPr>
          <w:rFonts w:ascii="TimesNewRomanPSMT" w:hAnsi="TimesNewRomanPSMT"/>
          <w:sz w:val="20"/>
          <w:szCs w:val="20"/>
        </w:rPr>
        <w:t xml:space="preserve"> The method used was</w:t>
      </w:r>
      <w:r w:rsidR="00A42625">
        <w:rPr>
          <w:rFonts w:ascii="TimesNewRomanPSMT" w:hAnsi="TimesNewRomanPSMT"/>
          <w:sz w:val="20"/>
          <w:szCs w:val="20"/>
        </w:rPr>
        <w:t xml:space="preserve"> </w:t>
      </w:r>
      <w:r w:rsidR="007E373B">
        <w:rPr>
          <w:rFonts w:ascii="TimesNewRomanPSMT" w:hAnsi="TimesNewRomanPSMT"/>
          <w:sz w:val="20"/>
          <w:szCs w:val="20"/>
        </w:rPr>
        <w:t>to compare the average</w:t>
      </w:r>
      <w:r w:rsidR="002A3653">
        <w:rPr>
          <w:rFonts w:ascii="TimesNewRomanPSMT" w:hAnsi="TimesNewRomanPSMT"/>
          <w:sz w:val="20"/>
          <w:szCs w:val="20"/>
        </w:rPr>
        <w:t xml:space="preserve"> price </w:t>
      </w:r>
      <w:r w:rsidR="007E373B">
        <w:rPr>
          <w:rFonts w:ascii="TimesNewRomanPSMT" w:hAnsi="TimesNewRomanPSMT"/>
          <w:sz w:val="20"/>
          <w:szCs w:val="20"/>
        </w:rPr>
        <w:t xml:space="preserve">movement </w:t>
      </w:r>
      <w:r w:rsidR="002A3653">
        <w:rPr>
          <w:rFonts w:ascii="TimesNewRomanPSMT" w:hAnsi="TimesNewRomanPSMT"/>
          <w:sz w:val="20"/>
          <w:szCs w:val="20"/>
        </w:rPr>
        <w:t>for</w:t>
      </w:r>
      <w:r w:rsidR="007E373B">
        <w:rPr>
          <w:rFonts w:ascii="TimesNewRomanPSMT" w:hAnsi="TimesNewRomanPSMT"/>
          <w:sz w:val="20"/>
          <w:szCs w:val="20"/>
        </w:rPr>
        <w:t xml:space="preserve"> each industry to the rest of the market</w:t>
      </w:r>
      <w:r w:rsidR="002A3653">
        <w:rPr>
          <w:rFonts w:ascii="TimesNewRomanPSMT" w:hAnsi="TimesNewRomanPSMT"/>
          <w:sz w:val="20"/>
          <w:szCs w:val="20"/>
        </w:rPr>
        <w:t>,</w:t>
      </w:r>
      <w:r w:rsidR="007E373B">
        <w:rPr>
          <w:rFonts w:ascii="TimesNewRomanPSMT" w:hAnsi="TimesNewRomanPSMT"/>
          <w:sz w:val="20"/>
          <w:szCs w:val="20"/>
        </w:rPr>
        <w:t xml:space="preserve"> using </w:t>
      </w:r>
      <w:r w:rsidR="002A3653">
        <w:rPr>
          <w:rFonts w:ascii="TimesNewRomanPSMT" w:hAnsi="TimesNewRomanPSMT"/>
          <w:sz w:val="20"/>
          <w:szCs w:val="20"/>
        </w:rPr>
        <w:t xml:space="preserve">ordinary linear </w:t>
      </w:r>
      <w:r w:rsidR="007E373B">
        <w:rPr>
          <w:rFonts w:ascii="TimesNewRomanPSMT" w:hAnsi="TimesNewRomanPSMT"/>
          <w:sz w:val="20"/>
          <w:szCs w:val="20"/>
        </w:rPr>
        <w:t xml:space="preserve">regression to </w:t>
      </w:r>
      <w:r w:rsidR="002A3653">
        <w:rPr>
          <w:rFonts w:ascii="TimesNewRomanPSMT" w:hAnsi="TimesNewRomanPSMT"/>
          <w:sz w:val="20"/>
          <w:szCs w:val="20"/>
        </w:rPr>
        <w:t>calculate</w:t>
      </w:r>
      <w:r w:rsidR="007E373B">
        <w:rPr>
          <w:rFonts w:ascii="TimesNewRomanPSMT" w:hAnsi="TimesNewRomanPSMT"/>
          <w:sz w:val="20"/>
          <w:szCs w:val="20"/>
        </w:rPr>
        <w:t xml:space="preserve"> the Beta Coefficient of </w:t>
      </w:r>
      <w:r w:rsidR="002A3653">
        <w:rPr>
          <w:rFonts w:ascii="TimesNewRomanPSMT" w:hAnsi="TimesNewRomanPSMT"/>
          <w:sz w:val="20"/>
          <w:szCs w:val="20"/>
        </w:rPr>
        <w:t xml:space="preserve">an </w:t>
      </w:r>
      <w:r w:rsidR="007E373B">
        <w:rPr>
          <w:rFonts w:ascii="TimesNewRomanPSMT" w:hAnsi="TimesNewRomanPSMT"/>
          <w:sz w:val="20"/>
          <w:szCs w:val="20"/>
        </w:rPr>
        <w:t xml:space="preserve">individual industry with regards to all </w:t>
      </w:r>
      <w:r w:rsidR="002A3653">
        <w:rPr>
          <w:rFonts w:ascii="TimesNewRomanPSMT" w:hAnsi="TimesNewRomanPSMT"/>
          <w:sz w:val="20"/>
          <w:szCs w:val="20"/>
        </w:rPr>
        <w:t xml:space="preserve">other S&amp;P500 </w:t>
      </w:r>
      <w:r w:rsidR="007E373B">
        <w:rPr>
          <w:rFonts w:ascii="TimesNewRomanPSMT" w:hAnsi="TimesNewRomanPSMT"/>
          <w:sz w:val="20"/>
          <w:szCs w:val="20"/>
        </w:rPr>
        <w:t>stocks</w:t>
      </w:r>
      <w:r w:rsidR="001F6687">
        <w:rPr>
          <w:rFonts w:ascii="TimesNewRomanPSMT" w:hAnsi="TimesNewRomanPSMT"/>
          <w:sz w:val="20"/>
          <w:szCs w:val="20"/>
        </w:rPr>
        <w:t>,</w:t>
      </w:r>
      <w:r w:rsidR="007E373B">
        <w:rPr>
          <w:rFonts w:ascii="TimesNewRomanPSMT" w:hAnsi="TimesNewRomanPSMT"/>
          <w:sz w:val="20"/>
          <w:szCs w:val="20"/>
        </w:rPr>
        <w:t xml:space="preserve"> not in that industry. </w:t>
      </w:r>
      <w:r w:rsidR="00942A8A">
        <w:rPr>
          <w:rFonts w:ascii="TimesNewRomanPSMT" w:hAnsi="TimesNewRomanPSMT"/>
          <w:sz w:val="20"/>
          <w:szCs w:val="20"/>
        </w:rPr>
        <w:t xml:space="preserve">This paper has found that </w:t>
      </w:r>
      <w:r w:rsidR="007E373B">
        <w:rPr>
          <w:rFonts w:ascii="TimesNewRomanPSMT" w:hAnsi="TimesNewRomanPSMT"/>
          <w:sz w:val="20"/>
          <w:szCs w:val="20"/>
        </w:rPr>
        <w:t>all</w:t>
      </w:r>
      <w:r w:rsidR="00942A8A">
        <w:rPr>
          <w:rFonts w:ascii="TimesNewRomanPSMT" w:hAnsi="TimesNewRomanPSMT"/>
          <w:sz w:val="20"/>
          <w:szCs w:val="20"/>
        </w:rPr>
        <w:t xml:space="preserve"> stocks </w:t>
      </w:r>
      <w:r w:rsidR="007E373B">
        <w:rPr>
          <w:rFonts w:ascii="TimesNewRomanPSMT" w:hAnsi="TimesNewRomanPSMT"/>
          <w:sz w:val="20"/>
          <w:szCs w:val="20"/>
        </w:rPr>
        <w:t>with a previous</w:t>
      </w:r>
      <w:r w:rsidR="00942A8A">
        <w:rPr>
          <w:rFonts w:ascii="TimesNewRomanPSMT" w:hAnsi="TimesNewRomanPSMT"/>
          <w:sz w:val="20"/>
          <w:szCs w:val="20"/>
        </w:rPr>
        <w:t xml:space="preserve"> negative correlation to the market now have become positive, including the ‘safe haven’ from market volatility, </w:t>
      </w:r>
      <w:r w:rsidR="007512CD" w:rsidRPr="007512CD">
        <w:rPr>
          <w:rFonts w:ascii="TimesNewRomanPSMT" w:hAnsi="TimesNewRomanPSMT"/>
          <w:color w:val="4472C4" w:themeColor="accent1"/>
          <w:sz w:val="20"/>
          <w:szCs w:val="20"/>
        </w:rPr>
        <w:t>g</w:t>
      </w:r>
      <w:r w:rsidR="00942A8A" w:rsidRPr="007512CD">
        <w:rPr>
          <w:rFonts w:ascii="TimesNewRomanPSMT" w:hAnsi="TimesNewRomanPSMT"/>
          <w:color w:val="4472C4" w:themeColor="accent1"/>
          <w:sz w:val="20"/>
          <w:szCs w:val="20"/>
        </w:rPr>
        <w:t>old</w:t>
      </w:r>
      <w:r w:rsidR="00942A8A">
        <w:rPr>
          <w:rFonts w:ascii="TimesNewRomanPSMT" w:hAnsi="TimesNewRomanPSMT"/>
          <w:sz w:val="20"/>
          <w:szCs w:val="20"/>
        </w:rPr>
        <w:t>. Stocks that once had a near-perfect correlation to the market have also strayed from their norms</w:t>
      </w:r>
      <w:r w:rsidR="007E373B">
        <w:rPr>
          <w:rFonts w:ascii="TimesNewRomanPSMT" w:hAnsi="TimesNewRomanPSMT"/>
          <w:sz w:val="20"/>
          <w:szCs w:val="20"/>
        </w:rPr>
        <w:t xml:space="preserve"> becoming more volatile,</w:t>
      </w:r>
      <w:r w:rsidR="00942A8A">
        <w:rPr>
          <w:rFonts w:ascii="TimesNewRomanPSMT" w:hAnsi="TimesNewRomanPSMT"/>
          <w:sz w:val="20"/>
          <w:szCs w:val="20"/>
        </w:rPr>
        <w:t xml:space="preserve"> such as </w:t>
      </w:r>
      <w:r w:rsidR="007512CD" w:rsidRPr="007512CD">
        <w:rPr>
          <w:rFonts w:ascii="TimesNewRomanPSMT" w:hAnsi="TimesNewRomanPSMT"/>
          <w:color w:val="4472C4" w:themeColor="accent1"/>
          <w:sz w:val="20"/>
          <w:szCs w:val="20"/>
        </w:rPr>
        <w:t>r</w:t>
      </w:r>
      <w:r w:rsidR="007E373B" w:rsidRPr="007512CD">
        <w:rPr>
          <w:rFonts w:ascii="TimesNewRomanPSMT" w:hAnsi="TimesNewRomanPSMT"/>
          <w:color w:val="4472C4" w:themeColor="accent1"/>
          <w:sz w:val="20"/>
          <w:szCs w:val="20"/>
        </w:rPr>
        <w:t xml:space="preserve">eal </w:t>
      </w:r>
      <w:r w:rsidR="007512CD" w:rsidRPr="007512CD">
        <w:rPr>
          <w:rFonts w:ascii="TimesNewRomanPSMT" w:hAnsi="TimesNewRomanPSMT"/>
          <w:color w:val="4472C4" w:themeColor="accent1"/>
          <w:sz w:val="20"/>
          <w:szCs w:val="20"/>
        </w:rPr>
        <w:t>e</w:t>
      </w:r>
      <w:r w:rsidR="007E373B" w:rsidRPr="007512CD">
        <w:rPr>
          <w:rFonts w:ascii="TimesNewRomanPSMT" w:hAnsi="TimesNewRomanPSMT"/>
          <w:color w:val="4472C4" w:themeColor="accent1"/>
          <w:sz w:val="20"/>
          <w:szCs w:val="20"/>
        </w:rPr>
        <w:t>state</w:t>
      </w:r>
      <w:r w:rsidR="007E373B">
        <w:rPr>
          <w:rFonts w:ascii="TimesNewRomanPSMT" w:hAnsi="TimesNewRomanPSMT"/>
          <w:sz w:val="20"/>
          <w:szCs w:val="20"/>
        </w:rPr>
        <w:t xml:space="preserve">, and </w:t>
      </w:r>
      <w:r w:rsidR="007512CD">
        <w:rPr>
          <w:rFonts w:ascii="TimesNewRomanPSMT" w:hAnsi="TimesNewRomanPSMT"/>
          <w:color w:val="4472C4" w:themeColor="accent1"/>
          <w:sz w:val="20"/>
          <w:szCs w:val="20"/>
        </w:rPr>
        <w:t>r</w:t>
      </w:r>
      <w:r w:rsidR="007E373B" w:rsidRPr="007512CD">
        <w:rPr>
          <w:rFonts w:ascii="TimesNewRomanPSMT" w:hAnsi="TimesNewRomanPSMT"/>
          <w:color w:val="4472C4" w:themeColor="accent1"/>
          <w:sz w:val="20"/>
          <w:szCs w:val="20"/>
        </w:rPr>
        <w:t>estaurants</w:t>
      </w:r>
      <w:r w:rsidR="007E373B">
        <w:rPr>
          <w:rFonts w:ascii="TimesNewRomanPSMT" w:hAnsi="TimesNewRomanPSMT"/>
          <w:sz w:val="20"/>
          <w:szCs w:val="20"/>
        </w:rPr>
        <w:t xml:space="preserve">. A large number of industries moved with the market similar to last year, while others </w:t>
      </w:r>
      <w:r w:rsidR="002A3653">
        <w:rPr>
          <w:rFonts w:ascii="TimesNewRomanPSMT" w:hAnsi="TimesNewRomanPSMT"/>
          <w:sz w:val="20"/>
          <w:szCs w:val="20"/>
        </w:rPr>
        <w:t>have become</w:t>
      </w:r>
      <w:r w:rsidR="007E373B">
        <w:rPr>
          <w:rFonts w:ascii="TimesNewRomanPSMT" w:hAnsi="TimesNewRomanPSMT"/>
          <w:sz w:val="20"/>
          <w:szCs w:val="20"/>
        </w:rPr>
        <w:t xml:space="preserve"> less correlated. Overall there was a large percentage of industries that either increased or decreased </w:t>
      </w:r>
      <w:r w:rsidR="002A3653">
        <w:rPr>
          <w:rFonts w:ascii="TimesNewRomanPSMT" w:hAnsi="TimesNewRomanPSMT"/>
          <w:sz w:val="20"/>
          <w:szCs w:val="20"/>
        </w:rPr>
        <w:t>their</w:t>
      </w:r>
      <w:r w:rsidR="007E373B">
        <w:rPr>
          <w:rFonts w:ascii="TimesNewRomanPSMT" w:hAnsi="TimesNewRomanPSMT"/>
          <w:sz w:val="20"/>
          <w:szCs w:val="20"/>
        </w:rPr>
        <w:t xml:space="preserve"> </w:t>
      </w:r>
      <w:r w:rsidR="002A3653">
        <w:rPr>
          <w:rFonts w:ascii="TimesNewRomanPSMT" w:hAnsi="TimesNewRomanPSMT"/>
          <w:sz w:val="20"/>
          <w:szCs w:val="20"/>
        </w:rPr>
        <w:t>correlation and volatility</w:t>
      </w:r>
      <w:r w:rsidR="008E4167">
        <w:rPr>
          <w:rFonts w:ascii="TimesNewRomanPSMT" w:hAnsi="TimesNewRomanPSMT"/>
          <w:sz w:val="20"/>
          <w:szCs w:val="20"/>
        </w:rPr>
        <w:t xml:space="preserve"> to the</w:t>
      </w:r>
      <w:r w:rsidR="002A3653">
        <w:rPr>
          <w:rFonts w:ascii="TimesNewRomanPSMT" w:hAnsi="TimesNewRomanPSMT"/>
          <w:sz w:val="20"/>
          <w:szCs w:val="20"/>
        </w:rPr>
        <w:t xml:space="preserve"> market</w:t>
      </w:r>
      <w:r w:rsidR="007E373B">
        <w:rPr>
          <w:rFonts w:ascii="TimesNewRomanPSMT" w:hAnsi="TimesNewRomanPSMT"/>
          <w:sz w:val="20"/>
          <w:szCs w:val="20"/>
        </w:rPr>
        <w:t xml:space="preserve">. This paper provides valuable insights to anyone making financial decisions based on </w:t>
      </w:r>
      <w:r w:rsidR="004522A3">
        <w:rPr>
          <w:rFonts w:ascii="TimesNewRomanPSMT" w:hAnsi="TimesNewRomanPSMT"/>
          <w:sz w:val="20"/>
          <w:szCs w:val="20"/>
        </w:rPr>
        <w:t>risk and</w:t>
      </w:r>
      <w:r w:rsidR="007E373B">
        <w:rPr>
          <w:rFonts w:ascii="TimesNewRomanPSMT" w:hAnsi="TimesNewRomanPSMT"/>
          <w:sz w:val="20"/>
          <w:szCs w:val="20"/>
        </w:rPr>
        <w:t xml:space="preserve"> gives a</w:t>
      </w:r>
      <w:r w:rsidR="004522A3">
        <w:rPr>
          <w:rFonts w:ascii="TimesNewRomanPSMT" w:hAnsi="TimesNewRomanPSMT"/>
          <w:sz w:val="20"/>
          <w:szCs w:val="20"/>
        </w:rPr>
        <w:t xml:space="preserve"> clear</w:t>
      </w:r>
      <w:r w:rsidR="007E373B">
        <w:rPr>
          <w:rFonts w:ascii="TimesNewRomanPSMT" w:hAnsi="TimesNewRomanPSMT"/>
          <w:sz w:val="20"/>
          <w:szCs w:val="20"/>
        </w:rPr>
        <w:t xml:space="preserve"> view o</w:t>
      </w:r>
      <w:r w:rsidR="004522A3">
        <w:rPr>
          <w:rFonts w:ascii="TimesNewRomanPSMT" w:hAnsi="TimesNewRomanPSMT"/>
          <w:sz w:val="20"/>
          <w:szCs w:val="20"/>
        </w:rPr>
        <w:t>f</w:t>
      </w:r>
      <w:r w:rsidR="007E373B">
        <w:rPr>
          <w:rFonts w:ascii="TimesNewRomanPSMT" w:hAnsi="TimesNewRomanPSMT"/>
          <w:sz w:val="20"/>
          <w:szCs w:val="20"/>
        </w:rPr>
        <w:t xml:space="preserve"> how different industries react to </w:t>
      </w:r>
      <w:r w:rsidR="004522A3">
        <w:rPr>
          <w:rFonts w:ascii="TimesNewRomanPSMT" w:hAnsi="TimesNewRomanPSMT"/>
          <w:sz w:val="20"/>
          <w:szCs w:val="20"/>
        </w:rPr>
        <w:t>COVID-19 as well the events associated with the pandemic.</w:t>
      </w:r>
    </w:p>
    <w:p w14:paraId="15CCF4B4" w14:textId="77777777" w:rsidR="00942A8A" w:rsidRPr="0051788D" w:rsidRDefault="00942A8A" w:rsidP="003A421C">
      <w:pPr>
        <w:spacing w:before="10" w:after="10"/>
      </w:pPr>
    </w:p>
    <w:p w14:paraId="7209209C" w14:textId="77777777" w:rsidR="00942A8A" w:rsidRDefault="0051788D" w:rsidP="003A421C">
      <w:pPr>
        <w:spacing w:before="10" w:after="10"/>
      </w:pPr>
      <w:r w:rsidRPr="0051788D">
        <w:rPr>
          <w:rFonts w:ascii="TimesNewRomanPS" w:hAnsi="TimesNewRomanPS"/>
          <w:b/>
          <w:bCs/>
        </w:rPr>
        <w:t xml:space="preserve">Keywords. </w:t>
      </w:r>
      <w:r w:rsidR="00022302">
        <w:tab/>
      </w:r>
    </w:p>
    <w:p w14:paraId="672EAA1F" w14:textId="04063F41" w:rsidR="0051788D" w:rsidRDefault="00315E59" w:rsidP="003A421C">
      <w:pPr>
        <w:spacing w:before="10" w:after="10"/>
        <w:rPr>
          <w:rFonts w:ascii="TimesNewRomanPSMT" w:hAnsi="TimesNewRomanPSMT"/>
          <w:sz w:val="20"/>
          <w:szCs w:val="20"/>
        </w:rPr>
      </w:pPr>
      <w:r>
        <w:rPr>
          <w:rFonts w:ascii="TimesNewRomanPSMT" w:hAnsi="TimesNewRomanPSMT"/>
          <w:sz w:val="20"/>
          <w:szCs w:val="20"/>
        </w:rPr>
        <w:t>python</w:t>
      </w:r>
      <w:r w:rsidR="0051788D" w:rsidRPr="0051788D">
        <w:rPr>
          <w:rFonts w:ascii="TimesNewRomanPSMT" w:hAnsi="TimesNewRomanPSMT"/>
          <w:sz w:val="20"/>
          <w:szCs w:val="20"/>
        </w:rPr>
        <w:t xml:space="preserve">, </w:t>
      </w:r>
      <w:r w:rsidR="00942A8A">
        <w:rPr>
          <w:rFonts w:ascii="TimesNewRomanPSMT" w:hAnsi="TimesNewRomanPSMT"/>
          <w:sz w:val="20"/>
          <w:szCs w:val="20"/>
        </w:rPr>
        <w:t>NumPy</w:t>
      </w:r>
      <w:r w:rsidR="0051788D" w:rsidRPr="0051788D">
        <w:rPr>
          <w:rFonts w:ascii="TimesNewRomanPSMT" w:hAnsi="TimesNewRomanPSMT"/>
          <w:sz w:val="20"/>
          <w:szCs w:val="20"/>
        </w:rPr>
        <w:t xml:space="preserve">, </w:t>
      </w:r>
      <w:r>
        <w:rPr>
          <w:rFonts w:ascii="TimesNewRomanPSMT" w:hAnsi="TimesNewRomanPSMT"/>
          <w:sz w:val="20"/>
          <w:szCs w:val="20"/>
        </w:rPr>
        <w:t>pandas</w:t>
      </w:r>
      <w:r w:rsidR="0012637C">
        <w:rPr>
          <w:rFonts w:ascii="TimesNewRomanPSMT" w:hAnsi="TimesNewRomanPSMT"/>
          <w:sz w:val="20"/>
          <w:szCs w:val="20"/>
        </w:rPr>
        <w:t>,</w:t>
      </w:r>
      <w:r w:rsidR="00942A8A">
        <w:rPr>
          <w:rFonts w:ascii="TimesNewRomanPSMT" w:hAnsi="TimesNewRomanPSMT"/>
          <w:sz w:val="20"/>
          <w:szCs w:val="20"/>
        </w:rPr>
        <w:t xml:space="preserve"> </w:t>
      </w:r>
      <w:r>
        <w:rPr>
          <w:rFonts w:ascii="TimesNewRomanPSMT" w:hAnsi="TimesNewRomanPSMT"/>
          <w:sz w:val="20"/>
          <w:szCs w:val="20"/>
        </w:rPr>
        <w:t>COVID-19, finance, SPY, regression, analysis</w:t>
      </w:r>
      <w:r w:rsidR="00AC06AE">
        <w:rPr>
          <w:rFonts w:ascii="TimesNewRomanPSMT" w:hAnsi="TimesNewRomanPSMT"/>
          <w:sz w:val="20"/>
          <w:szCs w:val="20"/>
        </w:rPr>
        <w:t>,</w:t>
      </w:r>
      <w:r w:rsidR="00942A8A">
        <w:rPr>
          <w:rFonts w:ascii="TimesNewRomanPSMT" w:hAnsi="TimesNewRomanPSMT"/>
          <w:sz w:val="20"/>
          <w:szCs w:val="20"/>
        </w:rPr>
        <w:t xml:space="preserve"> </w:t>
      </w:r>
      <w:r w:rsidR="00AC06AE">
        <w:rPr>
          <w:rFonts w:ascii="TimesNewRomanPSMT" w:hAnsi="TimesNewRomanPSMT"/>
          <w:sz w:val="20"/>
          <w:szCs w:val="20"/>
        </w:rPr>
        <w:t>markets,</w:t>
      </w:r>
      <w:r w:rsidR="00942A8A">
        <w:rPr>
          <w:rFonts w:ascii="TimesNewRomanPSMT" w:hAnsi="TimesNewRomanPSMT"/>
          <w:sz w:val="20"/>
          <w:szCs w:val="20"/>
        </w:rPr>
        <w:t xml:space="preserve"> Nasdaq</w:t>
      </w:r>
    </w:p>
    <w:p w14:paraId="5B2D7B90" w14:textId="77777777" w:rsidR="00942A8A" w:rsidRPr="0051788D" w:rsidRDefault="00942A8A" w:rsidP="003A421C">
      <w:pPr>
        <w:spacing w:before="10" w:after="10"/>
      </w:pPr>
    </w:p>
    <w:p w14:paraId="4B3E2BB4" w14:textId="6EB5A8FC" w:rsidR="00942A8A" w:rsidRDefault="0051788D" w:rsidP="003A421C">
      <w:pPr>
        <w:spacing w:before="10" w:after="10"/>
      </w:pPr>
      <w:r w:rsidRPr="0051788D">
        <w:rPr>
          <w:rFonts w:ascii="TimesNewRomanPS" w:hAnsi="TimesNewRomanPS"/>
          <w:b/>
          <w:bCs/>
        </w:rPr>
        <w:t xml:space="preserve">Introduction. </w:t>
      </w:r>
      <w:r w:rsidR="00022302">
        <w:tab/>
      </w:r>
      <w:r w:rsidR="00942A8A">
        <w:t xml:space="preserve">     </w:t>
      </w:r>
    </w:p>
    <w:p w14:paraId="5C16F2CE" w14:textId="09BB8942" w:rsidR="007E37F0" w:rsidRDefault="007E37F0" w:rsidP="003A421C">
      <w:pPr>
        <w:spacing w:before="10" w:after="10"/>
        <w:rPr>
          <w:rFonts w:ascii="TimesNewRomanPSMT" w:hAnsi="TimesNewRomanPSMT"/>
          <w:sz w:val="20"/>
          <w:szCs w:val="20"/>
        </w:rPr>
      </w:pPr>
      <w:r w:rsidRPr="007E37F0">
        <w:rPr>
          <w:rFonts w:ascii="TimesNewRomanPSMT" w:hAnsi="TimesNewRomanPSMT"/>
          <w:sz w:val="20"/>
          <w:szCs w:val="20"/>
        </w:rPr>
        <w:t xml:space="preserve">The COVID-19 pandemic has seen a sharp increase in the volatility of the </w:t>
      </w:r>
      <w:r w:rsidR="00724B27">
        <w:rPr>
          <w:rFonts w:ascii="TimesNewRomanPSMT" w:hAnsi="TimesNewRomanPSMT"/>
          <w:sz w:val="20"/>
          <w:szCs w:val="20"/>
        </w:rPr>
        <w:t>stock</w:t>
      </w:r>
      <w:r w:rsidRPr="007E37F0">
        <w:rPr>
          <w:rFonts w:ascii="TimesNewRomanPSMT" w:hAnsi="TimesNewRomanPSMT"/>
          <w:sz w:val="20"/>
          <w:szCs w:val="20"/>
        </w:rPr>
        <w:t xml:space="preserve"> market (Z. </w:t>
      </w:r>
      <w:r w:rsidR="004B1944">
        <w:rPr>
          <w:rFonts w:ascii="TimesNewRomanPSMT" w:hAnsi="TimesNewRomanPSMT"/>
          <w:sz w:val="20"/>
          <w:szCs w:val="20"/>
        </w:rPr>
        <w:t>Y</w:t>
      </w:r>
      <w:r w:rsidRPr="007E37F0">
        <w:rPr>
          <w:rFonts w:ascii="TimesNewRomanPSMT" w:hAnsi="TimesNewRomanPSMT"/>
          <w:sz w:val="20"/>
          <w:szCs w:val="20"/>
        </w:rPr>
        <w:t xml:space="preserve">e, I. </w:t>
      </w:r>
      <w:proofErr w:type="spellStart"/>
      <w:r w:rsidRPr="007E37F0">
        <w:rPr>
          <w:rFonts w:ascii="TimesNewRomanPSMT" w:hAnsi="TimesNewRomanPSMT"/>
          <w:sz w:val="20"/>
          <w:szCs w:val="20"/>
        </w:rPr>
        <w:t>Florescu</w:t>
      </w:r>
      <w:proofErr w:type="spellEnd"/>
      <w:r w:rsidRPr="007E37F0">
        <w:rPr>
          <w:rFonts w:ascii="TimesNewRomanPSMT" w:hAnsi="TimesNewRomanPSMT"/>
          <w:sz w:val="20"/>
          <w:szCs w:val="20"/>
        </w:rPr>
        <w:t>, 2020)</w:t>
      </w:r>
      <w:r w:rsidR="007E373B">
        <w:rPr>
          <w:rFonts w:ascii="TimesNewRomanPSMT" w:hAnsi="TimesNewRomanPSMT"/>
          <w:sz w:val="20"/>
          <w:szCs w:val="20"/>
        </w:rPr>
        <w:t xml:space="preserve"> with the </w:t>
      </w:r>
      <w:r w:rsidRPr="007E37F0">
        <w:rPr>
          <w:rFonts w:ascii="TimesNewRomanPSMT" w:hAnsi="TimesNewRomanPSMT"/>
          <w:sz w:val="20"/>
          <w:szCs w:val="20"/>
        </w:rPr>
        <w:t>S&amp;P 500</w:t>
      </w:r>
      <w:r w:rsidR="000F0C7B">
        <w:rPr>
          <w:rFonts w:ascii="TimesNewRomanPSMT" w:hAnsi="TimesNewRomanPSMT"/>
          <w:sz w:val="20"/>
          <w:szCs w:val="20"/>
        </w:rPr>
        <w:t xml:space="preserve"> </w:t>
      </w:r>
      <w:r w:rsidR="007E373B">
        <w:rPr>
          <w:rFonts w:ascii="TimesNewRomanPSMT" w:hAnsi="TimesNewRomanPSMT"/>
          <w:sz w:val="20"/>
          <w:szCs w:val="20"/>
        </w:rPr>
        <w:t>seeing</w:t>
      </w:r>
      <w:r w:rsidRPr="007E37F0">
        <w:rPr>
          <w:rFonts w:ascii="TimesNewRomanPSMT" w:hAnsi="TimesNewRomanPSMT"/>
          <w:sz w:val="20"/>
          <w:szCs w:val="20"/>
        </w:rPr>
        <w:t xml:space="preserve"> some of the sharpest </w:t>
      </w:r>
      <w:r w:rsidR="007E373B">
        <w:rPr>
          <w:rFonts w:ascii="TimesNewRomanPSMT" w:hAnsi="TimesNewRomanPSMT"/>
          <w:sz w:val="20"/>
          <w:szCs w:val="20"/>
        </w:rPr>
        <w:t>price swings</w:t>
      </w:r>
      <w:r w:rsidRPr="007E37F0">
        <w:rPr>
          <w:rFonts w:ascii="TimesNewRomanPSMT" w:hAnsi="TimesNewRomanPSMT"/>
          <w:sz w:val="20"/>
          <w:szCs w:val="20"/>
        </w:rPr>
        <w:t xml:space="preserve"> since the 1987 stock market crash, also known as Black Monday (NASDAQ, 2020).</w:t>
      </w:r>
      <w:r w:rsidR="00831AAD">
        <w:rPr>
          <w:rFonts w:ascii="TimesNewRomanPSMT" w:hAnsi="TimesNewRomanPSMT"/>
          <w:sz w:val="20"/>
          <w:szCs w:val="20"/>
        </w:rPr>
        <w:t xml:space="preserve"> Every day new COVID-19 developments are release</w:t>
      </w:r>
      <w:r w:rsidR="00724B27">
        <w:rPr>
          <w:rFonts w:ascii="TimesNewRomanPSMT" w:hAnsi="TimesNewRomanPSMT"/>
          <w:sz w:val="20"/>
          <w:szCs w:val="20"/>
        </w:rPr>
        <w:t>d</w:t>
      </w:r>
      <w:r w:rsidR="00831AAD">
        <w:rPr>
          <w:rFonts w:ascii="TimesNewRomanPSMT" w:hAnsi="TimesNewRomanPSMT"/>
          <w:sz w:val="20"/>
          <w:szCs w:val="20"/>
        </w:rPr>
        <w:t>, causing mass uncertainty</w:t>
      </w:r>
      <w:r w:rsidR="004522A3">
        <w:rPr>
          <w:rFonts w:ascii="TimesNewRomanPSMT" w:hAnsi="TimesNewRomanPSMT"/>
          <w:sz w:val="20"/>
          <w:szCs w:val="20"/>
        </w:rPr>
        <w:t xml:space="preserve"> in the market</w:t>
      </w:r>
      <w:r w:rsidR="00831AAD">
        <w:rPr>
          <w:rFonts w:ascii="TimesNewRomanPSMT" w:hAnsi="TimesNewRomanPSMT"/>
          <w:sz w:val="20"/>
          <w:szCs w:val="20"/>
        </w:rPr>
        <w:t>.</w:t>
      </w:r>
    </w:p>
    <w:p w14:paraId="404DF761" w14:textId="2DE3122D" w:rsidR="00DC42E0" w:rsidRPr="00793D7D" w:rsidRDefault="00793D7D" w:rsidP="003A421C">
      <w:pPr>
        <w:spacing w:before="10" w:after="10"/>
        <w:rPr>
          <w:rFonts w:ascii="TimesNewRomanPSMT" w:hAnsi="TimesNewRomanPSMT"/>
          <w:sz w:val="20"/>
          <w:szCs w:val="20"/>
        </w:rPr>
      </w:pPr>
      <w:r w:rsidRPr="00F34877">
        <w:rPr>
          <w:rFonts w:ascii="TimesNewRomanPSMT" w:hAnsi="TimesNewRomanPSMT"/>
          <w:color w:val="000000" w:themeColor="text1"/>
          <w:sz w:val="20"/>
          <w:szCs w:val="20"/>
          <w14:props3d w14:extrusionH="0" w14:contourW="0" w14:prstMaterial="matte"/>
        </w:rPr>
        <w:t xml:space="preserve">The beta coefficient β of a stock is used to measure how volatile it is against the market during a particular time-series. β x 100 shows the overall percentage of the volatility of the stock with regards to the overall market. If β&gt;1 then the stock is more volatile than the market, and vice versa. If β&lt;0, it is negatively correlated to the market </w:t>
      </w:r>
      <w:sdt>
        <w:sdtPr>
          <w:rPr>
            <w:rFonts w:ascii="TimesNewRomanPSMT" w:hAnsi="TimesNewRomanPSMT"/>
            <w:color w:val="000000" w:themeColor="text1"/>
            <w:sz w:val="20"/>
            <w:szCs w:val="20"/>
            <w14:props3d w14:extrusionH="0" w14:contourW="0" w14:prstMaterial="matte"/>
          </w:rPr>
          <w:id w:val="432022402"/>
          <w:citation/>
        </w:sdtPr>
        <w:sdtContent>
          <w:r w:rsidRPr="00F34877">
            <w:rPr>
              <w:rFonts w:ascii="TimesNewRomanPSMT" w:hAnsi="TimesNewRomanPSMT"/>
              <w:color w:val="000000" w:themeColor="text1"/>
              <w:sz w:val="20"/>
              <w:szCs w:val="20"/>
              <w14:props3d w14:extrusionH="0" w14:contourW="0" w14:prstMaterial="matte"/>
            </w:rPr>
            <w:fldChar w:fldCharType="begin"/>
          </w:r>
          <w:r w:rsidRPr="00F34877">
            <w:rPr>
              <w:rFonts w:ascii="TimesNewRomanPSMT" w:hAnsi="TimesNewRomanPSMT"/>
              <w:color w:val="000000" w:themeColor="text1"/>
              <w:sz w:val="20"/>
              <w:szCs w:val="20"/>
              <w14:props3d w14:extrusionH="0" w14:contourW="0" w14:prstMaterial="matte"/>
            </w:rPr>
            <w:instrText xml:space="preserve"> CITATION Cor15 \l 3081 </w:instrText>
          </w:r>
          <w:r w:rsidRPr="00F34877">
            <w:rPr>
              <w:rFonts w:ascii="TimesNewRomanPSMT" w:hAnsi="TimesNewRomanPSMT"/>
              <w:color w:val="000000" w:themeColor="text1"/>
              <w:sz w:val="20"/>
              <w:szCs w:val="20"/>
              <w14:props3d w14:extrusionH="0" w14:contourW="0" w14:prstMaterial="matte"/>
            </w:rPr>
            <w:fldChar w:fldCharType="separate"/>
          </w:r>
          <w:r w:rsidRPr="00F34877">
            <w:rPr>
              <w:rFonts w:ascii="TimesNewRomanPSMT" w:hAnsi="TimesNewRomanPSMT"/>
              <w:noProof/>
              <w:color w:val="000000" w:themeColor="text1"/>
              <w:sz w:val="20"/>
              <w:szCs w:val="20"/>
              <w14:props3d w14:extrusionH="0" w14:contourW="0" w14:prstMaterial="matte"/>
            </w:rPr>
            <w:t>(Corporate Finance Institute, 2015)</w:t>
          </w:r>
          <w:r w:rsidRPr="00F34877">
            <w:rPr>
              <w:rFonts w:ascii="TimesNewRomanPSMT" w:hAnsi="TimesNewRomanPSMT"/>
              <w:color w:val="000000" w:themeColor="text1"/>
              <w:sz w:val="20"/>
              <w:szCs w:val="20"/>
              <w14:props3d w14:extrusionH="0" w14:contourW="0" w14:prstMaterial="matte"/>
            </w:rPr>
            <w:fldChar w:fldCharType="end"/>
          </w:r>
        </w:sdtContent>
      </w:sdt>
      <w:r w:rsidRPr="00F34877">
        <w:rPr>
          <w:rFonts w:ascii="TimesNewRomanPSMT" w:hAnsi="TimesNewRomanPSMT"/>
          <w:color w:val="000000" w:themeColor="text1"/>
          <w:sz w:val="20"/>
          <w:szCs w:val="20"/>
          <w14:props3d w14:extrusionH="0" w14:contourW="0" w14:prstMaterial="matte"/>
        </w:rPr>
        <w:t>.</w:t>
      </w:r>
      <w:r w:rsidR="00A830A5">
        <w:rPr>
          <w:rFonts w:ascii="TimesNewRomanPSMT" w:hAnsi="TimesNewRomanPSMT"/>
          <w:color w:val="000000" w:themeColor="text1"/>
          <w:sz w:val="20"/>
          <w:szCs w:val="20"/>
          <w14:props3d w14:extrusionH="0" w14:contourW="0" w14:prstMaterial="matte"/>
        </w:rPr>
        <w:t xml:space="preserve"> </w:t>
      </w:r>
      <w:r w:rsidR="00DC42E0">
        <w:rPr>
          <w:rFonts w:ascii="TimesNewRomanPSMT" w:hAnsi="TimesNewRomanPSMT"/>
          <w:sz w:val="20"/>
          <w:szCs w:val="20"/>
        </w:rPr>
        <w:t xml:space="preserve">GICS is arguably the most widely used standard, with the advantage of being consistent across different applications for effectively grouping stocks with similar operating characteristics </w:t>
      </w:r>
      <w:sdt>
        <w:sdtPr>
          <w:rPr>
            <w:rFonts w:ascii="TimesNewRomanPSMT" w:hAnsi="TimesNewRomanPSMT"/>
            <w:sz w:val="20"/>
            <w:szCs w:val="20"/>
          </w:rPr>
          <w:id w:val="1806586944"/>
          <w:citation/>
        </w:sdtPr>
        <w:sdtContent>
          <w:r w:rsidR="00DC42E0">
            <w:rPr>
              <w:rFonts w:ascii="TimesNewRomanPSMT" w:hAnsi="TimesNewRomanPSMT"/>
              <w:sz w:val="20"/>
              <w:szCs w:val="20"/>
            </w:rPr>
            <w:fldChar w:fldCharType="begin"/>
          </w:r>
          <w:r w:rsidR="00DC42E0">
            <w:rPr>
              <w:rFonts w:ascii="TimesNewRomanPSMT" w:hAnsi="TimesNewRomanPSMT"/>
              <w:sz w:val="20"/>
              <w:szCs w:val="20"/>
            </w:rPr>
            <w:instrText xml:space="preserve">CITATION Wee19 \l 3081 </w:instrText>
          </w:r>
          <w:r w:rsidR="00DC42E0">
            <w:rPr>
              <w:rFonts w:ascii="TimesNewRomanPSMT" w:hAnsi="TimesNewRomanPSMT"/>
              <w:sz w:val="20"/>
              <w:szCs w:val="20"/>
            </w:rPr>
            <w:fldChar w:fldCharType="separate"/>
          </w:r>
          <w:r w:rsidR="00DC42E0" w:rsidRPr="00B225C9">
            <w:rPr>
              <w:rFonts w:ascii="TimesNewRomanPSMT" w:hAnsi="TimesNewRomanPSMT"/>
              <w:noProof/>
              <w:sz w:val="20"/>
              <w:szCs w:val="20"/>
            </w:rPr>
            <w:t>(Hrazdil, Trottier, &amp; Zhang, 2013)</w:t>
          </w:r>
          <w:r w:rsidR="00DC42E0">
            <w:rPr>
              <w:rFonts w:ascii="TimesNewRomanPSMT" w:hAnsi="TimesNewRomanPSMT"/>
              <w:sz w:val="20"/>
              <w:szCs w:val="20"/>
            </w:rPr>
            <w:fldChar w:fldCharType="end"/>
          </w:r>
        </w:sdtContent>
      </w:sdt>
      <w:r w:rsidR="00A830A5">
        <w:rPr>
          <w:rFonts w:ascii="TimesNewRomanPSMT" w:hAnsi="TimesNewRomanPSMT"/>
          <w:sz w:val="20"/>
          <w:szCs w:val="20"/>
        </w:rPr>
        <w:t xml:space="preserve">. </w:t>
      </w:r>
      <w:r w:rsidR="00A830A5" w:rsidRPr="00A830A5">
        <w:rPr>
          <w:rFonts w:ascii="TimesNewRomanPSMT" w:hAnsi="TimesNewRomanPSMT"/>
          <w:color w:val="4472C4" w:themeColor="accent1"/>
          <w:sz w:val="20"/>
          <w:szCs w:val="20"/>
        </w:rPr>
        <w:t>The first lockdown of an S&amp;P500 headquarters was the 19</w:t>
      </w:r>
      <w:r w:rsidR="00A830A5" w:rsidRPr="00A830A5">
        <w:rPr>
          <w:rFonts w:ascii="TimesNewRomanPSMT" w:hAnsi="TimesNewRomanPSMT"/>
          <w:color w:val="4472C4" w:themeColor="accent1"/>
          <w:sz w:val="20"/>
          <w:szCs w:val="20"/>
          <w:vertAlign w:val="superscript"/>
        </w:rPr>
        <w:t>th</w:t>
      </w:r>
      <w:r w:rsidR="00A830A5" w:rsidRPr="00A830A5">
        <w:rPr>
          <w:rFonts w:ascii="TimesNewRomanPSMT" w:hAnsi="TimesNewRomanPSMT"/>
          <w:color w:val="4472C4" w:themeColor="accent1"/>
          <w:sz w:val="20"/>
          <w:szCs w:val="20"/>
        </w:rPr>
        <w:t xml:space="preserve"> of March </w:t>
      </w:r>
      <w:r w:rsidR="00A830A5">
        <w:rPr>
          <w:rFonts w:ascii="TimesNewRomanPSMT" w:hAnsi="TimesNewRomanPSMT"/>
          <w:sz w:val="20"/>
          <w:szCs w:val="20"/>
        </w:rPr>
        <w:t>(</w:t>
      </w:r>
      <w:proofErr w:type="spellStart"/>
      <w:r w:rsidR="00A830A5" w:rsidRPr="004F2ADC">
        <w:rPr>
          <w:noProof/>
          <w:sz w:val="20"/>
          <w:szCs w:val="20"/>
        </w:rPr>
        <w:t>Calfas</w:t>
      </w:r>
      <w:proofErr w:type="spellEnd"/>
      <w:r w:rsidR="00A830A5" w:rsidRPr="004F2ADC">
        <w:rPr>
          <w:noProof/>
          <w:sz w:val="20"/>
          <w:szCs w:val="20"/>
        </w:rPr>
        <w:t>, Stancati, &amp; Yap</w:t>
      </w:r>
      <w:r w:rsidR="00A830A5">
        <w:rPr>
          <w:noProof/>
          <w:sz w:val="20"/>
          <w:szCs w:val="20"/>
        </w:rPr>
        <w:t xml:space="preserve">, </w:t>
      </w:r>
      <w:r w:rsidR="00A830A5" w:rsidRPr="004F2ADC">
        <w:rPr>
          <w:noProof/>
          <w:sz w:val="20"/>
          <w:szCs w:val="20"/>
        </w:rPr>
        <w:t>2020)</w:t>
      </w:r>
      <w:r w:rsidR="00A830A5">
        <w:rPr>
          <w:noProof/>
          <w:sz w:val="20"/>
          <w:szCs w:val="20"/>
        </w:rPr>
        <w:t>.</w:t>
      </w:r>
    </w:p>
    <w:p w14:paraId="1B466313" w14:textId="045F7EBA" w:rsidR="00942A8A" w:rsidRDefault="007512CD" w:rsidP="003A421C">
      <w:pPr>
        <w:spacing w:before="10" w:after="10"/>
        <w:rPr>
          <w:rFonts w:ascii="TimesNewRomanPSMT" w:hAnsi="TimesNewRomanPSMT"/>
          <w:sz w:val="20"/>
          <w:szCs w:val="20"/>
        </w:rPr>
      </w:pPr>
      <w:r w:rsidRPr="007512CD">
        <w:rPr>
          <w:rFonts w:ascii="TimesNewRomanPSMT" w:hAnsi="TimesNewRomanPSMT"/>
          <w:color w:val="4472C4" w:themeColor="accent1"/>
          <w:sz w:val="20"/>
          <w:szCs w:val="20"/>
        </w:rPr>
        <w:t>This paper</w:t>
      </w:r>
      <w:r w:rsidR="0050044A" w:rsidRPr="007512CD">
        <w:rPr>
          <w:rFonts w:ascii="TimesNewRomanPSMT" w:hAnsi="TimesNewRomanPSMT"/>
          <w:color w:val="4472C4" w:themeColor="accent1"/>
          <w:sz w:val="20"/>
          <w:szCs w:val="20"/>
        </w:rPr>
        <w:t xml:space="preserve"> </w:t>
      </w:r>
      <w:r w:rsidR="002E1903">
        <w:rPr>
          <w:rFonts w:ascii="TimesNewRomanPSMT" w:hAnsi="TimesNewRomanPSMT"/>
          <w:sz w:val="20"/>
          <w:szCs w:val="20"/>
        </w:rPr>
        <w:t>provide</w:t>
      </w:r>
      <w:r>
        <w:rPr>
          <w:rFonts w:ascii="TimesNewRomanPSMT" w:hAnsi="TimesNewRomanPSMT"/>
          <w:sz w:val="20"/>
          <w:szCs w:val="20"/>
        </w:rPr>
        <w:t>s</w:t>
      </w:r>
      <w:r w:rsidR="002E1903">
        <w:rPr>
          <w:rFonts w:ascii="TimesNewRomanPSMT" w:hAnsi="TimesNewRomanPSMT"/>
          <w:sz w:val="20"/>
          <w:szCs w:val="20"/>
        </w:rPr>
        <w:t xml:space="preserve"> </w:t>
      </w:r>
      <w:r w:rsidR="00831AAD">
        <w:rPr>
          <w:rFonts w:ascii="TimesNewRomanPSMT" w:hAnsi="TimesNewRomanPSMT"/>
          <w:sz w:val="20"/>
          <w:szCs w:val="20"/>
        </w:rPr>
        <w:t xml:space="preserve">a </w:t>
      </w:r>
      <w:r w:rsidR="002E1903">
        <w:rPr>
          <w:rFonts w:ascii="TimesNewRomanPSMT" w:hAnsi="TimesNewRomanPSMT"/>
          <w:sz w:val="20"/>
          <w:szCs w:val="20"/>
        </w:rPr>
        <w:t xml:space="preserve">detailed </w:t>
      </w:r>
      <w:r w:rsidR="00831AAD">
        <w:rPr>
          <w:rFonts w:ascii="TimesNewRomanPSMT" w:hAnsi="TimesNewRomanPSMT"/>
          <w:sz w:val="20"/>
          <w:szCs w:val="20"/>
        </w:rPr>
        <w:t>a</w:t>
      </w:r>
      <w:r w:rsidR="002E1903">
        <w:rPr>
          <w:rFonts w:ascii="TimesNewRomanPSMT" w:hAnsi="TimesNewRomanPSMT"/>
          <w:sz w:val="20"/>
          <w:szCs w:val="20"/>
        </w:rPr>
        <w:t xml:space="preserve">nalysis </w:t>
      </w:r>
      <w:r w:rsidR="00194450">
        <w:rPr>
          <w:rFonts w:ascii="TimesNewRomanPSMT" w:hAnsi="TimesNewRomanPSMT"/>
          <w:sz w:val="20"/>
          <w:szCs w:val="20"/>
        </w:rPr>
        <w:t>of the Beta Coefficient for each</w:t>
      </w:r>
      <w:r w:rsidR="002E1903">
        <w:rPr>
          <w:rFonts w:ascii="TimesNewRomanPSMT" w:hAnsi="TimesNewRomanPSMT"/>
          <w:sz w:val="20"/>
          <w:szCs w:val="20"/>
        </w:rPr>
        <w:t xml:space="preserve"> sub-industry within the </w:t>
      </w:r>
      <w:r w:rsidR="00A830A5">
        <w:rPr>
          <w:rFonts w:ascii="TimesNewRomanPSMT" w:hAnsi="TimesNewRomanPSMT"/>
          <w:sz w:val="20"/>
          <w:szCs w:val="20"/>
        </w:rPr>
        <w:t xml:space="preserve">GICS </w:t>
      </w:r>
      <w:r w:rsidR="00A830A5" w:rsidRPr="00A830A5">
        <w:rPr>
          <w:rFonts w:ascii="TimesNewRomanPSMT" w:hAnsi="TimesNewRomanPSMT"/>
          <w:color w:val="4472C4" w:themeColor="accent1"/>
          <w:sz w:val="20"/>
          <w:szCs w:val="20"/>
        </w:rPr>
        <w:t>from this date</w:t>
      </w:r>
      <w:r w:rsidR="00A830A5">
        <w:rPr>
          <w:rFonts w:ascii="TimesNewRomanPSMT" w:hAnsi="TimesNewRomanPSMT"/>
          <w:color w:val="4472C4" w:themeColor="accent1"/>
          <w:sz w:val="20"/>
          <w:szCs w:val="20"/>
        </w:rPr>
        <w:t xml:space="preserve"> up to May 25</w:t>
      </w:r>
      <w:r w:rsidR="00A830A5" w:rsidRPr="00A830A5">
        <w:rPr>
          <w:rFonts w:ascii="TimesNewRomanPSMT" w:hAnsi="TimesNewRomanPSMT"/>
          <w:color w:val="4472C4" w:themeColor="accent1"/>
          <w:sz w:val="20"/>
          <w:szCs w:val="20"/>
          <w:vertAlign w:val="superscript"/>
        </w:rPr>
        <w:t>th</w:t>
      </w:r>
      <w:r w:rsidR="00A830A5">
        <w:rPr>
          <w:rFonts w:ascii="TimesNewRomanPSMT" w:hAnsi="TimesNewRomanPSMT"/>
          <w:color w:val="4472C4" w:themeColor="accent1"/>
          <w:sz w:val="20"/>
          <w:szCs w:val="20"/>
        </w:rPr>
        <w:t xml:space="preserve"> (when the paper was conducted)</w:t>
      </w:r>
      <w:r w:rsidR="002E1903">
        <w:rPr>
          <w:rFonts w:ascii="TimesNewRomanPSMT" w:hAnsi="TimesNewRomanPSMT"/>
          <w:sz w:val="20"/>
          <w:szCs w:val="20"/>
        </w:rPr>
        <w:t>.</w:t>
      </w:r>
      <w:r w:rsidR="009B2464">
        <w:rPr>
          <w:rFonts w:ascii="TimesNewRomanPSMT" w:hAnsi="TimesNewRomanPSMT"/>
          <w:sz w:val="20"/>
          <w:szCs w:val="20"/>
        </w:rPr>
        <w:t xml:space="preserve"> </w:t>
      </w:r>
      <w:r w:rsidR="00194450">
        <w:rPr>
          <w:rFonts w:ascii="TimesNewRomanPSMT" w:hAnsi="TimesNewRomanPSMT"/>
          <w:sz w:val="20"/>
          <w:szCs w:val="20"/>
        </w:rPr>
        <w:t>This will determine</w:t>
      </w:r>
      <w:r w:rsidR="009B2464">
        <w:rPr>
          <w:rFonts w:ascii="TimesNewRomanPSMT" w:hAnsi="TimesNewRomanPSMT"/>
          <w:sz w:val="20"/>
          <w:szCs w:val="20"/>
        </w:rPr>
        <w:t xml:space="preserve"> how industries</w:t>
      </w:r>
      <w:r w:rsidR="00831AAD">
        <w:rPr>
          <w:rFonts w:ascii="TimesNewRomanPSMT" w:hAnsi="TimesNewRomanPSMT"/>
          <w:sz w:val="20"/>
          <w:szCs w:val="20"/>
        </w:rPr>
        <w:t>’</w:t>
      </w:r>
      <w:r w:rsidR="009B2464">
        <w:rPr>
          <w:rFonts w:ascii="TimesNewRomanPSMT" w:hAnsi="TimesNewRomanPSMT"/>
          <w:sz w:val="20"/>
          <w:szCs w:val="20"/>
        </w:rPr>
        <w:t xml:space="preserve"> volatility </w:t>
      </w:r>
      <w:r w:rsidR="00831AAD">
        <w:rPr>
          <w:rFonts w:ascii="TimesNewRomanPSMT" w:hAnsi="TimesNewRomanPSMT"/>
          <w:sz w:val="20"/>
          <w:szCs w:val="20"/>
        </w:rPr>
        <w:t xml:space="preserve">compares to the rest of the market </w:t>
      </w:r>
      <w:r w:rsidR="00194450">
        <w:rPr>
          <w:rFonts w:ascii="TimesNewRomanPSMT" w:hAnsi="TimesNewRomanPSMT"/>
          <w:sz w:val="20"/>
          <w:szCs w:val="20"/>
        </w:rPr>
        <w:t xml:space="preserve">during </w:t>
      </w:r>
      <w:r w:rsidR="00942A8A">
        <w:rPr>
          <w:rFonts w:ascii="TimesNewRomanPSMT" w:hAnsi="TimesNewRomanPSMT"/>
          <w:sz w:val="20"/>
          <w:szCs w:val="20"/>
        </w:rPr>
        <w:t xml:space="preserve">the </w:t>
      </w:r>
      <w:r w:rsidR="00194450">
        <w:rPr>
          <w:rFonts w:ascii="TimesNewRomanPSMT" w:hAnsi="TimesNewRomanPSMT"/>
          <w:sz w:val="20"/>
          <w:szCs w:val="20"/>
        </w:rPr>
        <w:t xml:space="preserve">unprecedented </w:t>
      </w:r>
      <w:r w:rsidR="006F35D4">
        <w:rPr>
          <w:rFonts w:ascii="TimesNewRomanPSMT" w:hAnsi="TimesNewRomanPSMT"/>
          <w:sz w:val="20"/>
          <w:szCs w:val="20"/>
        </w:rPr>
        <w:t>lockdown, social distancing, and states of emergency.</w:t>
      </w:r>
      <w:r w:rsidR="00793D7D">
        <w:rPr>
          <w:rFonts w:ascii="TimesNewRomanPSMT" w:hAnsi="TimesNewRomanPSMT"/>
          <w:sz w:val="20"/>
          <w:szCs w:val="20"/>
        </w:rPr>
        <w:t xml:space="preserve"> </w:t>
      </w:r>
      <w:r w:rsidR="00793D7D" w:rsidRPr="00793D7D">
        <w:rPr>
          <w:rFonts w:ascii="TimesNewRomanPSMT" w:hAnsi="TimesNewRomanPSMT"/>
          <w:color w:val="4472C4" w:themeColor="accent1"/>
          <w:sz w:val="20"/>
          <w:szCs w:val="20"/>
        </w:rPr>
        <w:t>T</w:t>
      </w:r>
      <w:r w:rsidRPr="00793D7D">
        <w:rPr>
          <w:rFonts w:ascii="TimesNewRomanPSMT" w:hAnsi="TimesNewRomanPSMT"/>
          <w:color w:val="4472C4" w:themeColor="accent1"/>
          <w:sz w:val="20"/>
          <w:szCs w:val="20"/>
        </w:rPr>
        <w:t>his research</w:t>
      </w:r>
      <w:r w:rsidR="00DA2DE2">
        <w:rPr>
          <w:rFonts w:ascii="TimesNewRomanPSMT" w:hAnsi="TimesNewRomanPSMT"/>
          <w:sz w:val="20"/>
          <w:szCs w:val="20"/>
        </w:rPr>
        <w:t xml:space="preserve"> hope</w:t>
      </w:r>
      <w:r w:rsidR="00793D7D">
        <w:rPr>
          <w:rFonts w:ascii="TimesNewRomanPSMT" w:hAnsi="TimesNewRomanPSMT"/>
          <w:sz w:val="20"/>
          <w:szCs w:val="20"/>
        </w:rPr>
        <w:t xml:space="preserve">s </w:t>
      </w:r>
      <w:r w:rsidR="00DA2DE2">
        <w:rPr>
          <w:rFonts w:ascii="TimesNewRomanPSMT" w:hAnsi="TimesNewRomanPSMT"/>
          <w:sz w:val="20"/>
          <w:szCs w:val="20"/>
        </w:rPr>
        <w:t xml:space="preserve">to answer the question </w:t>
      </w:r>
      <w:r w:rsidR="00DA2DE2" w:rsidRPr="00A06FA5">
        <w:rPr>
          <w:rFonts w:ascii="TimesNewRomanPSMT" w:hAnsi="TimesNewRomanPSMT"/>
          <w:sz w:val="20"/>
          <w:szCs w:val="20"/>
        </w:rPr>
        <w:t xml:space="preserve">“How has the volatility between different GICS sectors within the S&amp;P500 changed during the COVID-19 pandemic, compared to the same </w:t>
      </w:r>
      <w:r w:rsidR="00DA2DE2" w:rsidRPr="00D20B3B">
        <w:rPr>
          <w:rFonts w:ascii="TimesNewRomanPSMT" w:hAnsi="TimesNewRomanPSMT"/>
          <w:color w:val="000000" w:themeColor="text1"/>
          <w:sz w:val="20"/>
          <w:szCs w:val="20"/>
        </w:rPr>
        <w:t xml:space="preserve">time </w:t>
      </w:r>
      <w:r w:rsidRPr="007512CD">
        <w:rPr>
          <w:rFonts w:ascii="TimesNewRomanPSMT" w:hAnsi="TimesNewRomanPSMT"/>
          <w:color w:val="4472C4" w:themeColor="accent1"/>
          <w:sz w:val="20"/>
          <w:szCs w:val="20"/>
        </w:rPr>
        <w:t>in 2019</w:t>
      </w:r>
      <w:r w:rsidR="00DA2DE2" w:rsidRPr="00A06FA5">
        <w:rPr>
          <w:rFonts w:ascii="TimesNewRomanPSMT" w:hAnsi="TimesNewRomanPSMT"/>
          <w:sz w:val="20"/>
          <w:szCs w:val="20"/>
        </w:rPr>
        <w:t>?”</w:t>
      </w:r>
      <w:r w:rsidR="00A06FA5">
        <w:rPr>
          <w:rStyle w:val="FootnoteReference"/>
          <w:rFonts w:ascii="TimesNewRomanPSMT" w:hAnsi="TimesNewRomanPSMT"/>
          <w:sz w:val="20"/>
          <w:szCs w:val="20"/>
        </w:rPr>
        <w:footnoteReference w:id="1"/>
      </w:r>
    </w:p>
    <w:p w14:paraId="4FC4512F" w14:textId="77777777" w:rsidR="00942A8A" w:rsidRDefault="00942A8A" w:rsidP="003A421C">
      <w:pPr>
        <w:spacing w:before="10" w:after="10"/>
        <w:rPr>
          <w:rFonts w:ascii="TimesNewRomanPSMT" w:hAnsi="TimesNewRomanPSMT"/>
          <w:sz w:val="20"/>
          <w:szCs w:val="20"/>
        </w:rPr>
      </w:pPr>
    </w:p>
    <w:p w14:paraId="2EC22DD7" w14:textId="77777777" w:rsidR="00942A8A" w:rsidRDefault="002E1903" w:rsidP="003A421C">
      <w:pPr>
        <w:spacing w:before="10" w:after="10"/>
        <w:rPr>
          <w:rFonts w:ascii="TimesNewRomanPSMT" w:hAnsi="TimesNewRomanPSMT"/>
          <w:sz w:val="20"/>
          <w:szCs w:val="20"/>
        </w:rPr>
      </w:pPr>
      <w:r w:rsidRPr="00286214">
        <w:rPr>
          <w:rFonts w:ascii="TimesNewRomanPSMT" w:hAnsi="TimesNewRomanPSMT"/>
          <w:b/>
          <w:bCs/>
          <w:sz w:val="20"/>
          <w:szCs w:val="20"/>
        </w:rPr>
        <w:t>How will this help the public?</w:t>
      </w:r>
      <w:r w:rsidR="00022302">
        <w:rPr>
          <w:rFonts w:ascii="TimesNewRomanPSMT" w:hAnsi="TimesNewRomanPSMT"/>
          <w:sz w:val="20"/>
          <w:szCs w:val="20"/>
        </w:rPr>
        <w:tab/>
      </w:r>
    </w:p>
    <w:p w14:paraId="60079EC2" w14:textId="5C02A465" w:rsidR="00942A8A" w:rsidRDefault="00942A8A" w:rsidP="003A421C">
      <w:pPr>
        <w:spacing w:before="10" w:after="10"/>
        <w:rPr>
          <w:rFonts w:ascii="TimesNewRomanPSMT" w:hAnsi="TimesNewRomanPSMT"/>
          <w:sz w:val="20"/>
          <w:szCs w:val="20"/>
        </w:rPr>
      </w:pPr>
      <w:r>
        <w:rPr>
          <w:rFonts w:ascii="TimesNewRomanPSMT" w:hAnsi="TimesNewRomanPSMT"/>
          <w:sz w:val="20"/>
          <w:szCs w:val="20"/>
        </w:rPr>
        <w:t>Economic p</w:t>
      </w:r>
      <w:r w:rsidR="00194450">
        <w:rPr>
          <w:rFonts w:ascii="TimesNewRomanPSMT" w:hAnsi="TimesNewRomanPSMT"/>
          <w:sz w:val="20"/>
          <w:szCs w:val="20"/>
        </w:rPr>
        <w:t>olicy</w:t>
      </w:r>
      <w:r w:rsidR="002E1903">
        <w:rPr>
          <w:rFonts w:ascii="TimesNewRomanPSMT" w:hAnsi="TimesNewRomanPSMT"/>
          <w:sz w:val="20"/>
          <w:szCs w:val="20"/>
        </w:rPr>
        <w:t xml:space="preserve"> can be directed to mitigate volatility </w:t>
      </w:r>
      <w:r w:rsidR="009B2464">
        <w:rPr>
          <w:rFonts w:ascii="TimesNewRomanPSMT" w:hAnsi="TimesNewRomanPSMT"/>
          <w:sz w:val="20"/>
          <w:szCs w:val="20"/>
        </w:rPr>
        <w:t xml:space="preserve">and ensure better returns from more vulnerable industries. Policymakers </w:t>
      </w:r>
      <w:r w:rsidR="00724B27">
        <w:rPr>
          <w:rFonts w:ascii="TimesNewRomanPSMT" w:hAnsi="TimesNewRomanPSMT"/>
          <w:sz w:val="20"/>
          <w:szCs w:val="20"/>
        </w:rPr>
        <w:t>will be more informed when allocating</w:t>
      </w:r>
      <w:r w:rsidR="009B2464">
        <w:rPr>
          <w:rFonts w:ascii="TimesNewRomanPSMT" w:hAnsi="TimesNewRomanPSMT"/>
          <w:sz w:val="20"/>
          <w:szCs w:val="20"/>
        </w:rPr>
        <w:t xml:space="preserve"> resources such as social and corporate </w:t>
      </w:r>
      <w:r w:rsidR="00724B27">
        <w:rPr>
          <w:rFonts w:ascii="TimesNewRomanPSMT" w:hAnsi="TimesNewRomanPSMT"/>
          <w:sz w:val="20"/>
          <w:szCs w:val="20"/>
        </w:rPr>
        <w:t>welfare and</w:t>
      </w:r>
      <w:r w:rsidR="00B45C79">
        <w:rPr>
          <w:rFonts w:ascii="TimesNewRomanPSMT" w:hAnsi="TimesNewRomanPSMT"/>
          <w:sz w:val="20"/>
          <w:szCs w:val="20"/>
        </w:rPr>
        <w:t xml:space="preserve"> run </w:t>
      </w:r>
      <w:r>
        <w:rPr>
          <w:rFonts w:ascii="TimesNewRomanPSMT" w:hAnsi="TimesNewRomanPSMT"/>
          <w:sz w:val="20"/>
          <w:szCs w:val="20"/>
        </w:rPr>
        <w:t xml:space="preserve">a </w:t>
      </w:r>
      <w:r w:rsidR="00B45C79">
        <w:rPr>
          <w:rFonts w:ascii="TimesNewRomanPSMT" w:hAnsi="TimesNewRomanPSMT"/>
          <w:sz w:val="20"/>
          <w:szCs w:val="20"/>
        </w:rPr>
        <w:t>more in</w:t>
      </w:r>
      <w:r>
        <w:rPr>
          <w:rFonts w:ascii="TimesNewRomanPSMT" w:hAnsi="TimesNewRomanPSMT"/>
          <w:sz w:val="20"/>
          <w:szCs w:val="20"/>
        </w:rPr>
        <w:t>-</w:t>
      </w:r>
      <w:r w:rsidR="00B45C79">
        <w:rPr>
          <w:rFonts w:ascii="TimesNewRomanPSMT" w:hAnsi="TimesNewRomanPSMT"/>
          <w:sz w:val="20"/>
          <w:szCs w:val="20"/>
        </w:rPr>
        <w:t>depth cost</w:t>
      </w:r>
      <w:r>
        <w:rPr>
          <w:rFonts w:ascii="TimesNewRomanPSMT" w:hAnsi="TimesNewRomanPSMT"/>
          <w:sz w:val="20"/>
          <w:szCs w:val="20"/>
        </w:rPr>
        <w:t>-</w:t>
      </w:r>
      <w:r w:rsidR="00B45C79">
        <w:rPr>
          <w:rFonts w:ascii="TimesNewRomanPSMT" w:hAnsi="TimesNewRomanPSMT"/>
          <w:sz w:val="20"/>
          <w:szCs w:val="20"/>
        </w:rPr>
        <w:t xml:space="preserve">benefit analysis to determine where </w:t>
      </w:r>
      <w:r w:rsidR="00286214">
        <w:rPr>
          <w:rFonts w:ascii="TimesNewRomanPSMT" w:hAnsi="TimesNewRomanPSMT"/>
          <w:sz w:val="20"/>
          <w:szCs w:val="20"/>
        </w:rPr>
        <w:t>tax-payers’</w:t>
      </w:r>
      <w:r w:rsidR="00B45C79">
        <w:rPr>
          <w:rFonts w:ascii="TimesNewRomanPSMT" w:hAnsi="TimesNewRomanPSMT"/>
          <w:sz w:val="20"/>
          <w:szCs w:val="20"/>
        </w:rPr>
        <w:t xml:space="preserve"> money should go</w:t>
      </w:r>
      <w:sdt>
        <w:sdtPr>
          <w:rPr>
            <w:rFonts w:ascii="TimesNewRomanPSMT" w:hAnsi="TimesNewRomanPSMT"/>
            <w:sz w:val="20"/>
            <w:szCs w:val="20"/>
          </w:rPr>
          <w:id w:val="2144695497"/>
          <w:citation/>
        </w:sdtPr>
        <w:sdtEndPr/>
        <w:sdtContent>
          <w:r w:rsidR="00724B27">
            <w:rPr>
              <w:rFonts w:ascii="TimesNewRomanPSMT" w:hAnsi="TimesNewRomanPSMT"/>
              <w:sz w:val="20"/>
              <w:szCs w:val="20"/>
            </w:rPr>
            <w:fldChar w:fldCharType="begin"/>
          </w:r>
          <w:r w:rsidR="00724B27">
            <w:rPr>
              <w:rFonts w:ascii="TimesNewRomanPSMT" w:hAnsi="TimesNewRomanPSMT"/>
              <w:sz w:val="20"/>
              <w:szCs w:val="20"/>
            </w:rPr>
            <w:instrText xml:space="preserve"> CITATION Vef93 \l 3081 </w:instrText>
          </w:r>
          <w:r w:rsidR="00724B27">
            <w:rPr>
              <w:rFonts w:ascii="TimesNewRomanPSMT" w:hAnsi="TimesNewRomanPSMT"/>
              <w:sz w:val="20"/>
              <w:szCs w:val="20"/>
            </w:rPr>
            <w:fldChar w:fldCharType="separate"/>
          </w:r>
          <w:r w:rsidR="00B225C9">
            <w:rPr>
              <w:rFonts w:ascii="TimesNewRomanPSMT" w:hAnsi="TimesNewRomanPSMT"/>
              <w:noProof/>
              <w:sz w:val="20"/>
              <w:szCs w:val="20"/>
            </w:rPr>
            <w:t xml:space="preserve"> </w:t>
          </w:r>
          <w:r w:rsidR="00B225C9" w:rsidRPr="00B225C9">
            <w:rPr>
              <w:rFonts w:ascii="TimesNewRomanPSMT" w:hAnsi="TimesNewRomanPSMT"/>
              <w:noProof/>
              <w:sz w:val="20"/>
              <w:szCs w:val="20"/>
            </w:rPr>
            <w:t>(Tarhan, 1993)</w:t>
          </w:r>
          <w:r w:rsidR="00724B27">
            <w:rPr>
              <w:rFonts w:ascii="TimesNewRomanPSMT" w:hAnsi="TimesNewRomanPSMT"/>
              <w:sz w:val="20"/>
              <w:szCs w:val="20"/>
            </w:rPr>
            <w:fldChar w:fldCharType="end"/>
          </w:r>
        </w:sdtContent>
      </w:sdt>
      <w:r w:rsidR="00724B27">
        <w:rPr>
          <w:rFonts w:ascii="TimesNewRomanPSMT" w:hAnsi="TimesNewRomanPSMT"/>
          <w:sz w:val="20"/>
          <w:szCs w:val="20"/>
        </w:rPr>
        <w:t>.</w:t>
      </w:r>
      <w:r w:rsidR="00FC55F3">
        <w:rPr>
          <w:rFonts w:ascii="TimesNewRomanPSMT" w:hAnsi="TimesNewRomanPSMT"/>
          <w:sz w:val="20"/>
          <w:szCs w:val="20"/>
        </w:rPr>
        <w:br/>
      </w:r>
      <w:r w:rsidR="00286214">
        <w:rPr>
          <w:rFonts w:ascii="TimesNewRomanPSMT" w:hAnsi="TimesNewRomanPSMT"/>
          <w:sz w:val="20"/>
          <w:szCs w:val="20"/>
        </w:rPr>
        <w:t>Furthermore</w:t>
      </w:r>
      <w:r w:rsidR="007E37F0" w:rsidRPr="007E37F0">
        <w:rPr>
          <w:rFonts w:ascii="TimesNewRomanPSMT" w:hAnsi="TimesNewRomanPSMT"/>
          <w:sz w:val="20"/>
          <w:szCs w:val="20"/>
        </w:rPr>
        <w:t xml:space="preserve">, </w:t>
      </w:r>
      <w:r w:rsidR="00AC06AE">
        <w:rPr>
          <w:rFonts w:ascii="TimesNewRomanPSMT" w:hAnsi="TimesNewRomanPSMT"/>
          <w:sz w:val="20"/>
          <w:szCs w:val="20"/>
        </w:rPr>
        <w:t xml:space="preserve">the average retirement 401(k) balance was $106,000 </w:t>
      </w:r>
      <w:r w:rsidR="00831AAD">
        <w:rPr>
          <w:rFonts w:ascii="TimesNewRomanPSMT" w:hAnsi="TimesNewRomanPSMT"/>
          <w:sz w:val="20"/>
          <w:szCs w:val="20"/>
        </w:rPr>
        <w:t>in Q2 2019</w:t>
      </w:r>
      <w:r w:rsidR="00AC06AE">
        <w:rPr>
          <w:rFonts w:ascii="TimesNewRomanPSMT" w:hAnsi="TimesNewRomanPSMT"/>
          <w:sz w:val="20"/>
          <w:szCs w:val="20"/>
        </w:rPr>
        <w:t>, with 196,000 Americans holding over $1m in their retirement fund</w:t>
      </w:r>
      <w:r w:rsidR="006B066F">
        <w:rPr>
          <w:rFonts w:ascii="TimesNewRomanPSMT" w:hAnsi="TimesNewRomanPSMT"/>
          <w:sz w:val="20"/>
          <w:szCs w:val="20"/>
        </w:rPr>
        <w:t xml:space="preserve"> </w:t>
      </w:r>
      <w:sdt>
        <w:sdtPr>
          <w:rPr>
            <w:rFonts w:ascii="TimesNewRomanPSMT" w:hAnsi="TimesNewRomanPSMT"/>
            <w:sz w:val="20"/>
            <w:szCs w:val="20"/>
          </w:rPr>
          <w:id w:val="-143283378"/>
          <w:citation/>
        </w:sdtPr>
        <w:sdtEndPr/>
        <w:sdtContent>
          <w:r w:rsidR="006B066F">
            <w:rPr>
              <w:rFonts w:ascii="TimesNewRomanPSMT" w:hAnsi="TimesNewRomanPSMT"/>
              <w:sz w:val="20"/>
              <w:szCs w:val="20"/>
            </w:rPr>
            <w:fldChar w:fldCharType="begin"/>
          </w:r>
          <w:r w:rsidR="006B066F">
            <w:rPr>
              <w:rFonts w:ascii="TimesNewRomanPSMT" w:hAnsi="TimesNewRomanPSMT"/>
              <w:sz w:val="20"/>
              <w:szCs w:val="20"/>
            </w:rPr>
            <w:instrText xml:space="preserve"> CITATION Fid19 \l 3081 </w:instrText>
          </w:r>
          <w:r w:rsidR="006B066F">
            <w:rPr>
              <w:rFonts w:ascii="TimesNewRomanPSMT" w:hAnsi="TimesNewRomanPSMT"/>
              <w:sz w:val="20"/>
              <w:szCs w:val="20"/>
            </w:rPr>
            <w:fldChar w:fldCharType="separate"/>
          </w:r>
          <w:r w:rsidR="00B225C9" w:rsidRPr="00B225C9">
            <w:rPr>
              <w:rFonts w:ascii="TimesNewRomanPSMT" w:hAnsi="TimesNewRomanPSMT"/>
              <w:noProof/>
              <w:sz w:val="20"/>
              <w:szCs w:val="20"/>
            </w:rPr>
            <w:t>(Fidelity Investments, 2019)</w:t>
          </w:r>
          <w:r w:rsidR="006B066F">
            <w:rPr>
              <w:rFonts w:ascii="TimesNewRomanPSMT" w:hAnsi="TimesNewRomanPSMT"/>
              <w:sz w:val="20"/>
              <w:szCs w:val="20"/>
            </w:rPr>
            <w:fldChar w:fldCharType="end"/>
          </w:r>
        </w:sdtContent>
      </w:sdt>
      <w:r w:rsidR="00AC06AE">
        <w:rPr>
          <w:rFonts w:ascii="TimesNewRomanPSMT" w:hAnsi="TimesNewRomanPSMT"/>
          <w:sz w:val="20"/>
          <w:szCs w:val="20"/>
        </w:rPr>
        <w:t xml:space="preserve">. Fund managers could use this research </w:t>
      </w:r>
      <w:r w:rsidR="0032727F">
        <w:rPr>
          <w:rFonts w:ascii="TimesNewRomanPSMT" w:hAnsi="TimesNewRomanPSMT"/>
          <w:sz w:val="20"/>
          <w:szCs w:val="20"/>
        </w:rPr>
        <w:t xml:space="preserve">to better allocate </w:t>
      </w:r>
      <w:r w:rsidR="0012637C">
        <w:rPr>
          <w:rFonts w:ascii="TimesNewRomanPSMT" w:hAnsi="TimesNewRomanPSMT"/>
          <w:sz w:val="20"/>
          <w:szCs w:val="20"/>
        </w:rPr>
        <w:t>people’s</w:t>
      </w:r>
      <w:r w:rsidR="0032727F">
        <w:rPr>
          <w:rFonts w:ascii="TimesNewRomanPSMT" w:hAnsi="TimesNewRomanPSMT"/>
          <w:sz w:val="20"/>
          <w:szCs w:val="20"/>
        </w:rPr>
        <w:t xml:space="preserve"> money</w:t>
      </w:r>
      <w:r>
        <w:rPr>
          <w:rFonts w:ascii="TimesNewRomanPSMT" w:hAnsi="TimesNewRomanPSMT"/>
          <w:sz w:val="20"/>
          <w:szCs w:val="20"/>
        </w:rPr>
        <w:t xml:space="preserve"> that suits their clients’ desired risk regarding their portfolio’s performance.</w:t>
      </w:r>
      <w:r w:rsidR="00793D7D">
        <w:rPr>
          <w:rFonts w:ascii="TimesNewRomanPSMT" w:hAnsi="TimesNewRomanPSMT"/>
          <w:sz w:val="20"/>
          <w:szCs w:val="20"/>
        </w:rPr>
        <w:t xml:space="preserve"> For example, those living off of pensions or retirement funds may want their money to be invested in something that is less prone to COVID-19 related events.</w:t>
      </w:r>
    </w:p>
    <w:p w14:paraId="373EB59B" w14:textId="77777777" w:rsidR="00942A8A" w:rsidRPr="00942A8A" w:rsidRDefault="00942A8A" w:rsidP="003A421C">
      <w:pPr>
        <w:spacing w:before="10" w:after="10"/>
        <w:rPr>
          <w:rFonts w:ascii="TimesNewRomanPSMT" w:hAnsi="TimesNewRomanPSMT"/>
          <w:sz w:val="20"/>
          <w:szCs w:val="20"/>
        </w:rPr>
      </w:pPr>
    </w:p>
    <w:p w14:paraId="0E54C458" w14:textId="15662DCC" w:rsidR="00AF6655" w:rsidRPr="005E4716" w:rsidRDefault="006F35D4" w:rsidP="003A421C">
      <w:pPr>
        <w:spacing w:before="10" w:after="10"/>
        <w:rPr>
          <w:rFonts w:ascii="TimesNewRomanPSMT" w:hAnsi="TimesNewRomanPSMT"/>
          <w:color w:val="4472C4" w:themeColor="accent1"/>
          <w:sz w:val="20"/>
          <w:szCs w:val="20"/>
        </w:rPr>
      </w:pPr>
      <w:r>
        <w:rPr>
          <w:rFonts w:ascii="TimesNewRomanPSMT" w:hAnsi="TimesNewRomanPSMT"/>
          <w:sz w:val="20"/>
          <w:szCs w:val="20"/>
        </w:rPr>
        <w:t xml:space="preserve">The </w:t>
      </w:r>
      <w:r w:rsidR="00AF6655">
        <w:rPr>
          <w:rFonts w:ascii="TimesNewRomanPSMT" w:hAnsi="TimesNewRomanPSMT"/>
          <w:sz w:val="20"/>
          <w:szCs w:val="20"/>
        </w:rPr>
        <w:t>Standard &amp; Poor 500 index</w:t>
      </w:r>
      <w:r>
        <w:rPr>
          <w:rFonts w:ascii="TimesNewRomanPSMT" w:hAnsi="TimesNewRomanPSMT"/>
          <w:sz w:val="20"/>
          <w:szCs w:val="20"/>
        </w:rPr>
        <w:t xml:space="preserve"> was </w:t>
      </w:r>
      <w:r w:rsidR="00831AAD">
        <w:rPr>
          <w:rFonts w:ascii="TimesNewRomanPSMT" w:hAnsi="TimesNewRomanPSMT"/>
          <w:sz w:val="20"/>
          <w:szCs w:val="20"/>
        </w:rPr>
        <w:t>studied</w:t>
      </w:r>
      <w:r w:rsidR="00AF6655">
        <w:rPr>
          <w:rFonts w:ascii="TimesNewRomanPSMT" w:hAnsi="TimesNewRomanPSMT"/>
          <w:sz w:val="20"/>
          <w:szCs w:val="20"/>
        </w:rPr>
        <w:t xml:space="preserve">, </w:t>
      </w:r>
      <w:r>
        <w:rPr>
          <w:rFonts w:ascii="TimesNewRomanPSMT" w:hAnsi="TimesNewRomanPSMT"/>
          <w:sz w:val="20"/>
          <w:szCs w:val="20"/>
        </w:rPr>
        <w:t>which</w:t>
      </w:r>
      <w:r w:rsidR="00AF6655">
        <w:rPr>
          <w:rFonts w:ascii="TimesNewRomanPSMT" w:hAnsi="TimesNewRomanPSMT"/>
          <w:sz w:val="20"/>
          <w:szCs w:val="20"/>
        </w:rPr>
        <w:t xml:space="preserve"> cover</w:t>
      </w:r>
      <w:r>
        <w:rPr>
          <w:rFonts w:ascii="TimesNewRomanPSMT" w:hAnsi="TimesNewRomanPSMT"/>
          <w:sz w:val="20"/>
          <w:szCs w:val="20"/>
        </w:rPr>
        <w:t>s</w:t>
      </w:r>
      <w:r w:rsidR="00AF6655">
        <w:rPr>
          <w:rFonts w:ascii="TimesNewRomanPSMT" w:hAnsi="TimesNewRomanPSMT"/>
          <w:sz w:val="20"/>
          <w:szCs w:val="20"/>
        </w:rPr>
        <w:t xml:space="preserve"> about 80% of the available market capitalisation </w:t>
      </w:r>
      <w:sdt>
        <w:sdtPr>
          <w:rPr>
            <w:rFonts w:ascii="TimesNewRomanPSMT" w:hAnsi="TimesNewRomanPSMT"/>
            <w:sz w:val="20"/>
            <w:szCs w:val="20"/>
          </w:rPr>
          <w:id w:val="1639150273"/>
          <w:citation/>
        </w:sdtPr>
        <w:sdtEndPr/>
        <w:sdtContent>
          <w:r w:rsidR="00AF6655">
            <w:rPr>
              <w:rFonts w:ascii="TimesNewRomanPSMT" w:hAnsi="TimesNewRomanPSMT"/>
              <w:sz w:val="20"/>
              <w:szCs w:val="20"/>
            </w:rPr>
            <w:fldChar w:fldCharType="begin"/>
          </w:r>
          <w:r w:rsidR="00AF6655">
            <w:rPr>
              <w:rFonts w:ascii="TimesNewRomanPSMT" w:hAnsi="TimesNewRomanPSMT"/>
              <w:sz w:val="20"/>
              <w:szCs w:val="20"/>
            </w:rPr>
            <w:instrText xml:space="preserve"> CITATION SP520 \l 3081 </w:instrText>
          </w:r>
          <w:r w:rsidR="00AF6655">
            <w:rPr>
              <w:rFonts w:ascii="TimesNewRomanPSMT" w:hAnsi="TimesNewRomanPSMT"/>
              <w:sz w:val="20"/>
              <w:szCs w:val="20"/>
            </w:rPr>
            <w:fldChar w:fldCharType="separate"/>
          </w:r>
          <w:r w:rsidR="00B225C9" w:rsidRPr="00B225C9">
            <w:rPr>
              <w:rFonts w:ascii="TimesNewRomanPSMT" w:hAnsi="TimesNewRomanPSMT"/>
              <w:noProof/>
              <w:sz w:val="20"/>
              <w:szCs w:val="20"/>
            </w:rPr>
            <w:t>(S&amp;P 500, 2020)</w:t>
          </w:r>
          <w:r w:rsidR="00AF6655">
            <w:rPr>
              <w:rFonts w:ascii="TimesNewRomanPSMT" w:hAnsi="TimesNewRomanPSMT"/>
              <w:sz w:val="20"/>
              <w:szCs w:val="20"/>
            </w:rPr>
            <w:fldChar w:fldCharType="end"/>
          </w:r>
        </w:sdtContent>
      </w:sdt>
      <w:r w:rsidR="00942A8A">
        <w:rPr>
          <w:rFonts w:ascii="TimesNewRomanPSMT" w:hAnsi="TimesNewRomanPSMT"/>
          <w:sz w:val="20"/>
          <w:szCs w:val="20"/>
        </w:rPr>
        <w:t xml:space="preserve"> within the NASDAQ</w:t>
      </w:r>
      <w:r w:rsidR="00AF6655">
        <w:rPr>
          <w:rFonts w:ascii="TimesNewRomanPSMT" w:hAnsi="TimesNewRomanPSMT"/>
          <w:sz w:val="20"/>
          <w:szCs w:val="20"/>
        </w:rPr>
        <w:t xml:space="preserve">. As the </w:t>
      </w:r>
      <w:r>
        <w:rPr>
          <w:rFonts w:ascii="TimesNewRomanPSMT" w:hAnsi="TimesNewRomanPSMT"/>
          <w:sz w:val="20"/>
          <w:szCs w:val="20"/>
        </w:rPr>
        <w:t>inclusion of stocks</w:t>
      </w:r>
      <w:r w:rsidR="00AF6655">
        <w:rPr>
          <w:rFonts w:ascii="TimesNewRomanPSMT" w:hAnsi="TimesNewRomanPSMT"/>
          <w:sz w:val="20"/>
          <w:szCs w:val="20"/>
        </w:rPr>
        <w:t xml:space="preserve"> in the S&amp;P500 are dynamic</w:t>
      </w:r>
      <w:r w:rsidR="00FC55F3">
        <w:rPr>
          <w:rFonts w:ascii="TimesNewRomanPSMT" w:hAnsi="TimesNewRomanPSMT"/>
          <w:sz w:val="20"/>
          <w:szCs w:val="20"/>
        </w:rPr>
        <w:t>, historical data</w:t>
      </w:r>
      <w:r>
        <w:rPr>
          <w:rFonts w:ascii="TimesNewRomanPSMT" w:hAnsi="TimesNewRomanPSMT"/>
          <w:sz w:val="20"/>
          <w:szCs w:val="20"/>
        </w:rPr>
        <w:t xml:space="preserve"> is used</w:t>
      </w:r>
      <w:r w:rsidR="00FC55F3">
        <w:rPr>
          <w:rFonts w:ascii="TimesNewRomanPSMT" w:hAnsi="TimesNewRomanPSMT"/>
          <w:sz w:val="20"/>
          <w:szCs w:val="20"/>
        </w:rPr>
        <w:t xml:space="preserve"> for comparison</w:t>
      </w:r>
      <w:r w:rsidR="00942A8A">
        <w:rPr>
          <w:rFonts w:ascii="TimesNewRomanPSMT" w:hAnsi="TimesNewRomanPSMT"/>
          <w:sz w:val="20"/>
          <w:szCs w:val="20"/>
        </w:rPr>
        <w:t xml:space="preserve"> for each time period</w:t>
      </w:r>
      <w:r w:rsidR="00FC55F3">
        <w:rPr>
          <w:rFonts w:ascii="TimesNewRomanPSMT" w:hAnsi="TimesNewRomanPSMT"/>
          <w:sz w:val="20"/>
          <w:szCs w:val="20"/>
        </w:rPr>
        <w:t>.</w:t>
      </w:r>
      <w:r w:rsidR="005E4716">
        <w:rPr>
          <w:rFonts w:ascii="TimesNewRomanPSMT" w:hAnsi="TimesNewRomanPSMT"/>
          <w:sz w:val="20"/>
          <w:szCs w:val="20"/>
        </w:rPr>
        <w:t xml:space="preserve"> </w:t>
      </w:r>
      <w:r w:rsidR="005E4716" w:rsidRPr="005E4716">
        <w:rPr>
          <w:rFonts w:ascii="TimesNewRomanPSMT" w:hAnsi="TimesNewRomanPSMT"/>
          <w:color w:val="4472C4" w:themeColor="accent1"/>
          <w:sz w:val="20"/>
          <w:szCs w:val="20"/>
        </w:rPr>
        <w:t>Note that this is not an Australian market, so may not be reflective of our conditions.</w:t>
      </w:r>
    </w:p>
    <w:p w14:paraId="05C97003" w14:textId="77777777" w:rsidR="00942A8A" w:rsidRDefault="00942A8A" w:rsidP="003A421C">
      <w:pPr>
        <w:spacing w:before="10" w:after="10"/>
        <w:rPr>
          <w:rFonts w:ascii="TimesNewRomanPSMT" w:hAnsi="TimesNewRomanPSMT"/>
          <w:sz w:val="20"/>
          <w:szCs w:val="20"/>
          <w:u w:val="single"/>
        </w:rPr>
      </w:pPr>
    </w:p>
    <w:p w14:paraId="37E46DA3" w14:textId="6B8A1AEE" w:rsidR="00942A8A" w:rsidRDefault="00AC06AE" w:rsidP="003A421C">
      <w:pPr>
        <w:spacing w:before="10" w:after="10"/>
        <w:rPr>
          <w:rFonts w:ascii="TimesNewRomanPSMT" w:hAnsi="TimesNewRomanPSMT"/>
          <w:sz w:val="20"/>
          <w:szCs w:val="20"/>
        </w:rPr>
      </w:pPr>
      <w:r>
        <w:rPr>
          <w:rFonts w:ascii="TimesNewRomanPSMT" w:hAnsi="TimesNewRomanPSMT"/>
          <w:sz w:val="20"/>
          <w:szCs w:val="20"/>
        </w:rPr>
        <w:t xml:space="preserve">The null hypothesis </w:t>
      </w:r>
      <w:r w:rsidR="00E33049">
        <w:rPr>
          <w:rFonts w:ascii="TimesNewRomanPSMT" w:hAnsi="TimesNewRomanPSMT"/>
          <w:sz w:val="20"/>
          <w:szCs w:val="20"/>
        </w:rPr>
        <w:t>H</w:t>
      </w:r>
      <w:r w:rsidR="00E33049">
        <w:rPr>
          <w:rFonts w:ascii="TimesNewRomanPSMT" w:hAnsi="TimesNewRomanPSMT"/>
          <w:sz w:val="20"/>
          <w:szCs w:val="20"/>
          <w:vertAlign w:val="subscript"/>
        </w:rPr>
        <w:t>0</w:t>
      </w:r>
      <w:r w:rsidR="00E33049">
        <w:rPr>
          <w:rFonts w:ascii="TimesNewRomanPSMT" w:hAnsi="TimesNewRomanPSMT"/>
          <w:sz w:val="20"/>
          <w:szCs w:val="20"/>
        </w:rPr>
        <w:t xml:space="preserve">, </w:t>
      </w:r>
      <w:r w:rsidR="00831AAD">
        <w:rPr>
          <w:rFonts w:ascii="TimesNewRomanPSMT" w:hAnsi="TimesNewRomanPSMT"/>
          <w:sz w:val="20"/>
          <w:szCs w:val="20"/>
        </w:rPr>
        <w:t>is</w:t>
      </w:r>
      <w:r>
        <w:rPr>
          <w:rFonts w:ascii="TimesNewRomanPSMT" w:hAnsi="TimesNewRomanPSMT"/>
          <w:sz w:val="20"/>
          <w:szCs w:val="20"/>
        </w:rPr>
        <w:t xml:space="preserve"> that</w:t>
      </w:r>
      <w:r w:rsidR="00D651B1">
        <w:rPr>
          <w:rFonts w:ascii="TimesNewRomanPSMT" w:hAnsi="TimesNewRomanPSMT"/>
          <w:sz w:val="20"/>
          <w:szCs w:val="20"/>
        </w:rPr>
        <w:t xml:space="preserve"> the standard deviation of</w:t>
      </w:r>
      <w:r w:rsidR="00734E69">
        <w:rPr>
          <w:rFonts w:ascii="TimesNewRomanPSMT" w:hAnsi="TimesNewRomanPSMT"/>
          <w:sz w:val="20"/>
          <w:szCs w:val="20"/>
        </w:rPr>
        <w:t xml:space="preserve"> change in volatility is</w:t>
      </w:r>
      <w:r w:rsidR="00F34877">
        <w:rPr>
          <w:rFonts w:ascii="TimesNewRomanPSMT" w:hAnsi="TimesNewRomanPSMT"/>
          <w:sz w:val="20"/>
          <w:szCs w:val="20"/>
        </w:rPr>
        <w:t xml:space="preserve"> less than 0.05</w:t>
      </w:r>
      <w:r w:rsidR="00734E69">
        <w:rPr>
          <w:rFonts w:ascii="TimesNewRomanPSMT" w:hAnsi="TimesNewRomanPSMT"/>
          <w:sz w:val="20"/>
          <w:szCs w:val="20"/>
        </w:rPr>
        <w:t>. Meaning that there was no change in volatility between 2019 and 2020.</w:t>
      </w:r>
      <w:r w:rsidR="00942A8A">
        <w:rPr>
          <w:rFonts w:ascii="TimesNewRomanPSMT" w:hAnsi="TimesNewRomanPSMT"/>
          <w:sz w:val="20"/>
          <w:szCs w:val="20"/>
        </w:rPr>
        <w:t xml:space="preserve"> </w:t>
      </w:r>
    </w:p>
    <w:p w14:paraId="7A039170" w14:textId="5FFB2360" w:rsidR="005E4716" w:rsidRPr="005E4716" w:rsidRDefault="005E4716" w:rsidP="003A421C">
      <w:pPr>
        <w:spacing w:before="10" w:after="10"/>
        <w:rPr>
          <w:rFonts w:ascii="TimesNewRomanPSMT" w:hAnsi="TimesNewRomanPSMT"/>
          <w:color w:val="4472C4" w:themeColor="accent1"/>
          <w:sz w:val="20"/>
          <w:szCs w:val="20"/>
          <w:vertAlign w:val="subscript"/>
        </w:rPr>
      </w:pPr>
      <w:r w:rsidRPr="005E4716">
        <w:rPr>
          <w:rFonts w:ascii="TimesNewRomanPSMT" w:hAnsi="TimesNewRomanPSMT"/>
          <w:color w:val="4472C4" w:themeColor="accent1"/>
          <w:sz w:val="20"/>
          <w:szCs w:val="20"/>
        </w:rPr>
        <w:lastRenderedPageBreak/>
        <w:t>The remaining sections of this paper cover the method, results, a discussion of the results, and a conclusion.</w:t>
      </w:r>
    </w:p>
    <w:p w14:paraId="51D52645" w14:textId="390A3BB0" w:rsidR="00942A8A" w:rsidRPr="00022302" w:rsidRDefault="00942A8A" w:rsidP="003A421C">
      <w:pPr>
        <w:spacing w:before="10" w:after="10"/>
        <w:rPr>
          <w:rFonts w:ascii="TimesNewRomanPSMT" w:hAnsi="TimesNewRomanPSMT"/>
          <w:b/>
          <w:bCs/>
          <w:sz w:val="20"/>
          <w:szCs w:val="20"/>
        </w:rPr>
      </w:pPr>
    </w:p>
    <w:p w14:paraId="190200C2" w14:textId="190A3230" w:rsidR="00EB3722" w:rsidRPr="00DC42E0" w:rsidRDefault="0051788D" w:rsidP="003A421C">
      <w:pPr>
        <w:spacing w:before="10" w:after="10"/>
        <w:rPr>
          <w:rFonts w:ascii="TimesNewRomanPS" w:hAnsi="TimesNewRomanPS"/>
          <w:b/>
          <w:bCs/>
          <w:sz w:val="20"/>
          <w:szCs w:val="20"/>
        </w:rPr>
      </w:pPr>
      <w:r w:rsidRPr="0051788D">
        <w:rPr>
          <w:rFonts w:ascii="TimesNewRomanPS" w:hAnsi="TimesNewRomanPS"/>
          <w:b/>
          <w:bCs/>
        </w:rPr>
        <w:t xml:space="preserve">Method. </w:t>
      </w:r>
      <w:r w:rsidR="00022302">
        <w:rPr>
          <w:rFonts w:ascii="TimesNewRomanPS" w:hAnsi="TimesNewRomanPS"/>
          <w:b/>
          <w:bCs/>
        </w:rPr>
        <w:br/>
      </w:r>
      <w:r w:rsidR="003E01D3">
        <w:rPr>
          <w:rFonts w:ascii="TimesNewRomanPS" w:hAnsi="TimesNewRomanPS"/>
          <w:b/>
          <w:bCs/>
          <w:sz w:val="20"/>
          <w:szCs w:val="20"/>
        </w:rPr>
        <w:t xml:space="preserve">Categorising stocks into </w:t>
      </w:r>
      <w:r w:rsidR="001F6687">
        <w:rPr>
          <w:rFonts w:ascii="TimesNewRomanPS" w:hAnsi="TimesNewRomanPS"/>
          <w:b/>
          <w:bCs/>
          <w:sz w:val="20"/>
          <w:szCs w:val="20"/>
        </w:rPr>
        <w:t>separate</w:t>
      </w:r>
      <w:r w:rsidR="003E01D3">
        <w:rPr>
          <w:rFonts w:ascii="TimesNewRomanPS" w:hAnsi="TimesNewRomanPS"/>
          <w:b/>
          <w:bCs/>
          <w:sz w:val="20"/>
          <w:szCs w:val="20"/>
        </w:rPr>
        <w:t xml:space="preserve"> industries</w:t>
      </w:r>
      <w:r w:rsidR="00056729" w:rsidRPr="0051788D">
        <w:rPr>
          <w:rFonts w:ascii="TimesNewRomanPS" w:hAnsi="TimesNewRomanPS"/>
          <w:b/>
          <w:bCs/>
          <w:sz w:val="20"/>
          <w:szCs w:val="20"/>
        </w:rPr>
        <w:t xml:space="preserve">. </w:t>
      </w:r>
      <w:r w:rsidR="00022302">
        <w:tab/>
      </w:r>
      <w:r w:rsidR="00EB3722">
        <w:rPr>
          <w:rFonts w:ascii="TimesNewRomanPSMT" w:hAnsi="TimesNewRomanPSMT"/>
          <w:sz w:val="20"/>
          <w:szCs w:val="20"/>
        </w:rPr>
        <w:br/>
      </w:r>
      <w:r w:rsidR="009E2158" w:rsidRPr="009E2158">
        <w:rPr>
          <w:rFonts w:ascii="TimesNewRomanPSMT" w:hAnsi="TimesNewRomanPSMT"/>
          <w:color w:val="4472C4" w:themeColor="accent1"/>
          <w:sz w:val="20"/>
          <w:szCs w:val="20"/>
        </w:rPr>
        <w:t>A</w:t>
      </w:r>
      <w:r w:rsidR="008B1900" w:rsidRPr="009E2158">
        <w:rPr>
          <w:rFonts w:ascii="TimesNewRomanPSMT" w:hAnsi="TimesNewRomanPSMT"/>
          <w:color w:val="4472C4" w:themeColor="accent1"/>
          <w:sz w:val="20"/>
          <w:szCs w:val="20"/>
        </w:rPr>
        <w:t xml:space="preserve"> </w:t>
      </w:r>
      <w:r w:rsidR="0032727F" w:rsidRPr="009E2158">
        <w:rPr>
          <w:rFonts w:ascii="TimesNewRomanPSMT" w:hAnsi="TimesNewRomanPSMT"/>
          <w:color w:val="4472C4" w:themeColor="accent1"/>
          <w:sz w:val="20"/>
          <w:szCs w:val="20"/>
        </w:rPr>
        <w:t>data table</w:t>
      </w:r>
      <w:r w:rsidR="00831AAD" w:rsidRPr="009E2158">
        <w:rPr>
          <w:rFonts w:ascii="TimesNewRomanPSMT" w:hAnsi="TimesNewRomanPSMT"/>
          <w:color w:val="4472C4" w:themeColor="accent1"/>
          <w:sz w:val="20"/>
          <w:szCs w:val="20"/>
        </w:rPr>
        <w:t xml:space="preserve"> </w:t>
      </w:r>
      <w:sdt>
        <w:sdtPr>
          <w:rPr>
            <w:rFonts w:ascii="TimesNewRomanPSMT" w:hAnsi="TimesNewRomanPSMT"/>
            <w:sz w:val="20"/>
            <w:szCs w:val="20"/>
          </w:rPr>
          <w:id w:val="470721022"/>
          <w:citation/>
        </w:sdtPr>
        <w:sdtEndPr/>
        <w:sdtContent>
          <w:r w:rsidR="001C6C1F">
            <w:rPr>
              <w:rFonts w:ascii="TimesNewRomanPSMT" w:hAnsi="TimesNewRomanPSMT"/>
              <w:sz w:val="20"/>
              <w:szCs w:val="20"/>
            </w:rPr>
            <w:fldChar w:fldCharType="begin"/>
          </w:r>
          <w:r w:rsidR="001C6C1F">
            <w:rPr>
              <w:rFonts w:ascii="TimesNewRomanPSMT" w:hAnsi="TimesNewRomanPSMT"/>
              <w:sz w:val="20"/>
              <w:szCs w:val="20"/>
            </w:rPr>
            <w:instrText xml:space="preserve"> CITATION Lis20 \l 3081 </w:instrText>
          </w:r>
          <w:r w:rsidR="001C6C1F">
            <w:rPr>
              <w:rFonts w:ascii="TimesNewRomanPSMT" w:hAnsi="TimesNewRomanPSMT"/>
              <w:sz w:val="20"/>
              <w:szCs w:val="20"/>
            </w:rPr>
            <w:fldChar w:fldCharType="separate"/>
          </w:r>
          <w:r w:rsidR="00B225C9" w:rsidRPr="00B225C9">
            <w:rPr>
              <w:rFonts w:ascii="TimesNewRomanPSMT" w:hAnsi="TimesNewRomanPSMT"/>
              <w:noProof/>
              <w:sz w:val="20"/>
              <w:szCs w:val="20"/>
            </w:rPr>
            <w:t>(List of S&amp;P 500 companies, 2020)</w:t>
          </w:r>
          <w:r w:rsidR="001C6C1F">
            <w:rPr>
              <w:rFonts w:ascii="TimesNewRomanPSMT" w:hAnsi="TimesNewRomanPSMT"/>
              <w:sz w:val="20"/>
              <w:szCs w:val="20"/>
            </w:rPr>
            <w:fldChar w:fldCharType="end"/>
          </w:r>
        </w:sdtContent>
      </w:sdt>
      <w:sdt>
        <w:sdtPr>
          <w:rPr>
            <w:rFonts w:ascii="TimesNewRomanPSMT" w:hAnsi="TimesNewRomanPSMT"/>
            <w:sz w:val="20"/>
            <w:szCs w:val="20"/>
          </w:rPr>
          <w:id w:val="1066151381"/>
          <w:citation/>
        </w:sdtPr>
        <w:sdtEndPr/>
        <w:sdtContent>
          <w:r w:rsidR="00831AAD">
            <w:rPr>
              <w:rFonts w:ascii="TimesNewRomanPSMT" w:hAnsi="TimesNewRomanPSMT"/>
              <w:sz w:val="20"/>
              <w:szCs w:val="20"/>
            </w:rPr>
            <w:fldChar w:fldCharType="begin"/>
          </w:r>
          <w:r w:rsidR="00831AAD">
            <w:rPr>
              <w:rFonts w:ascii="TimesNewRomanPSMT" w:hAnsi="TimesNewRomanPSMT"/>
              <w:sz w:val="20"/>
              <w:szCs w:val="20"/>
            </w:rPr>
            <w:instrText xml:space="preserve"> CITATION SP520 \l 3081 </w:instrText>
          </w:r>
          <w:r w:rsidR="00831AAD">
            <w:rPr>
              <w:rFonts w:ascii="TimesNewRomanPSMT" w:hAnsi="TimesNewRomanPSMT"/>
              <w:sz w:val="20"/>
              <w:szCs w:val="20"/>
            </w:rPr>
            <w:fldChar w:fldCharType="separate"/>
          </w:r>
          <w:r w:rsidR="00B225C9">
            <w:rPr>
              <w:rFonts w:ascii="TimesNewRomanPSMT" w:hAnsi="TimesNewRomanPSMT"/>
              <w:noProof/>
              <w:sz w:val="20"/>
              <w:szCs w:val="20"/>
            </w:rPr>
            <w:t xml:space="preserve"> </w:t>
          </w:r>
          <w:r w:rsidR="00B225C9" w:rsidRPr="00B225C9">
            <w:rPr>
              <w:rFonts w:ascii="TimesNewRomanPSMT" w:hAnsi="TimesNewRomanPSMT"/>
              <w:noProof/>
              <w:sz w:val="20"/>
              <w:szCs w:val="20"/>
            </w:rPr>
            <w:t>(S&amp;P 500, 2020)</w:t>
          </w:r>
          <w:r w:rsidR="00831AAD">
            <w:rPr>
              <w:rFonts w:ascii="TimesNewRomanPSMT" w:hAnsi="TimesNewRomanPSMT"/>
              <w:sz w:val="20"/>
              <w:szCs w:val="20"/>
            </w:rPr>
            <w:fldChar w:fldCharType="end"/>
          </w:r>
        </w:sdtContent>
      </w:sdt>
      <w:r w:rsidR="008B1900">
        <w:rPr>
          <w:rFonts w:ascii="TimesNewRomanPSMT" w:hAnsi="TimesNewRomanPSMT"/>
          <w:sz w:val="20"/>
          <w:szCs w:val="20"/>
        </w:rPr>
        <w:t xml:space="preserve"> </w:t>
      </w:r>
      <w:r w:rsidR="009E2158" w:rsidRPr="009E2158">
        <w:rPr>
          <w:rFonts w:ascii="TimesNewRomanPSMT" w:hAnsi="TimesNewRomanPSMT"/>
          <w:color w:val="4472C4" w:themeColor="accent1"/>
          <w:sz w:val="20"/>
          <w:szCs w:val="20"/>
        </w:rPr>
        <w:t xml:space="preserve">was scraped </w:t>
      </w:r>
      <w:r w:rsidR="0032727F">
        <w:rPr>
          <w:rFonts w:ascii="TimesNewRomanPSMT" w:hAnsi="TimesNewRomanPSMT"/>
          <w:sz w:val="20"/>
          <w:szCs w:val="20"/>
        </w:rPr>
        <w:t>to create</w:t>
      </w:r>
      <w:r w:rsidR="008B1900">
        <w:rPr>
          <w:rFonts w:ascii="TimesNewRomanPSMT" w:hAnsi="TimesNewRomanPSMT"/>
          <w:sz w:val="20"/>
          <w:szCs w:val="20"/>
        </w:rPr>
        <w:t xml:space="preserve"> a data</w:t>
      </w:r>
      <w:r w:rsidR="00942A8A">
        <w:rPr>
          <w:rFonts w:ascii="TimesNewRomanPSMT" w:hAnsi="TimesNewRomanPSMT"/>
          <w:sz w:val="20"/>
          <w:szCs w:val="20"/>
        </w:rPr>
        <w:t xml:space="preserve"> </w:t>
      </w:r>
      <w:r w:rsidR="008B1900">
        <w:rPr>
          <w:rFonts w:ascii="TimesNewRomanPSMT" w:hAnsi="TimesNewRomanPSMT"/>
          <w:sz w:val="20"/>
          <w:szCs w:val="20"/>
        </w:rPr>
        <w:t xml:space="preserve">frame using the Pandas python library </w:t>
      </w:r>
      <w:r w:rsidR="0032727F">
        <w:rPr>
          <w:rFonts w:ascii="TimesNewRomanPSMT" w:hAnsi="TimesNewRomanPSMT"/>
          <w:sz w:val="20"/>
          <w:szCs w:val="20"/>
        </w:rPr>
        <w:t>for each stock included in the S&amp;P500</w:t>
      </w:r>
      <w:r w:rsidR="008B1900">
        <w:rPr>
          <w:rFonts w:ascii="TimesNewRomanPSMT" w:hAnsi="TimesNewRomanPSMT"/>
          <w:sz w:val="20"/>
          <w:szCs w:val="20"/>
        </w:rPr>
        <w:t xml:space="preserve">. </w:t>
      </w:r>
      <w:r w:rsidR="009E2158" w:rsidRPr="009E2158">
        <w:rPr>
          <w:rFonts w:ascii="TimesNewRomanPSMT" w:hAnsi="TimesNewRomanPSMT"/>
          <w:color w:val="4472C4" w:themeColor="accent1"/>
          <w:sz w:val="20"/>
          <w:szCs w:val="20"/>
        </w:rPr>
        <w:t>T</w:t>
      </w:r>
      <w:r w:rsidR="009E2158" w:rsidRPr="009E2158">
        <w:rPr>
          <w:rFonts w:ascii="TimesNewRomanPSMT" w:hAnsi="TimesNewRomanPSMT"/>
          <w:color w:val="4472C4" w:themeColor="accent1"/>
          <w:sz w:val="20"/>
          <w:szCs w:val="20"/>
        </w:rPr>
        <w:t>he data</w:t>
      </w:r>
      <w:r w:rsidR="009E2158" w:rsidRPr="009E2158">
        <w:rPr>
          <w:rFonts w:ascii="TimesNewRomanPSMT" w:hAnsi="TimesNewRomanPSMT"/>
          <w:color w:val="4472C4" w:themeColor="accent1"/>
          <w:sz w:val="20"/>
          <w:szCs w:val="20"/>
        </w:rPr>
        <w:t xml:space="preserve"> was filtered </w:t>
      </w:r>
      <w:r w:rsidR="00AF6655">
        <w:rPr>
          <w:rFonts w:ascii="TimesNewRomanPSMT" w:hAnsi="TimesNewRomanPSMT"/>
          <w:sz w:val="20"/>
          <w:szCs w:val="20"/>
        </w:rPr>
        <w:t xml:space="preserve">to </w:t>
      </w:r>
      <w:r w:rsidR="0032727F">
        <w:rPr>
          <w:rFonts w:ascii="TimesNewRomanPSMT" w:hAnsi="TimesNewRomanPSMT"/>
          <w:sz w:val="20"/>
          <w:szCs w:val="20"/>
        </w:rPr>
        <w:t>distinguish stocks based on their GICS sub-industry classification</w:t>
      </w:r>
      <w:r w:rsidR="008B1900">
        <w:rPr>
          <w:rFonts w:ascii="TimesNewRomanPSMT" w:hAnsi="TimesNewRomanPSMT"/>
          <w:sz w:val="20"/>
          <w:szCs w:val="20"/>
        </w:rPr>
        <w:t>. In total</w:t>
      </w:r>
      <w:r w:rsidR="00942A8A">
        <w:rPr>
          <w:rFonts w:ascii="TimesNewRomanPSMT" w:hAnsi="TimesNewRomanPSMT"/>
          <w:sz w:val="20"/>
          <w:szCs w:val="20"/>
        </w:rPr>
        <w:t xml:space="preserve"> </w:t>
      </w:r>
      <w:r w:rsidR="001C6C1F">
        <w:rPr>
          <w:rFonts w:ascii="TimesNewRomanPSMT" w:hAnsi="TimesNewRomanPSMT"/>
          <w:sz w:val="20"/>
          <w:szCs w:val="20"/>
        </w:rPr>
        <w:t>126 sub-industries</w:t>
      </w:r>
      <w:r w:rsidR="00831AAD">
        <w:rPr>
          <w:rFonts w:ascii="TimesNewRomanPSMT" w:hAnsi="TimesNewRomanPSMT"/>
          <w:sz w:val="20"/>
          <w:szCs w:val="20"/>
        </w:rPr>
        <w:t xml:space="preserve"> </w:t>
      </w:r>
      <w:r w:rsidR="00942A8A">
        <w:rPr>
          <w:rFonts w:ascii="TimesNewRomanPSMT" w:hAnsi="TimesNewRomanPSMT"/>
          <w:sz w:val="20"/>
          <w:szCs w:val="20"/>
        </w:rPr>
        <w:t xml:space="preserve">categorise </w:t>
      </w:r>
      <w:r w:rsidR="00831AAD">
        <w:rPr>
          <w:rFonts w:ascii="TimesNewRomanPSMT" w:hAnsi="TimesNewRomanPSMT"/>
          <w:sz w:val="20"/>
          <w:szCs w:val="20"/>
        </w:rPr>
        <w:t>504 stocks.</w:t>
      </w:r>
    </w:p>
    <w:p w14:paraId="32ACABA9" w14:textId="77777777" w:rsidR="00942A8A" w:rsidRPr="00022302" w:rsidRDefault="00942A8A" w:rsidP="003A421C">
      <w:pPr>
        <w:spacing w:before="10" w:after="10"/>
        <w:rPr>
          <w:rFonts w:ascii="TimesNewRomanPS" w:hAnsi="TimesNewRomanPS"/>
          <w:b/>
          <w:bCs/>
        </w:rPr>
      </w:pPr>
    </w:p>
    <w:p w14:paraId="1941A78A" w14:textId="77777777" w:rsidR="00942A8A" w:rsidRDefault="00E576C2" w:rsidP="003A421C">
      <w:pPr>
        <w:spacing w:before="10" w:after="10"/>
      </w:pPr>
      <w:r>
        <w:rPr>
          <w:rFonts w:ascii="TimesNewRomanPS" w:hAnsi="TimesNewRomanPS"/>
          <w:b/>
          <w:bCs/>
          <w:sz w:val="20"/>
          <w:szCs w:val="20"/>
        </w:rPr>
        <w:t>Downloading the data</w:t>
      </w:r>
      <w:r w:rsidR="0051788D" w:rsidRPr="0051788D">
        <w:rPr>
          <w:rFonts w:ascii="TimesNewRomanPS" w:hAnsi="TimesNewRomanPS"/>
          <w:b/>
          <w:bCs/>
          <w:sz w:val="20"/>
          <w:szCs w:val="20"/>
        </w:rPr>
        <w:t xml:space="preserve">. </w:t>
      </w:r>
      <w:r w:rsidR="00022302">
        <w:tab/>
      </w:r>
    </w:p>
    <w:p w14:paraId="4D21C5CA" w14:textId="0A3D14C8" w:rsidR="007C4D21" w:rsidRPr="00022302" w:rsidRDefault="0032727F" w:rsidP="003A421C">
      <w:pPr>
        <w:spacing w:before="10" w:after="10"/>
      </w:pPr>
      <w:r>
        <w:rPr>
          <w:rFonts w:ascii="TimesNewRomanPSMT" w:hAnsi="TimesNewRomanPSMT"/>
          <w:sz w:val="20"/>
          <w:szCs w:val="20"/>
        </w:rPr>
        <w:t>For each stock’s unique ticker, Yahoo Finance API</w:t>
      </w:r>
      <w:r w:rsidR="00734E69">
        <w:rPr>
          <w:rFonts w:ascii="TimesNewRomanPSMT" w:hAnsi="TimesNewRomanPSMT"/>
          <w:sz w:val="20"/>
          <w:szCs w:val="20"/>
        </w:rPr>
        <w:t xml:space="preserve"> was used to</w:t>
      </w:r>
      <w:r>
        <w:rPr>
          <w:rFonts w:ascii="TimesNewRomanPSMT" w:hAnsi="TimesNewRomanPSMT"/>
          <w:sz w:val="20"/>
          <w:szCs w:val="20"/>
        </w:rPr>
        <w:t xml:space="preserve"> </w:t>
      </w:r>
      <w:r w:rsidR="00734E69">
        <w:rPr>
          <w:rFonts w:ascii="TimesNewRomanPSMT" w:hAnsi="TimesNewRomanPSMT"/>
          <w:sz w:val="20"/>
          <w:szCs w:val="20"/>
        </w:rPr>
        <w:t>download</w:t>
      </w:r>
      <w:r>
        <w:rPr>
          <w:rFonts w:ascii="TimesNewRomanPSMT" w:hAnsi="TimesNewRomanPSMT"/>
          <w:sz w:val="20"/>
          <w:szCs w:val="20"/>
        </w:rPr>
        <w:t xml:space="preserve"> the price history for the specified date range</w:t>
      </w:r>
      <w:r w:rsidR="00FC55F3">
        <w:rPr>
          <w:rFonts w:ascii="TimesNewRomanPSMT" w:hAnsi="TimesNewRomanPSMT"/>
          <w:sz w:val="20"/>
          <w:szCs w:val="20"/>
        </w:rPr>
        <w:t>. The percentage change between each Adjusted Close was calculated for each ticker in that industry</w:t>
      </w:r>
      <w:r w:rsidR="00115E91">
        <w:rPr>
          <w:rFonts w:ascii="TimesNewRomanPSMT" w:hAnsi="TimesNewRomanPSMT"/>
          <w:sz w:val="20"/>
          <w:szCs w:val="20"/>
        </w:rPr>
        <w:t xml:space="preserve"> </w:t>
      </w:r>
      <w:r w:rsidR="00115E91">
        <w:rPr>
          <w:rFonts w:ascii="TimesNewRomanPSMT" w:hAnsi="TimesNewRomanPSMT"/>
          <w:color w:val="4472C4" w:themeColor="accent1"/>
          <w:sz w:val="20"/>
          <w:szCs w:val="20"/>
        </w:rPr>
        <w:t>(Fig.1).</w:t>
      </w:r>
      <w:r w:rsidR="00A830A5">
        <w:rPr>
          <w:rFonts w:ascii="TimesNewRomanPSMT" w:hAnsi="TimesNewRomanPSMT"/>
          <w:sz w:val="20"/>
          <w:szCs w:val="20"/>
        </w:rPr>
        <w:t xml:space="preserve"> </w:t>
      </w:r>
    </w:p>
    <w:p w14:paraId="23ADB71E" w14:textId="0CCFE007" w:rsidR="00B64588" w:rsidRDefault="00B64588" w:rsidP="003A421C">
      <w:pPr>
        <w:spacing w:before="10" w:after="10"/>
        <w:rPr>
          <w:rFonts w:ascii="TimesNewRomanPSMT" w:hAnsi="TimesNewRomanPSMT"/>
          <w:sz w:val="20"/>
          <w:szCs w:val="20"/>
        </w:rPr>
      </w:pPr>
      <w:r w:rsidRPr="00B64588">
        <w:rPr>
          <w:rFonts w:ascii="TimesNewRomanPSMT" w:hAnsi="TimesNewRomanPSMT"/>
          <w:noProof/>
          <w:sz w:val="20"/>
          <w:szCs w:val="20"/>
        </w:rPr>
        <w:t xml:space="preserve"> </w:t>
      </w:r>
      <w:r w:rsidR="00452027">
        <w:rPr>
          <w:rFonts w:ascii="TimesNewRomanPSMT" w:hAnsi="TimesNewRomanPSMT"/>
          <w:noProof/>
          <w:sz w:val="20"/>
          <w:szCs w:val="20"/>
        </w:rPr>
        <w:drawing>
          <wp:inline distT="0" distB="0" distL="0" distR="0" wp14:anchorId="6ADE1979" wp14:editId="26BC3F02">
            <wp:extent cx="1778000" cy="1333500"/>
            <wp:effectExtent l="0" t="0" r="0" b="0"/>
            <wp:docPr id="59" name="Picture 5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e_12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761" cy="1391071"/>
                    </a:xfrm>
                    <a:prstGeom prst="rect">
                      <a:avLst/>
                    </a:prstGeom>
                  </pic:spPr>
                </pic:pic>
              </a:graphicData>
            </a:graphic>
          </wp:inline>
        </w:drawing>
      </w:r>
      <w:r w:rsidR="00942A8A">
        <w:rPr>
          <w:rFonts w:ascii="TimesNewRomanPSMT" w:hAnsi="TimesNewRomanPSMT"/>
          <w:noProof/>
          <w:sz w:val="20"/>
          <w:szCs w:val="20"/>
        </w:rPr>
        <w:drawing>
          <wp:inline distT="0" distB="0" distL="0" distR="0" wp14:anchorId="04A29F0F" wp14:editId="5EDB48F4">
            <wp:extent cx="1788161" cy="1341120"/>
            <wp:effectExtent l="0" t="0" r="2540"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lestate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1285" cy="1358463"/>
                    </a:xfrm>
                    <a:prstGeom prst="rect">
                      <a:avLst/>
                    </a:prstGeom>
                  </pic:spPr>
                </pic:pic>
              </a:graphicData>
            </a:graphic>
          </wp:inline>
        </w:drawing>
      </w:r>
      <w:r w:rsidR="00942A8A">
        <w:rPr>
          <w:rFonts w:ascii="TimesNewRomanPSMT" w:hAnsi="TimesNewRomanPSMT"/>
          <w:noProof/>
          <w:sz w:val="20"/>
          <w:szCs w:val="20"/>
        </w:rPr>
        <w:drawing>
          <wp:inline distT="0" distB="0" distL="0" distR="0" wp14:anchorId="1DD231EE" wp14:editId="5C0A7EA7">
            <wp:extent cx="1788159" cy="1341120"/>
            <wp:effectExtent l="0" t="0" r="3175"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lvss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6892" cy="1377670"/>
                    </a:xfrm>
                    <a:prstGeom prst="rect">
                      <a:avLst/>
                    </a:prstGeom>
                  </pic:spPr>
                </pic:pic>
              </a:graphicData>
            </a:graphic>
          </wp:inline>
        </w:drawing>
      </w:r>
    </w:p>
    <w:p w14:paraId="4D230C91" w14:textId="262A600D" w:rsidR="0051788D" w:rsidRPr="003A2E18" w:rsidRDefault="00B64588" w:rsidP="003A421C">
      <w:pPr>
        <w:spacing w:before="10" w:after="10"/>
        <w:rPr>
          <w:rFonts w:ascii="TimesNewRomanPS" w:hAnsi="TimesNewRomanPS"/>
          <w:sz w:val="16"/>
          <w:szCs w:val="16"/>
        </w:rPr>
      </w:pPr>
      <w:r w:rsidRPr="003A2E18">
        <w:rPr>
          <w:rFonts w:ascii="TimesNewRomanPS" w:hAnsi="TimesNewRomanPS"/>
          <w:b/>
          <w:bCs/>
          <w:sz w:val="16"/>
          <w:szCs w:val="16"/>
        </w:rPr>
        <w:t>Fig. 1</w:t>
      </w:r>
      <w:r w:rsidRPr="003A2E18">
        <w:rPr>
          <w:rFonts w:ascii="TimesNewRomanPS" w:hAnsi="TimesNewRomanPS"/>
          <w:sz w:val="16"/>
          <w:szCs w:val="16"/>
        </w:rPr>
        <w:t xml:space="preserve"> shows the </w:t>
      </w:r>
      <w:r w:rsidR="00831D16" w:rsidRPr="003A2E18">
        <w:rPr>
          <w:rFonts w:ascii="TimesNewRomanPS" w:hAnsi="TimesNewRomanPS"/>
          <w:sz w:val="16"/>
          <w:szCs w:val="16"/>
        </w:rPr>
        <w:t>%</w:t>
      </w:r>
      <w:r w:rsidR="00923B02" w:rsidRPr="003A2E18">
        <w:rPr>
          <w:rFonts w:ascii="TimesNewRomanPS" w:hAnsi="TimesNewRomanPS"/>
          <w:sz w:val="16"/>
          <w:szCs w:val="16"/>
        </w:rPr>
        <w:t xml:space="preserve"> change</w:t>
      </w:r>
      <w:r w:rsidRPr="003A2E18">
        <w:rPr>
          <w:rFonts w:ascii="TimesNewRomanPS" w:hAnsi="TimesNewRomanPS"/>
          <w:sz w:val="16"/>
          <w:szCs w:val="16"/>
        </w:rPr>
        <w:t xml:space="preserve"> for each</w:t>
      </w:r>
      <w:r w:rsidR="00452027" w:rsidRPr="003A2E18">
        <w:rPr>
          <w:rFonts w:ascii="TimesNewRomanPS" w:hAnsi="TimesNewRomanPS"/>
          <w:sz w:val="16"/>
          <w:szCs w:val="16"/>
        </w:rPr>
        <w:t>.</w:t>
      </w:r>
      <w:r w:rsidR="00831D16" w:rsidRPr="003A2E18">
        <w:rPr>
          <w:rFonts w:ascii="TimesNewRomanPS" w:hAnsi="TimesNewRomanPS"/>
          <w:sz w:val="16"/>
          <w:szCs w:val="16"/>
        </w:rPr>
        <w:t xml:space="preserve"> </w:t>
      </w:r>
      <w:r w:rsidR="003A2E18">
        <w:rPr>
          <w:rFonts w:ascii="TimesNewRomanPS" w:hAnsi="TimesNewRomanPS"/>
          <w:sz w:val="16"/>
          <w:szCs w:val="16"/>
        </w:rPr>
        <w:tab/>
      </w:r>
      <w:r w:rsidR="00830930" w:rsidRPr="003A2E18">
        <w:rPr>
          <w:rFonts w:ascii="TimesNewRomanPS" w:hAnsi="TimesNewRomanPS"/>
          <w:b/>
          <w:bCs/>
          <w:sz w:val="16"/>
          <w:szCs w:val="16"/>
        </w:rPr>
        <w:t>Fig</w:t>
      </w:r>
      <w:r w:rsidRPr="003A2E18">
        <w:rPr>
          <w:rFonts w:ascii="TimesNewRomanPS" w:hAnsi="TimesNewRomanPS"/>
          <w:b/>
          <w:bCs/>
          <w:sz w:val="16"/>
          <w:szCs w:val="16"/>
        </w:rPr>
        <w:t>.</w:t>
      </w:r>
      <w:r w:rsidR="0051788D" w:rsidRPr="003A2E18">
        <w:rPr>
          <w:rFonts w:ascii="TimesNewRomanPS" w:hAnsi="TimesNewRomanPS"/>
          <w:b/>
          <w:bCs/>
          <w:sz w:val="16"/>
          <w:szCs w:val="16"/>
        </w:rPr>
        <w:t xml:space="preserve"> </w:t>
      </w:r>
      <w:r w:rsidRPr="003A2E18">
        <w:rPr>
          <w:rFonts w:ascii="TimesNewRomanPS" w:hAnsi="TimesNewRomanPS"/>
          <w:b/>
          <w:bCs/>
          <w:sz w:val="16"/>
          <w:szCs w:val="16"/>
        </w:rPr>
        <w:t>2</w:t>
      </w:r>
      <w:r w:rsidR="0051788D" w:rsidRPr="003A2E18">
        <w:rPr>
          <w:rFonts w:ascii="TimesNewRomanPS" w:hAnsi="TimesNewRomanPS"/>
          <w:sz w:val="16"/>
          <w:szCs w:val="16"/>
        </w:rPr>
        <w:t xml:space="preserve"> </w:t>
      </w:r>
      <w:r w:rsidRPr="003A2E18">
        <w:rPr>
          <w:rFonts w:ascii="TimesNewRomanPS" w:hAnsi="TimesNewRomanPS"/>
          <w:sz w:val="16"/>
          <w:szCs w:val="16"/>
        </w:rPr>
        <w:t xml:space="preserve">shows </w:t>
      </w:r>
      <w:r w:rsidR="00923B02" w:rsidRPr="003A2E18">
        <w:rPr>
          <w:rFonts w:ascii="TimesNewRomanPS" w:hAnsi="TimesNewRomanPS"/>
          <w:sz w:val="16"/>
          <w:szCs w:val="16"/>
        </w:rPr>
        <w:t xml:space="preserve">the mean of all </w:t>
      </w:r>
      <w:r w:rsidR="003A2E18">
        <w:rPr>
          <w:rFonts w:ascii="TimesNewRomanPS" w:hAnsi="TimesNewRomanPS"/>
          <w:sz w:val="16"/>
          <w:szCs w:val="16"/>
        </w:rPr>
        <w:tab/>
      </w:r>
      <w:r w:rsidR="003A2E18">
        <w:rPr>
          <w:rFonts w:ascii="TimesNewRomanPS" w:hAnsi="TimesNewRomanPS"/>
          <w:sz w:val="16"/>
          <w:szCs w:val="16"/>
        </w:rPr>
        <w:tab/>
      </w:r>
      <w:r w:rsidR="00831D16" w:rsidRPr="003A2E18">
        <w:rPr>
          <w:rFonts w:ascii="TimesNewRomanPS" w:hAnsi="TimesNewRomanPS"/>
          <w:b/>
          <w:bCs/>
          <w:sz w:val="16"/>
          <w:szCs w:val="16"/>
        </w:rPr>
        <w:t xml:space="preserve">Fig.3 </w:t>
      </w:r>
      <w:r w:rsidR="00831D16" w:rsidRPr="003A2E18">
        <w:rPr>
          <w:rFonts w:ascii="TimesNewRomanPS" w:hAnsi="TimesNewRomanPS"/>
          <w:sz w:val="16"/>
          <w:szCs w:val="16"/>
        </w:rPr>
        <w:t>shows the mean percent change</w:t>
      </w:r>
      <w:r w:rsidR="003A2E18">
        <w:rPr>
          <w:rFonts w:ascii="TimesNewRomanPS" w:hAnsi="TimesNewRomanPS"/>
          <w:sz w:val="16"/>
          <w:szCs w:val="16"/>
        </w:rPr>
        <w:t xml:space="preserve">      </w:t>
      </w:r>
      <w:r w:rsidR="003A2E18">
        <w:rPr>
          <w:rFonts w:ascii="TimesNewRomanPS" w:hAnsi="TimesNewRomanPS"/>
          <w:sz w:val="16"/>
          <w:szCs w:val="16"/>
        </w:rPr>
        <w:tab/>
      </w:r>
      <w:r w:rsidR="003A2E18">
        <w:rPr>
          <w:rFonts w:ascii="TimesNewRomanPS" w:hAnsi="TimesNewRomanPS"/>
          <w:sz w:val="16"/>
          <w:szCs w:val="16"/>
        </w:rPr>
        <w:tab/>
        <w:t xml:space="preserve"> </w:t>
      </w:r>
      <w:r w:rsidR="003A2E18" w:rsidRPr="003A2E18">
        <w:rPr>
          <w:rFonts w:ascii="TimesNewRomanPS" w:hAnsi="TimesNewRomanPS"/>
          <w:sz w:val="16"/>
          <w:szCs w:val="16"/>
        </w:rPr>
        <w:t>Real Estate Stock</w:t>
      </w:r>
      <w:r w:rsidR="003A2E18">
        <w:rPr>
          <w:rFonts w:ascii="TimesNewRomanPS" w:hAnsi="TimesNewRomanPS"/>
          <w:sz w:val="16"/>
          <w:szCs w:val="16"/>
        </w:rPr>
        <w:t>.</w:t>
      </w:r>
      <w:r w:rsidR="003A2E18" w:rsidRPr="003A2E18">
        <w:rPr>
          <w:rFonts w:ascii="TimesNewRomanPS" w:hAnsi="TimesNewRomanPS"/>
          <w:sz w:val="16"/>
          <w:szCs w:val="16"/>
        </w:rPr>
        <w:tab/>
        <w:t xml:space="preserve">               </w:t>
      </w:r>
      <w:r w:rsidR="003A2E18">
        <w:rPr>
          <w:rFonts w:ascii="TimesNewRomanPS" w:hAnsi="TimesNewRomanPS"/>
          <w:sz w:val="16"/>
          <w:szCs w:val="16"/>
        </w:rPr>
        <w:t xml:space="preserve">  </w:t>
      </w:r>
      <w:r w:rsidR="003A2E18">
        <w:rPr>
          <w:rFonts w:ascii="TimesNewRomanPS" w:hAnsi="TimesNewRomanPS"/>
          <w:sz w:val="16"/>
          <w:szCs w:val="16"/>
        </w:rPr>
        <w:tab/>
      </w:r>
      <w:r w:rsidR="003A2E18">
        <w:rPr>
          <w:rFonts w:ascii="TimesNewRomanPS" w:hAnsi="TimesNewRomanPS"/>
          <w:sz w:val="16"/>
          <w:szCs w:val="16"/>
        </w:rPr>
        <w:tab/>
      </w:r>
      <w:r w:rsidR="003A2E18" w:rsidRPr="003A2E18">
        <w:rPr>
          <w:rFonts w:ascii="TimesNewRomanPS" w:hAnsi="TimesNewRomanPS"/>
          <w:sz w:val="16"/>
          <w:szCs w:val="16"/>
        </w:rPr>
        <w:t>Real Estate stock’s change.</w:t>
      </w:r>
      <w:r w:rsidR="003A2E18">
        <w:rPr>
          <w:rFonts w:ascii="TimesNewRomanPS" w:hAnsi="TimesNewRomanPS"/>
          <w:sz w:val="16"/>
          <w:szCs w:val="16"/>
        </w:rPr>
        <w:tab/>
      </w:r>
      <w:r w:rsidR="003A2E18">
        <w:rPr>
          <w:rFonts w:ascii="TimesNewRomanPS" w:hAnsi="TimesNewRomanPS"/>
          <w:sz w:val="16"/>
          <w:szCs w:val="16"/>
        </w:rPr>
        <w:tab/>
      </w:r>
      <w:r w:rsidR="003A2E18" w:rsidRPr="003A2E18">
        <w:rPr>
          <w:rFonts w:ascii="TimesNewRomanPS" w:hAnsi="TimesNewRomanPS"/>
          <w:sz w:val="16"/>
          <w:szCs w:val="16"/>
        </w:rPr>
        <w:t xml:space="preserve">for </w:t>
      </w:r>
      <w:r w:rsidR="00831D16" w:rsidRPr="003A2E18">
        <w:rPr>
          <w:rFonts w:ascii="TimesNewRomanPS" w:hAnsi="TimesNewRomanPS"/>
          <w:sz w:val="16"/>
          <w:szCs w:val="16"/>
        </w:rPr>
        <w:t xml:space="preserve">S&amp;P500 excluding </w:t>
      </w:r>
      <w:r w:rsidR="003A2E18">
        <w:rPr>
          <w:rFonts w:ascii="TimesNewRomanPS" w:hAnsi="TimesNewRomanPS"/>
          <w:sz w:val="16"/>
          <w:szCs w:val="16"/>
        </w:rPr>
        <w:t>Real Estate.</w:t>
      </w:r>
    </w:p>
    <w:p w14:paraId="54C8BD12" w14:textId="77777777" w:rsidR="00942A8A" w:rsidRDefault="00FA6E26" w:rsidP="003A421C">
      <w:pPr>
        <w:spacing w:before="10" w:after="10"/>
        <w:rPr>
          <w:rFonts w:ascii="TimesNewRomanPS" w:hAnsi="TimesNewRomanPS"/>
          <w:b/>
          <w:bCs/>
          <w:sz w:val="20"/>
          <w:szCs w:val="20"/>
        </w:rPr>
      </w:pPr>
      <w:r>
        <w:rPr>
          <w:rFonts w:ascii="TimesNewRomanPS" w:hAnsi="TimesNewRomanPS"/>
          <w:b/>
          <w:bCs/>
          <w:sz w:val="20"/>
          <w:szCs w:val="20"/>
        </w:rPr>
        <w:t>Separating</w:t>
      </w:r>
      <w:r w:rsidR="00AE4D7A">
        <w:rPr>
          <w:rFonts w:ascii="TimesNewRomanPS" w:hAnsi="TimesNewRomanPS"/>
          <w:b/>
          <w:bCs/>
          <w:sz w:val="20"/>
          <w:szCs w:val="20"/>
        </w:rPr>
        <w:t xml:space="preserve"> the </w:t>
      </w:r>
      <w:r w:rsidR="00194450">
        <w:rPr>
          <w:rFonts w:ascii="TimesNewRomanPS" w:hAnsi="TimesNewRomanPS"/>
          <w:b/>
          <w:bCs/>
          <w:sz w:val="20"/>
          <w:szCs w:val="20"/>
        </w:rPr>
        <w:t>population</w:t>
      </w:r>
      <w:r w:rsidR="00AE4D7A" w:rsidRPr="0051788D">
        <w:rPr>
          <w:rFonts w:ascii="TimesNewRomanPS" w:hAnsi="TimesNewRomanPS"/>
          <w:b/>
          <w:bCs/>
          <w:sz w:val="20"/>
          <w:szCs w:val="20"/>
        </w:rPr>
        <w:t xml:space="preserve">. </w:t>
      </w:r>
    </w:p>
    <w:p w14:paraId="0075822F" w14:textId="1CBBF4C0" w:rsidR="00FF76D0" w:rsidRPr="00115E91" w:rsidRDefault="00AE4D7A" w:rsidP="003A421C">
      <w:pPr>
        <w:spacing w:before="10" w:after="10"/>
        <w:rPr>
          <w:rFonts w:ascii="TimesNewRomanPSMT" w:hAnsi="TimesNewRomanPSMT"/>
          <w:color w:val="4472C4" w:themeColor="accent1"/>
          <w:sz w:val="20"/>
          <w:szCs w:val="20"/>
        </w:rPr>
      </w:pPr>
      <w:r>
        <w:rPr>
          <w:rFonts w:ascii="TimesNewRomanPSMT" w:hAnsi="TimesNewRomanPSMT"/>
          <w:sz w:val="20"/>
          <w:szCs w:val="20"/>
        </w:rPr>
        <w:t>Once the percent</w:t>
      </w:r>
      <w:r w:rsidR="00942A8A">
        <w:rPr>
          <w:rFonts w:ascii="TimesNewRomanPSMT" w:hAnsi="TimesNewRomanPSMT"/>
          <w:sz w:val="20"/>
          <w:szCs w:val="20"/>
        </w:rPr>
        <w:t>age of</w:t>
      </w:r>
      <w:r>
        <w:rPr>
          <w:rFonts w:ascii="TimesNewRomanPSMT" w:hAnsi="TimesNewRomanPSMT"/>
          <w:sz w:val="20"/>
          <w:szCs w:val="20"/>
        </w:rPr>
        <w:t xml:space="preserve"> change between </w:t>
      </w:r>
      <w:r w:rsidR="00942A8A">
        <w:rPr>
          <w:rFonts w:ascii="TimesNewRomanPSMT" w:hAnsi="TimesNewRomanPSMT"/>
          <w:sz w:val="20"/>
          <w:szCs w:val="20"/>
        </w:rPr>
        <w:t xml:space="preserve">the </w:t>
      </w:r>
      <w:r>
        <w:rPr>
          <w:rFonts w:ascii="TimesNewRomanPSMT" w:hAnsi="TimesNewRomanPSMT"/>
          <w:sz w:val="20"/>
          <w:szCs w:val="20"/>
        </w:rPr>
        <w:t>Adjusted Clos</w:t>
      </w:r>
      <w:r w:rsidR="00942A8A">
        <w:rPr>
          <w:rFonts w:ascii="TimesNewRomanPSMT" w:hAnsi="TimesNewRomanPSMT"/>
          <w:sz w:val="20"/>
          <w:szCs w:val="20"/>
        </w:rPr>
        <w:t xml:space="preserve">e price </w:t>
      </w:r>
      <w:r>
        <w:rPr>
          <w:rFonts w:ascii="TimesNewRomanPSMT" w:hAnsi="TimesNewRomanPSMT"/>
          <w:sz w:val="20"/>
          <w:szCs w:val="20"/>
        </w:rPr>
        <w:t>for each stock</w:t>
      </w:r>
      <w:r w:rsidR="00942A8A">
        <w:rPr>
          <w:rFonts w:ascii="TimesNewRomanPSMT" w:hAnsi="TimesNewRomanPSMT"/>
          <w:sz w:val="20"/>
          <w:szCs w:val="20"/>
        </w:rPr>
        <w:t xml:space="preserve"> was calculated</w:t>
      </w:r>
      <w:r w:rsidR="00335530">
        <w:rPr>
          <w:rFonts w:ascii="TimesNewRomanPSMT" w:hAnsi="TimesNewRomanPSMT"/>
          <w:sz w:val="20"/>
          <w:szCs w:val="20"/>
        </w:rPr>
        <w:t xml:space="preserve"> (we will refer to this as </w:t>
      </w:r>
      <w:r w:rsidR="00335530" w:rsidRPr="00335530">
        <w:rPr>
          <w:rFonts w:ascii="TimesNewRomanPSMT" w:hAnsi="TimesNewRomanPSMT"/>
          <w:i/>
          <w:iCs/>
          <w:sz w:val="20"/>
          <w:szCs w:val="20"/>
        </w:rPr>
        <w:t>P</w:t>
      </w:r>
      <w:r w:rsidR="00335530">
        <w:rPr>
          <w:rFonts w:ascii="TimesNewRomanPSMT" w:hAnsi="TimesNewRomanPSMT"/>
          <w:sz w:val="20"/>
          <w:szCs w:val="20"/>
        </w:rPr>
        <w:t>)</w:t>
      </w:r>
      <w:r w:rsidR="00FF76D0">
        <w:rPr>
          <w:rFonts w:ascii="TimesNewRomanPSMT" w:hAnsi="TimesNewRomanPSMT"/>
          <w:sz w:val="20"/>
          <w:szCs w:val="20"/>
        </w:rPr>
        <w:t xml:space="preserve"> the sum </w:t>
      </w:r>
      <w:r w:rsidR="00335530">
        <w:rPr>
          <w:rFonts w:ascii="TimesNewRomanPSMT" w:hAnsi="TimesNewRomanPSMT"/>
          <w:sz w:val="20"/>
          <w:szCs w:val="20"/>
        </w:rPr>
        <w:t>of</w:t>
      </w:r>
      <w:r w:rsidR="00FF76D0">
        <w:rPr>
          <w:rFonts w:ascii="TimesNewRomanPSMT" w:hAnsi="TimesNewRomanPSMT"/>
          <w:sz w:val="20"/>
          <w:szCs w:val="20"/>
        </w:rPr>
        <w:t xml:space="preserve"> </w:t>
      </w:r>
      <w:r w:rsidR="00335530">
        <w:rPr>
          <w:rFonts w:ascii="TimesNewRomanPSMT" w:hAnsi="TimesNewRomanPSMT"/>
          <w:sz w:val="20"/>
          <w:szCs w:val="20"/>
        </w:rPr>
        <w:t xml:space="preserve">each row in </w:t>
      </w:r>
      <w:r w:rsidR="00335530" w:rsidRPr="00335530">
        <w:rPr>
          <w:rFonts w:ascii="TimesNewRomanPSMT" w:hAnsi="TimesNewRomanPSMT"/>
          <w:i/>
          <w:iCs/>
          <w:sz w:val="20"/>
          <w:szCs w:val="20"/>
        </w:rPr>
        <w:t>P</w:t>
      </w:r>
      <w:r w:rsidR="00FF76D0">
        <w:rPr>
          <w:rFonts w:ascii="TimesNewRomanPSMT" w:hAnsi="TimesNewRomanPSMT"/>
          <w:sz w:val="20"/>
          <w:szCs w:val="20"/>
        </w:rPr>
        <w:t xml:space="preserve"> was divided by </w:t>
      </w:r>
      <w:r w:rsidR="00942A8A">
        <w:rPr>
          <w:rFonts w:ascii="TimesNewRomanPSMT" w:hAnsi="TimesNewRomanPSMT"/>
          <w:sz w:val="20"/>
          <w:szCs w:val="20"/>
        </w:rPr>
        <w:t xml:space="preserve">the </w:t>
      </w:r>
      <w:r w:rsidR="00335530">
        <w:rPr>
          <w:rFonts w:ascii="TimesNewRomanPSMT" w:hAnsi="TimesNewRomanPSMT"/>
          <w:sz w:val="20"/>
          <w:szCs w:val="20"/>
        </w:rPr>
        <w:t xml:space="preserve">size of </w:t>
      </w:r>
      <w:r w:rsidR="00335530" w:rsidRPr="00335530">
        <w:rPr>
          <w:rFonts w:ascii="TimesNewRomanPSMT" w:hAnsi="TimesNewRomanPSMT"/>
          <w:i/>
          <w:iCs/>
          <w:sz w:val="20"/>
          <w:szCs w:val="20"/>
        </w:rPr>
        <w:t>P</w:t>
      </w:r>
      <w:r w:rsidR="00335530">
        <w:rPr>
          <w:rFonts w:ascii="TimesNewRomanPSMT" w:hAnsi="TimesNewRomanPSMT"/>
          <w:sz w:val="20"/>
          <w:szCs w:val="20"/>
        </w:rPr>
        <w:t xml:space="preserve"> (e.g. ‘Real Estate’ has 31 individual stocks)</w:t>
      </w:r>
      <w:r w:rsidR="00FF76D0">
        <w:rPr>
          <w:rFonts w:ascii="TimesNewRomanPSMT" w:hAnsi="TimesNewRomanPSMT"/>
          <w:sz w:val="20"/>
          <w:szCs w:val="20"/>
        </w:rPr>
        <w:t xml:space="preserve"> in that category to determine the mean of percentage change between Adjusted Close</w:t>
      </w:r>
      <w:r w:rsidR="00115E91">
        <w:rPr>
          <w:rFonts w:ascii="TimesNewRomanPSMT" w:hAnsi="TimesNewRomanPSMT"/>
          <w:sz w:val="20"/>
          <w:szCs w:val="20"/>
        </w:rPr>
        <w:t xml:space="preserve"> </w:t>
      </w:r>
      <w:r w:rsidR="00115E91" w:rsidRPr="00115E91">
        <w:rPr>
          <w:rFonts w:ascii="TimesNewRomanPSMT" w:hAnsi="TimesNewRomanPSMT"/>
          <w:color w:val="4472C4" w:themeColor="accent1"/>
          <w:sz w:val="20"/>
          <w:szCs w:val="20"/>
        </w:rPr>
        <w:t>(Fig.2)</w:t>
      </w:r>
      <w:r w:rsidR="00115E91">
        <w:rPr>
          <w:rFonts w:ascii="TimesNewRomanPSMT" w:hAnsi="TimesNewRomanPSMT"/>
          <w:color w:val="4472C4" w:themeColor="accent1"/>
          <w:sz w:val="20"/>
          <w:szCs w:val="20"/>
        </w:rPr>
        <w:t xml:space="preserve">. </w:t>
      </w:r>
    </w:p>
    <w:p w14:paraId="3710012B" w14:textId="338C1E63" w:rsidR="008470F1" w:rsidRPr="00115E91" w:rsidRDefault="00335530" w:rsidP="003A421C">
      <w:pPr>
        <w:spacing w:before="10" w:after="10"/>
        <w:rPr>
          <w:rFonts w:ascii="TimesNewRomanPSMT" w:hAnsi="TimesNewRomanPSMT"/>
          <w:color w:val="4472C4" w:themeColor="accent1"/>
          <w:sz w:val="20"/>
          <w:szCs w:val="20"/>
        </w:rPr>
      </w:pPr>
      <w:r>
        <w:rPr>
          <w:rFonts w:ascii="TimesNewRomanPSMT" w:hAnsi="TimesNewRomanPSMT"/>
          <w:sz w:val="20"/>
          <w:szCs w:val="20"/>
        </w:rPr>
        <w:t xml:space="preserve">The same was done for every </w:t>
      </w:r>
      <w:r w:rsidR="00115E91">
        <w:rPr>
          <w:rFonts w:ascii="TimesNewRomanPSMT" w:hAnsi="TimesNewRomanPSMT"/>
          <w:sz w:val="20"/>
          <w:szCs w:val="20"/>
        </w:rPr>
        <w:t>not within</w:t>
      </w:r>
      <w:r>
        <w:rPr>
          <w:rFonts w:ascii="TimesNewRomanPSMT" w:hAnsi="TimesNewRomanPSMT"/>
          <w:sz w:val="20"/>
          <w:szCs w:val="20"/>
        </w:rPr>
        <w:t xml:space="preserve"> the category, this will be referred to as </w:t>
      </w:r>
      <w:r>
        <w:rPr>
          <w:rFonts w:ascii="TimesNewRomanPSMT" w:hAnsi="TimesNewRomanPSMT"/>
          <w:i/>
          <w:iCs/>
          <w:sz w:val="20"/>
          <w:szCs w:val="20"/>
        </w:rPr>
        <w:t xml:space="preserve">P’ </w:t>
      </w:r>
      <w:r w:rsidR="00035F7C">
        <w:rPr>
          <w:rFonts w:ascii="TimesNewRomanPSMT" w:hAnsi="TimesNewRomanPSMT"/>
          <w:sz w:val="20"/>
          <w:szCs w:val="20"/>
        </w:rPr>
        <w:t>and will be used as the benchmark to analyse against</w:t>
      </w:r>
      <w:r w:rsidR="00D651B1">
        <w:rPr>
          <w:rFonts w:ascii="TimesNewRomanPSMT" w:hAnsi="TimesNewRomanPSMT"/>
          <w:sz w:val="20"/>
          <w:szCs w:val="20"/>
        </w:rPr>
        <w:t>, as seen in Fig.3</w:t>
      </w:r>
      <w:r>
        <w:rPr>
          <w:rFonts w:ascii="TimesNewRomanPSMT" w:hAnsi="TimesNewRomanPSMT"/>
          <w:sz w:val="20"/>
          <w:szCs w:val="20"/>
        </w:rPr>
        <w:t>. The reason for comparing an industry to all the other stocks</w:t>
      </w:r>
      <w:r w:rsidR="00035F7C">
        <w:rPr>
          <w:rFonts w:ascii="TimesNewRomanPSMT" w:hAnsi="TimesNewRomanPSMT"/>
          <w:sz w:val="20"/>
          <w:szCs w:val="20"/>
        </w:rPr>
        <w:t xml:space="preserve"> excluding the current industry was because some industries, such as real estate, take a bigger proportion of the S&amp;P meaning </w:t>
      </w:r>
      <w:r w:rsidR="00D11533">
        <w:rPr>
          <w:rFonts w:ascii="TimesNewRomanPSMT" w:hAnsi="TimesNewRomanPSMT"/>
          <w:sz w:val="20"/>
          <w:szCs w:val="20"/>
        </w:rPr>
        <w:t>they,</w:t>
      </w:r>
      <w:r w:rsidR="00035F7C">
        <w:rPr>
          <w:rFonts w:ascii="TimesNewRomanPSMT" w:hAnsi="TimesNewRomanPSMT"/>
          <w:sz w:val="20"/>
          <w:szCs w:val="20"/>
        </w:rPr>
        <w:t xml:space="preserve"> as previously mentioned, would contribute a greater weight </w:t>
      </w:r>
      <w:r w:rsidR="00FC55F3">
        <w:rPr>
          <w:rFonts w:ascii="TimesNewRomanPSMT" w:hAnsi="TimesNewRomanPSMT"/>
          <w:sz w:val="20"/>
          <w:szCs w:val="20"/>
        </w:rPr>
        <w:t>creating bias.</w:t>
      </w:r>
      <w:r w:rsidR="00115E91">
        <w:rPr>
          <w:rFonts w:ascii="TimesNewRomanPSMT" w:hAnsi="TimesNewRomanPSMT"/>
          <w:sz w:val="20"/>
          <w:szCs w:val="20"/>
        </w:rPr>
        <w:t xml:space="preserve"> </w:t>
      </w:r>
    </w:p>
    <w:p w14:paraId="79B2FFA4" w14:textId="77777777" w:rsidR="00942A8A" w:rsidRPr="00194450" w:rsidRDefault="00942A8A" w:rsidP="003A421C">
      <w:pPr>
        <w:spacing w:before="10" w:after="10"/>
        <w:rPr>
          <w:rFonts w:ascii="TimesNewRomanPSMT" w:hAnsi="TimesNewRomanPSMT"/>
          <w:sz w:val="20"/>
          <w:szCs w:val="20"/>
        </w:rPr>
      </w:pPr>
    </w:p>
    <w:p w14:paraId="0707B7E8" w14:textId="77777777" w:rsidR="00942A8A" w:rsidRDefault="00FA6E26" w:rsidP="003A421C">
      <w:pPr>
        <w:spacing w:before="10" w:after="10"/>
        <w:rPr>
          <w:rFonts w:ascii="TimesNewRomanPS" w:hAnsi="TimesNewRomanPS"/>
          <w:b/>
          <w:bCs/>
          <w:sz w:val="20"/>
          <w:szCs w:val="20"/>
        </w:rPr>
      </w:pPr>
      <w:r>
        <w:rPr>
          <w:rFonts w:ascii="TimesNewRomanPS" w:hAnsi="TimesNewRomanPS"/>
          <w:b/>
          <w:bCs/>
          <w:sz w:val="20"/>
          <w:szCs w:val="20"/>
        </w:rPr>
        <w:t>Regression Analysis</w:t>
      </w:r>
      <w:r w:rsidRPr="0051788D">
        <w:rPr>
          <w:rFonts w:ascii="TimesNewRomanPS" w:hAnsi="TimesNewRomanPS"/>
          <w:b/>
          <w:bCs/>
          <w:sz w:val="20"/>
          <w:szCs w:val="20"/>
        </w:rPr>
        <w:t xml:space="preserve">. </w:t>
      </w:r>
      <w:r w:rsidR="00022302">
        <w:rPr>
          <w:rFonts w:ascii="TimesNewRomanPS" w:hAnsi="TimesNewRomanPS"/>
          <w:b/>
          <w:bCs/>
          <w:sz w:val="20"/>
          <w:szCs w:val="20"/>
        </w:rPr>
        <w:tab/>
      </w:r>
    </w:p>
    <w:p w14:paraId="5BBD8BDA" w14:textId="1988D9B0" w:rsidR="00115E91" w:rsidRDefault="00C224FD" w:rsidP="003A421C">
      <w:pPr>
        <w:spacing w:before="10" w:after="10"/>
        <w:rPr>
          <w:rFonts w:ascii="TimesNewRomanPSMT" w:hAnsi="TimesNewRomanPSMT"/>
          <w:color w:val="4472C4" w:themeColor="accent1"/>
          <w:sz w:val="20"/>
          <w:szCs w:val="20"/>
        </w:rPr>
      </w:pPr>
      <w:r>
        <w:rPr>
          <w:rFonts w:ascii="TimesNewRomanPS" w:hAnsi="TimesNewRomanPS"/>
          <w:b/>
          <w:bCs/>
          <w:noProof/>
        </w:rPr>
        <mc:AlternateContent>
          <mc:Choice Requires="wps">
            <w:drawing>
              <wp:anchor distT="0" distB="0" distL="114300" distR="114300" simplePos="0" relativeHeight="251663360" behindDoc="0" locked="0" layoutInCell="1" allowOverlap="1" wp14:anchorId="591842A6" wp14:editId="572526C1">
                <wp:simplePos x="0" y="0"/>
                <wp:positionH relativeFrom="column">
                  <wp:posOffset>-24112</wp:posOffset>
                </wp:positionH>
                <wp:positionV relativeFrom="paragraph">
                  <wp:posOffset>1382366</wp:posOffset>
                </wp:positionV>
                <wp:extent cx="6283354" cy="312909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283354" cy="3129094"/>
                        </a:xfrm>
                        <a:prstGeom prst="rect">
                          <a:avLst/>
                        </a:prstGeom>
                        <a:noFill/>
                        <a:ln w="6350">
                          <a:noFill/>
                        </a:ln>
                      </wps:spPr>
                      <wps:txbx>
                        <w:txbxContent>
                          <w:p w14:paraId="2B28ECA0" w14:textId="2942B72D" w:rsidR="00C224FD" w:rsidRDefault="00ED383E">
                            <w:r>
                              <w:rPr>
                                <w:rFonts w:ascii="TimesNewRomanPS" w:hAnsi="TimesNewRomanPS"/>
                                <w:b/>
                                <w:bCs/>
                                <w:noProof/>
                              </w:rPr>
                              <w:drawing>
                                <wp:inline distT="0" distB="0" distL="0" distR="0" wp14:anchorId="7F7A0399" wp14:editId="7DAC62AA">
                                  <wp:extent cx="4954772" cy="27963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 4.pdf"/>
                                          <pic:cNvPicPr/>
                                        </pic:nvPicPr>
                                        <pic:blipFill>
                                          <a:blip r:embed="rId11">
                                            <a:extLst>
                                              <a:ext uri="{28A0092B-C50C-407E-A947-70E740481C1C}">
                                                <a14:useLocalDpi xmlns:a14="http://schemas.microsoft.com/office/drawing/2010/main" val="0"/>
                                              </a:ext>
                                            </a:extLst>
                                          </a:blip>
                                          <a:stretch>
                                            <a:fillRect/>
                                          </a:stretch>
                                        </pic:blipFill>
                                        <pic:spPr>
                                          <a:xfrm>
                                            <a:off x="0" y="0"/>
                                            <a:ext cx="4963881" cy="2801538"/>
                                          </a:xfrm>
                                          <a:prstGeom prst="rect">
                                            <a:avLst/>
                                          </a:prstGeom>
                                        </pic:spPr>
                                      </pic:pic>
                                    </a:graphicData>
                                  </a:graphic>
                                </wp:inline>
                              </w:drawing>
                            </w:r>
                            <w:r w:rsidR="00C224FD">
                              <w:rPr>
                                <w:rFonts w:ascii="TimesNewRomanPS" w:hAnsi="TimesNewRomanPS"/>
                                <w:b/>
                                <w:bCs/>
                                <w:noProof/>
                              </w:rPr>
                              <w:drawing>
                                <wp:inline distT="0" distB="0" distL="0" distR="0" wp14:anchorId="58BCD309" wp14:editId="62522518">
                                  <wp:extent cx="575847" cy="2758597"/>
                                  <wp:effectExtent l="0" t="0" r="0" b="0"/>
                                  <wp:docPr id="20" name="Picture 20" descr="A picture containing sitting, black, white,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box and whisker.png"/>
                                          <pic:cNvPicPr/>
                                        </pic:nvPicPr>
                                        <pic:blipFill rotWithShape="1">
                                          <a:blip r:embed="rId12" cstate="print">
                                            <a:extLst>
                                              <a:ext uri="{28A0092B-C50C-407E-A947-70E740481C1C}">
                                                <a14:useLocalDpi xmlns:a14="http://schemas.microsoft.com/office/drawing/2010/main" val="0"/>
                                              </a:ext>
                                            </a:extLst>
                                          </a:blip>
                                          <a:srcRect t="15420" r="8183" b="11184"/>
                                          <a:stretch/>
                                        </pic:blipFill>
                                        <pic:spPr bwMode="auto">
                                          <a:xfrm>
                                            <a:off x="0" y="0"/>
                                            <a:ext cx="588211" cy="281782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1842A6" id="_x0000_t202" coordsize="21600,21600" o:spt="202" path="m,l,21600r21600,l21600,xe">
                <v:stroke joinstyle="miter"/>
                <v:path gradientshapeok="t" o:connecttype="rect"/>
              </v:shapetype>
              <v:shape id="Text Box 11" o:spid="_x0000_s1026" type="#_x0000_t202" style="position:absolute;margin-left:-1.9pt;margin-top:108.85pt;width:494.75pt;height:24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" filled="f" stroked="f" strokeweight=".5pt">
                <v:textbox>
                  <w:txbxContent>
                    <w:p w14:paraId="2B28ECA0" w14:textId="2942B72D" w:rsidR="00C224FD" w:rsidRDefault="00ED383E">
                      <w:r>
                        <w:rPr>
                          <w:rFonts w:ascii="TimesNewRomanPS" w:hAnsi="TimesNewRomanPS"/>
                          <w:b/>
                          <w:bCs/>
                          <w:noProof/>
                        </w:rPr>
                        <w:drawing>
                          <wp:inline distT="0" distB="0" distL="0" distR="0" wp14:anchorId="7F7A0399" wp14:editId="7DAC62AA">
                            <wp:extent cx="4954772" cy="27963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 4.pdf"/>
                                    <pic:cNvPicPr/>
                                  </pic:nvPicPr>
                                  <pic:blipFill>
                                    <a:blip r:embed="rId11">
                                      <a:extLst>
                                        <a:ext uri="{28A0092B-C50C-407E-A947-70E740481C1C}">
                                          <a14:useLocalDpi xmlns:a14="http://schemas.microsoft.com/office/drawing/2010/main" val="0"/>
                                        </a:ext>
                                      </a:extLst>
                                    </a:blip>
                                    <a:stretch>
                                      <a:fillRect/>
                                    </a:stretch>
                                  </pic:blipFill>
                                  <pic:spPr>
                                    <a:xfrm>
                                      <a:off x="0" y="0"/>
                                      <a:ext cx="4963881" cy="2801538"/>
                                    </a:xfrm>
                                    <a:prstGeom prst="rect">
                                      <a:avLst/>
                                    </a:prstGeom>
                                  </pic:spPr>
                                </pic:pic>
                              </a:graphicData>
                            </a:graphic>
                          </wp:inline>
                        </w:drawing>
                      </w:r>
                      <w:r w:rsidR="00C224FD">
                        <w:rPr>
                          <w:rFonts w:ascii="TimesNewRomanPS" w:hAnsi="TimesNewRomanPS"/>
                          <w:b/>
                          <w:bCs/>
                          <w:noProof/>
                        </w:rPr>
                        <w:drawing>
                          <wp:inline distT="0" distB="0" distL="0" distR="0" wp14:anchorId="58BCD309" wp14:editId="62522518">
                            <wp:extent cx="575847" cy="2758597"/>
                            <wp:effectExtent l="0" t="0" r="0" b="0"/>
                            <wp:docPr id="20" name="Picture 20" descr="A picture containing sitting, black, white,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box and whisker.png"/>
                                    <pic:cNvPicPr/>
                                  </pic:nvPicPr>
                                  <pic:blipFill rotWithShape="1">
                                    <a:blip r:embed="rId12" cstate="print">
                                      <a:extLst>
                                        <a:ext uri="{28A0092B-C50C-407E-A947-70E740481C1C}">
                                          <a14:useLocalDpi xmlns:a14="http://schemas.microsoft.com/office/drawing/2010/main" val="0"/>
                                        </a:ext>
                                      </a:extLst>
                                    </a:blip>
                                    <a:srcRect t="15420" r="8183" b="11184"/>
                                    <a:stretch/>
                                  </pic:blipFill>
                                  <pic:spPr bwMode="auto">
                                    <a:xfrm>
                                      <a:off x="0" y="0"/>
                                      <a:ext cx="588211" cy="2817825"/>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194450">
        <w:rPr>
          <w:rFonts w:ascii="TimesNewRomanPSMT" w:hAnsi="TimesNewRomanPSMT"/>
          <w:sz w:val="20"/>
          <w:szCs w:val="20"/>
        </w:rPr>
        <w:t>The beta coefficient was calculated through an ordinary least squares regression model.</w:t>
      </w:r>
      <w:r w:rsidR="00734E69">
        <w:rPr>
          <w:rFonts w:ascii="TimesNewRomanPSMT" w:hAnsi="TimesNewRomanPSMT"/>
          <w:sz w:val="20"/>
          <w:szCs w:val="20"/>
        </w:rPr>
        <w:t xml:space="preserve"> The standard deviation was calculated on </w:t>
      </w:r>
      <w:r w:rsidR="00942A8A">
        <w:rPr>
          <w:rFonts w:ascii="TimesNewRomanPSMT" w:hAnsi="TimesNewRomanPSMT"/>
          <w:sz w:val="20"/>
          <w:szCs w:val="20"/>
        </w:rPr>
        <w:t xml:space="preserve">each </w:t>
      </w:r>
      <w:r w:rsidR="00734E69">
        <w:rPr>
          <w:sz w:val="20"/>
          <w:szCs w:val="20"/>
        </w:rPr>
        <w:sym w:font="Symbol" w:char="F044"/>
      </w:r>
      <m:oMath>
        <m:r>
          <m:rPr>
            <m:sty m:val="p"/>
          </m:rPr>
          <w:rPr>
            <w:rFonts w:ascii="Cambria Math" w:hAnsi="Cambria Math"/>
            <w:sz w:val="16"/>
            <w:szCs w:val="16"/>
          </w:rPr>
          <m:t>β</m:t>
        </m:r>
      </m:oMath>
      <w:r w:rsidR="00734E69">
        <w:rPr>
          <w:sz w:val="16"/>
          <w:szCs w:val="16"/>
        </w:rPr>
        <w:t xml:space="preserve"> , </w:t>
      </w:r>
      <w:r w:rsidR="00734E69">
        <w:rPr>
          <w:sz w:val="20"/>
          <w:szCs w:val="20"/>
        </w:rPr>
        <w:t>as to determine</w:t>
      </w:r>
      <w:r w:rsidR="003A421C">
        <w:rPr>
          <w:sz w:val="20"/>
          <w:szCs w:val="20"/>
        </w:rPr>
        <w:t xml:space="preserve"> how m</w:t>
      </w:r>
      <w:r w:rsidR="00942A8A">
        <w:rPr>
          <w:sz w:val="20"/>
          <w:szCs w:val="20"/>
        </w:rPr>
        <w:t>uch the industries deviate from the mean.</w:t>
      </w:r>
      <w:sdt>
        <w:sdtPr>
          <w:rPr>
            <w:color w:val="4472C4" w:themeColor="accent1"/>
            <w:sz w:val="20"/>
            <w:szCs w:val="20"/>
          </w:rPr>
          <w:id w:val="1149715395"/>
          <w:citation/>
        </w:sdtPr>
        <w:sdtContent>
          <w:r w:rsidR="00115E91" w:rsidRPr="00675D3E">
            <w:rPr>
              <w:color w:val="4472C4" w:themeColor="accent1"/>
              <w:sz w:val="20"/>
              <w:szCs w:val="20"/>
            </w:rPr>
            <w:fldChar w:fldCharType="begin"/>
          </w:r>
          <w:r w:rsidR="00115E91" w:rsidRPr="00675D3E">
            <w:rPr>
              <w:color w:val="4472C4" w:themeColor="accent1"/>
              <w:sz w:val="20"/>
              <w:szCs w:val="20"/>
            </w:rPr>
            <w:instrText xml:space="preserve"> CITATION Gra14 \l 3081 </w:instrText>
          </w:r>
          <w:r w:rsidR="00115E91" w:rsidRPr="00675D3E">
            <w:rPr>
              <w:color w:val="4472C4" w:themeColor="accent1"/>
              <w:sz w:val="20"/>
              <w:szCs w:val="20"/>
            </w:rPr>
            <w:fldChar w:fldCharType="separate"/>
          </w:r>
          <w:r w:rsidR="00115E91" w:rsidRPr="00675D3E">
            <w:rPr>
              <w:noProof/>
              <w:color w:val="4472C4" w:themeColor="accent1"/>
              <w:sz w:val="20"/>
              <w:szCs w:val="20"/>
            </w:rPr>
            <w:t xml:space="preserve"> (Grabowski &amp; Pratt, 2014)</w:t>
          </w:r>
          <w:r w:rsidR="00115E91" w:rsidRPr="00675D3E">
            <w:rPr>
              <w:color w:val="4472C4" w:themeColor="accent1"/>
              <w:sz w:val="20"/>
              <w:szCs w:val="20"/>
            </w:rPr>
            <w:fldChar w:fldCharType="end"/>
          </w:r>
        </w:sdtContent>
      </w:sdt>
      <w:r w:rsidR="00942A8A">
        <w:rPr>
          <w:sz w:val="20"/>
          <w:szCs w:val="20"/>
        </w:rPr>
        <w:t xml:space="preserve"> </w:t>
      </w:r>
      <w:r w:rsidR="00115E91">
        <w:rPr>
          <w:rFonts w:ascii="TimesNewRomanPSMT" w:hAnsi="TimesNewRomanPSMT"/>
          <w:color w:val="4472C4" w:themeColor="accent1"/>
          <w:sz w:val="20"/>
          <w:szCs w:val="20"/>
        </w:rPr>
        <w:t xml:space="preserve">This was repeated once for each year. The above figures </w:t>
      </w:r>
      <w:r w:rsidR="00115E91">
        <w:rPr>
          <w:rFonts w:ascii="TimesNewRomanPSMT" w:hAnsi="TimesNewRomanPSMT"/>
          <w:color w:val="4472C4" w:themeColor="accent1"/>
          <w:sz w:val="20"/>
          <w:szCs w:val="20"/>
        </w:rPr>
        <w:t>illustrate</w:t>
      </w:r>
      <w:r w:rsidR="00115E91">
        <w:rPr>
          <w:rFonts w:ascii="TimesNewRomanPSMT" w:hAnsi="TimesNewRomanPSMT"/>
          <w:color w:val="4472C4" w:themeColor="accent1"/>
          <w:sz w:val="20"/>
          <w:szCs w:val="20"/>
        </w:rPr>
        <w:t xml:space="preserve"> the process for determining a single industries’ return for </w:t>
      </w:r>
      <w:r w:rsidR="0059064B">
        <w:rPr>
          <w:rFonts w:ascii="TimesNewRomanPSMT" w:hAnsi="TimesNewRomanPSMT"/>
          <w:color w:val="4472C4" w:themeColor="accent1"/>
          <w:sz w:val="20"/>
          <w:szCs w:val="20"/>
        </w:rPr>
        <w:t>comparison to an entire industry, within a single year.</w:t>
      </w:r>
    </w:p>
    <w:p w14:paraId="26E9FA14" w14:textId="22C9234E" w:rsidR="007B729F" w:rsidRPr="00675D3E" w:rsidRDefault="00942A8A" w:rsidP="003A421C">
      <w:pPr>
        <w:spacing w:before="10" w:after="10"/>
      </w:pPr>
      <w:r>
        <w:rPr>
          <w:sz w:val="20"/>
          <w:szCs w:val="20"/>
        </w:rPr>
        <w:t xml:space="preserve">The mean of </w:t>
      </w:r>
      <w:r>
        <w:rPr>
          <w:sz w:val="20"/>
          <w:szCs w:val="20"/>
        </w:rPr>
        <w:sym w:font="Symbol" w:char="F044"/>
      </w:r>
      <m:oMath>
        <m:r>
          <m:rPr>
            <m:sty m:val="p"/>
          </m:rPr>
          <w:rPr>
            <w:rFonts w:ascii="Cambria Math" w:hAnsi="Cambria Math"/>
            <w:sz w:val="16"/>
            <w:szCs w:val="16"/>
          </w:rPr>
          <m:t>β</m:t>
        </m:r>
      </m:oMath>
      <w:r>
        <w:rPr>
          <w:sz w:val="20"/>
          <w:szCs w:val="20"/>
        </w:rPr>
        <w:t xml:space="preserve"> is always expected to be 0, as the average beta coefficient will always be 1, as </w:t>
      </w:r>
      <w:r w:rsidRPr="008470F1">
        <w:rPr>
          <w:rFonts w:ascii="TimesNewRomanPSMT" w:hAnsi="TimesNewRomanPSMT"/>
          <w:sz w:val="20"/>
          <w:szCs w:val="20"/>
        </w:rPr>
        <w:t>β</w:t>
      </w:r>
      <w:r>
        <w:rPr>
          <w:rFonts w:ascii="TimesNewRomanPSMT" w:hAnsi="TimesNewRomanPSMT"/>
          <w:sz w:val="20"/>
          <w:szCs w:val="20"/>
        </w:rPr>
        <w:t xml:space="preserve">=1 indicates an exact correlation to overall market performance. Thus, any positive </w:t>
      </w:r>
      <w:r>
        <w:rPr>
          <w:sz w:val="20"/>
          <w:szCs w:val="20"/>
        </w:rPr>
        <w:sym w:font="Symbol" w:char="F044"/>
      </w:r>
      <m:oMath>
        <m:r>
          <m:rPr>
            <m:sty m:val="p"/>
          </m:rPr>
          <w:rPr>
            <w:rFonts w:ascii="Cambria Math" w:hAnsi="Cambria Math"/>
            <w:sz w:val="16"/>
            <w:szCs w:val="16"/>
          </w:rPr>
          <m:t>β</m:t>
        </m:r>
      </m:oMath>
      <w:r>
        <w:rPr>
          <w:sz w:val="16"/>
          <w:szCs w:val="16"/>
        </w:rPr>
        <w:t xml:space="preserve"> </w:t>
      </w:r>
      <w:r>
        <w:rPr>
          <w:rFonts w:ascii="TimesNewRomanPSMT" w:hAnsi="TimesNewRomanPSMT"/>
          <w:sz w:val="20"/>
          <w:szCs w:val="20"/>
        </w:rPr>
        <w:t xml:space="preserve">for one stock means a negative </w:t>
      </w:r>
      <w:r>
        <w:rPr>
          <w:sz w:val="20"/>
          <w:szCs w:val="20"/>
        </w:rPr>
        <w:sym w:font="Symbol" w:char="F044"/>
      </w:r>
      <m:oMath>
        <m:r>
          <m:rPr>
            <m:sty m:val="p"/>
          </m:rPr>
          <w:rPr>
            <w:rFonts w:ascii="Cambria Math" w:hAnsi="Cambria Math"/>
            <w:sz w:val="16"/>
            <w:szCs w:val="16"/>
          </w:rPr>
          <m:t>β</m:t>
        </m:r>
      </m:oMath>
      <w:r>
        <w:rPr>
          <w:sz w:val="16"/>
          <w:szCs w:val="16"/>
        </w:rPr>
        <w:t xml:space="preserve"> </w:t>
      </w:r>
      <w:r>
        <w:rPr>
          <w:rFonts w:ascii="TimesNewRomanPSMT" w:hAnsi="TimesNewRomanPSMT"/>
          <w:sz w:val="20"/>
          <w:szCs w:val="20"/>
        </w:rPr>
        <w:t>for another.</w:t>
      </w:r>
      <w:r w:rsidR="00115E91">
        <w:rPr>
          <w:rFonts w:ascii="TimesNewRomanPSMT" w:hAnsi="TimesNewRomanPSMT"/>
          <w:sz w:val="20"/>
          <w:szCs w:val="20"/>
        </w:rPr>
        <w:t xml:space="preserve"> </w:t>
      </w:r>
      <w:r w:rsidR="00F94173">
        <w:rPr>
          <w:rFonts w:ascii="TimesNewRomanPSMT" w:hAnsi="TimesNewRomanPSMT"/>
          <w:sz w:val="20"/>
          <w:szCs w:val="20"/>
        </w:rPr>
        <w:br/>
      </w:r>
      <m:oMathPara>
        <m:oMathParaPr>
          <m:jc m:val="center"/>
        </m:oMathParaPr>
        <m:oMath>
          <m:r>
            <m:rPr>
              <m:sty m:val="p"/>
            </m:rPr>
            <w:rPr>
              <w:rFonts w:ascii="Cambria Math" w:hAnsi="Cambria Math"/>
              <w:sz w:val="18"/>
              <w:szCs w:val="18"/>
            </w:rPr>
            <m:t>Beta Coefficient (β)=</m:t>
          </m:r>
          <m:f>
            <m:fPr>
              <m:ctrlPr>
                <w:rPr>
                  <w:rFonts w:ascii="Cambria Math" w:hAnsi="Cambria Math"/>
                  <w:sz w:val="18"/>
                  <w:szCs w:val="18"/>
                </w:rPr>
              </m:ctrlPr>
            </m:fPr>
            <m:num>
              <m:r>
                <w:rPr>
                  <w:rFonts w:ascii="Cambria Math" w:hAnsi="Cambria Math"/>
                  <w:sz w:val="18"/>
                  <w:szCs w:val="18"/>
                </w:rPr>
                <m:t>Covariance(</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P</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P'</m:t>
                  </m:r>
                </m:sub>
              </m:sSub>
              <m:r>
                <w:rPr>
                  <w:rFonts w:ascii="Cambria Math" w:hAnsi="Cambria Math"/>
                  <w:sz w:val="18"/>
                  <w:szCs w:val="18"/>
                </w:rPr>
                <m:t>)</m:t>
              </m:r>
            </m:num>
            <m:den>
              <m:r>
                <w:rPr>
                  <w:rFonts w:ascii="Cambria Math" w:hAnsi="Cambria Math"/>
                  <w:sz w:val="18"/>
                  <w:szCs w:val="18"/>
                </w:rPr>
                <m:t>Variance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P'</m:t>
                  </m:r>
                </m:sub>
              </m:sSub>
              <m:r>
                <w:rPr>
                  <w:rFonts w:ascii="Cambria Math" w:hAnsi="Cambria Math"/>
                  <w:sz w:val="18"/>
                  <w:szCs w:val="18"/>
                </w:rPr>
                <m:t>)</m:t>
              </m:r>
            </m:den>
          </m:f>
          <m:r>
            <m:rPr>
              <m:sty m:val="p"/>
            </m:rPr>
            <w:rPr>
              <w:rFonts w:ascii="TimesNewRomanPSMT" w:hAnsi="TimesNewRomanPSMT"/>
              <w:sz w:val="20"/>
              <w:szCs w:val="20"/>
            </w:rPr>
            <w:br/>
          </m:r>
        </m:oMath>
      </m:oMathPara>
      <w:r w:rsidR="0051788D" w:rsidRPr="0051788D">
        <w:rPr>
          <w:rFonts w:ascii="TimesNewRomanPS" w:hAnsi="TimesNewRomanPS"/>
          <w:b/>
          <w:bCs/>
        </w:rPr>
        <w:t>Results.</w:t>
      </w:r>
    </w:p>
    <w:p w14:paraId="3B5502B2" w14:textId="32CCEFA8" w:rsidR="0051788D" w:rsidRDefault="00684834" w:rsidP="003A421C">
      <w:pPr>
        <w:spacing w:before="10" w:after="10"/>
        <w:rPr>
          <w:rFonts w:ascii="TimesNewRomanPS" w:hAnsi="TimesNewRomanPS"/>
          <w:b/>
          <w:bCs/>
        </w:rPr>
      </w:pPr>
      <w:r>
        <w:rPr>
          <w:rFonts w:ascii="TimesNewRomanPS" w:hAnsi="TimesNewRomanPS"/>
          <w:b/>
          <w:bCs/>
          <w:noProof/>
        </w:rPr>
        <mc:AlternateContent>
          <mc:Choice Requires="wps">
            <w:drawing>
              <wp:anchor distT="0" distB="0" distL="114300" distR="114300" simplePos="0" relativeHeight="251667456" behindDoc="0" locked="0" layoutInCell="1" allowOverlap="1" wp14:anchorId="64746CFE" wp14:editId="6B11B7AC">
                <wp:simplePos x="0" y="0"/>
                <wp:positionH relativeFrom="column">
                  <wp:posOffset>-82527</wp:posOffset>
                </wp:positionH>
                <wp:positionV relativeFrom="paragraph">
                  <wp:posOffset>57237</wp:posOffset>
                </wp:positionV>
                <wp:extent cx="4177665" cy="243281"/>
                <wp:effectExtent l="0" t="0" r="0" b="0"/>
                <wp:wrapNone/>
                <wp:docPr id="8" name="Text Box 8"/>
                <wp:cNvGraphicFramePr/>
                <a:graphic xmlns:a="http://schemas.openxmlformats.org/drawingml/2006/main">
                  <a:graphicData uri="http://schemas.microsoft.com/office/word/2010/wordprocessingShape">
                    <wps:wsp>
                      <wps:cNvSpPr txBox="1"/>
                      <wps:spPr>
                        <a:xfrm>
                          <a:off x="0" y="0"/>
                          <a:ext cx="4177665" cy="243281"/>
                        </a:xfrm>
                        <a:prstGeom prst="rect">
                          <a:avLst/>
                        </a:prstGeom>
                        <a:noFill/>
                        <a:ln w="6350">
                          <a:noFill/>
                        </a:ln>
                      </wps:spPr>
                      <wps:txbx>
                        <w:txbxContent>
                          <w:p w14:paraId="76DBC7E0" w14:textId="609B47CB" w:rsidR="00A06FA5" w:rsidRPr="00A06FA5" w:rsidRDefault="00A06FA5">
                            <w:pPr>
                              <w:rPr>
                                <w:sz w:val="18"/>
                                <w:szCs w:val="18"/>
                              </w:rPr>
                            </w:pPr>
                            <w:r w:rsidRPr="00A06FA5">
                              <w:rPr>
                                <w:rFonts w:ascii="TimesNewRomanPSMT" w:hAnsi="TimesNewRomanPSMT"/>
                                <w:b/>
                                <w:bCs/>
                                <w:sz w:val="18"/>
                                <w:szCs w:val="18"/>
                              </w:rPr>
                              <w:t>R</w:t>
                            </w:r>
                            <w:r w:rsidRPr="00A06FA5">
                              <w:rPr>
                                <w:rFonts w:ascii="TimesNewRomanPSMT" w:hAnsi="TimesNewRomanPSMT"/>
                                <w:b/>
                                <w:bCs/>
                                <w:sz w:val="18"/>
                                <w:szCs w:val="18"/>
                                <w:vertAlign w:val="subscript"/>
                              </w:rPr>
                              <w:t xml:space="preserve">P   </w:t>
                            </w:r>
                            <w:r w:rsidRPr="00A06FA5">
                              <w:rPr>
                                <w:rFonts w:ascii="TimesNewRomanPSMT" w:hAnsi="TimesNewRomanPSMT"/>
                                <w:sz w:val="18"/>
                                <w:szCs w:val="18"/>
                              </w:rPr>
                              <w:t xml:space="preserve">= Return of an industry </w:t>
                            </w:r>
                            <w:r w:rsidRPr="00A06FA5">
                              <w:rPr>
                                <w:rFonts w:ascii="TimesNewRomanPSMT" w:hAnsi="TimesNewRomanPSMT"/>
                                <w:b/>
                                <w:bCs/>
                                <w:sz w:val="18"/>
                                <w:szCs w:val="18"/>
                              </w:rPr>
                              <w:t>R</w:t>
                            </w:r>
                            <w:r w:rsidRPr="00A06FA5">
                              <w:rPr>
                                <w:rFonts w:ascii="TimesNewRomanPSMT" w:hAnsi="TimesNewRomanPSMT"/>
                                <w:b/>
                                <w:bCs/>
                                <w:sz w:val="18"/>
                                <w:szCs w:val="18"/>
                                <w:vertAlign w:val="subscript"/>
                              </w:rPr>
                              <w:t>P</w:t>
                            </w:r>
                            <w:r w:rsidRPr="00A06FA5">
                              <w:rPr>
                                <w:rFonts w:ascii="TimesNewRomanPSMT" w:hAnsi="TimesNewRomanPSMT"/>
                                <w:sz w:val="18"/>
                                <w:szCs w:val="18"/>
                                <w:vertAlign w:val="subscript"/>
                              </w:rPr>
                              <w:t xml:space="preserve">’ </w:t>
                            </w:r>
                            <w:r w:rsidRPr="00A06FA5">
                              <w:rPr>
                                <w:rFonts w:ascii="TimesNewRomanPSMT" w:hAnsi="TimesNewRomanPSMT"/>
                                <w:sz w:val="18"/>
                                <w:szCs w:val="18"/>
                              </w:rPr>
                              <w:t>= Return of everything not within the industry.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46CFE" id="Text Box 8" o:spid="_x0000_s1027" type="#_x0000_t202" style="position:absolute;margin-left:-6.5pt;margin-top:4.5pt;width:328.95pt;height:1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" filled="f" stroked="f" strokeweight=".5pt">
                <v:textbox>
                  <w:txbxContent>
                    <w:p w14:paraId="76DBC7E0" w14:textId="609B47CB" w:rsidR="00A06FA5" w:rsidRPr="00A06FA5" w:rsidRDefault="00A06FA5">
                      <w:pPr>
                        <w:rPr>
                          <w:sz w:val="18"/>
                          <w:szCs w:val="18"/>
                        </w:rPr>
                      </w:pPr>
                      <w:r w:rsidRPr="00A06FA5">
                        <w:rPr>
                          <w:rFonts w:ascii="TimesNewRomanPSMT" w:hAnsi="TimesNewRomanPSMT"/>
                          <w:b/>
                          <w:bCs/>
                          <w:sz w:val="18"/>
                          <w:szCs w:val="18"/>
                        </w:rPr>
                        <w:t>R</w:t>
                      </w:r>
                      <w:r w:rsidRPr="00A06FA5">
                        <w:rPr>
                          <w:rFonts w:ascii="TimesNewRomanPSMT" w:hAnsi="TimesNewRomanPSMT"/>
                          <w:b/>
                          <w:bCs/>
                          <w:sz w:val="18"/>
                          <w:szCs w:val="18"/>
                          <w:vertAlign w:val="subscript"/>
                        </w:rPr>
                        <w:t xml:space="preserve">P   </w:t>
                      </w:r>
                      <w:r w:rsidRPr="00A06FA5">
                        <w:rPr>
                          <w:rFonts w:ascii="TimesNewRomanPSMT" w:hAnsi="TimesNewRomanPSMT"/>
                          <w:sz w:val="18"/>
                          <w:szCs w:val="18"/>
                        </w:rPr>
                        <w:t xml:space="preserve">= Return of an industry </w:t>
                      </w:r>
                      <w:r w:rsidRPr="00A06FA5">
                        <w:rPr>
                          <w:rFonts w:ascii="TimesNewRomanPSMT" w:hAnsi="TimesNewRomanPSMT"/>
                          <w:b/>
                          <w:bCs/>
                          <w:sz w:val="18"/>
                          <w:szCs w:val="18"/>
                        </w:rPr>
                        <w:t>R</w:t>
                      </w:r>
                      <w:r w:rsidRPr="00A06FA5">
                        <w:rPr>
                          <w:rFonts w:ascii="TimesNewRomanPSMT" w:hAnsi="TimesNewRomanPSMT"/>
                          <w:b/>
                          <w:bCs/>
                          <w:sz w:val="18"/>
                          <w:szCs w:val="18"/>
                          <w:vertAlign w:val="subscript"/>
                        </w:rPr>
                        <w:t>P</w:t>
                      </w:r>
                      <w:r w:rsidRPr="00A06FA5">
                        <w:rPr>
                          <w:rFonts w:ascii="TimesNewRomanPSMT" w:hAnsi="TimesNewRomanPSMT"/>
                          <w:sz w:val="18"/>
                          <w:szCs w:val="18"/>
                          <w:vertAlign w:val="subscript"/>
                        </w:rPr>
                        <w:t xml:space="preserve">’ </w:t>
                      </w:r>
                      <w:r w:rsidRPr="00A06FA5">
                        <w:rPr>
                          <w:rFonts w:ascii="TimesNewRomanPSMT" w:hAnsi="TimesNewRomanPSMT"/>
                          <w:sz w:val="18"/>
                          <w:szCs w:val="18"/>
                        </w:rPr>
                        <w:t>= Return of everything not within the industry.</w:t>
                      </w:r>
                    </w:p>
                  </w:txbxContent>
                </v:textbox>
              </v:shape>
            </w:pict>
          </mc:Fallback>
        </mc:AlternateContent>
      </w:r>
    </w:p>
    <w:p w14:paraId="57157226" w14:textId="7BD0BA3B" w:rsidR="00942A8A" w:rsidRPr="00942A8A" w:rsidRDefault="00942A8A" w:rsidP="00942A8A">
      <w:pPr>
        <w:spacing w:before="10" w:after="10"/>
        <w:ind w:left="7200" w:hanging="7200"/>
        <w:rPr>
          <w:sz w:val="14"/>
          <w:szCs w:val="14"/>
        </w:rPr>
      </w:pPr>
      <w:r>
        <w:rPr>
          <w:sz w:val="14"/>
          <w:szCs w:val="14"/>
        </w:rPr>
        <w:tab/>
      </w:r>
    </w:p>
    <w:p w14:paraId="5B282362" w14:textId="75475211" w:rsidR="00C224FD" w:rsidRDefault="00C224FD" w:rsidP="003A421C">
      <w:pPr>
        <w:spacing w:before="10" w:after="10"/>
        <w:rPr>
          <w:sz w:val="20"/>
          <w:szCs w:val="20"/>
        </w:rPr>
      </w:pPr>
    </w:p>
    <w:p w14:paraId="5CB7D63F" w14:textId="15B0965F" w:rsidR="00C224FD" w:rsidRDefault="00C224FD" w:rsidP="003A421C">
      <w:pPr>
        <w:spacing w:before="10" w:after="10"/>
        <w:rPr>
          <w:sz w:val="20"/>
          <w:szCs w:val="20"/>
        </w:rPr>
      </w:pPr>
    </w:p>
    <w:p w14:paraId="7239263A" w14:textId="319F7C31" w:rsidR="00C224FD" w:rsidRDefault="00C224FD" w:rsidP="003A421C">
      <w:pPr>
        <w:spacing w:before="10" w:after="10"/>
        <w:rPr>
          <w:sz w:val="20"/>
          <w:szCs w:val="20"/>
        </w:rPr>
      </w:pPr>
    </w:p>
    <w:p w14:paraId="654DC50A" w14:textId="01D424D5" w:rsidR="00C224FD" w:rsidRDefault="00C224FD" w:rsidP="003A421C">
      <w:pPr>
        <w:spacing w:before="10" w:after="10"/>
        <w:rPr>
          <w:sz w:val="20"/>
          <w:szCs w:val="20"/>
        </w:rPr>
      </w:pPr>
    </w:p>
    <w:p w14:paraId="00D80C73" w14:textId="258CAA1C" w:rsidR="00C224FD" w:rsidRDefault="00C224FD" w:rsidP="003A421C">
      <w:pPr>
        <w:spacing w:before="10" w:after="10"/>
        <w:rPr>
          <w:sz w:val="20"/>
          <w:szCs w:val="20"/>
        </w:rPr>
      </w:pPr>
    </w:p>
    <w:p w14:paraId="0704763C" w14:textId="6685D013" w:rsidR="00C224FD" w:rsidRDefault="00C224FD" w:rsidP="003A421C">
      <w:pPr>
        <w:spacing w:before="10" w:after="10"/>
        <w:rPr>
          <w:sz w:val="20"/>
          <w:szCs w:val="20"/>
        </w:rPr>
      </w:pPr>
    </w:p>
    <w:p w14:paraId="03A36DAC" w14:textId="77777777" w:rsidR="00C224FD" w:rsidRDefault="00C224FD" w:rsidP="003A421C">
      <w:pPr>
        <w:spacing w:before="10" w:after="10"/>
        <w:rPr>
          <w:sz w:val="20"/>
          <w:szCs w:val="20"/>
        </w:rPr>
      </w:pPr>
    </w:p>
    <w:p w14:paraId="04023802" w14:textId="0B45D6C6" w:rsidR="00C224FD" w:rsidRDefault="00C224FD" w:rsidP="003A421C">
      <w:pPr>
        <w:spacing w:before="10" w:after="10"/>
        <w:rPr>
          <w:sz w:val="20"/>
          <w:szCs w:val="20"/>
        </w:rPr>
      </w:pPr>
    </w:p>
    <w:p w14:paraId="6EA14C06" w14:textId="63DDC4D5" w:rsidR="00C224FD" w:rsidRDefault="00C224FD" w:rsidP="003A421C">
      <w:pPr>
        <w:spacing w:before="10" w:after="10"/>
        <w:rPr>
          <w:sz w:val="20"/>
          <w:szCs w:val="20"/>
        </w:rPr>
      </w:pPr>
    </w:p>
    <w:p w14:paraId="24774213" w14:textId="7759E033" w:rsidR="00C224FD" w:rsidRDefault="00C224FD" w:rsidP="003A421C">
      <w:pPr>
        <w:spacing w:before="10" w:after="10"/>
        <w:rPr>
          <w:sz w:val="20"/>
          <w:szCs w:val="20"/>
        </w:rPr>
      </w:pPr>
    </w:p>
    <w:p w14:paraId="4061E1F7" w14:textId="4DD50BF3" w:rsidR="00C224FD" w:rsidRDefault="00C224FD" w:rsidP="003A421C">
      <w:pPr>
        <w:spacing w:before="10" w:after="10"/>
        <w:rPr>
          <w:sz w:val="20"/>
          <w:szCs w:val="20"/>
        </w:rPr>
      </w:pPr>
    </w:p>
    <w:p w14:paraId="01384AB0" w14:textId="77777777" w:rsidR="00ED383E" w:rsidRDefault="00ED383E" w:rsidP="003A421C">
      <w:pPr>
        <w:spacing w:before="10" w:after="10"/>
        <w:rPr>
          <w:sz w:val="20"/>
          <w:szCs w:val="20"/>
        </w:rPr>
      </w:pPr>
    </w:p>
    <w:p w14:paraId="12A2BD9A" w14:textId="77777777" w:rsidR="00C224FD" w:rsidRDefault="00C224FD" w:rsidP="003A421C">
      <w:pPr>
        <w:spacing w:before="10" w:after="10"/>
        <w:rPr>
          <w:sz w:val="20"/>
          <w:szCs w:val="20"/>
        </w:rPr>
      </w:pPr>
    </w:p>
    <w:p w14:paraId="116B8B9B" w14:textId="473E83EF" w:rsidR="00C224FD" w:rsidRDefault="00C224FD" w:rsidP="003A421C">
      <w:pPr>
        <w:spacing w:before="10" w:after="10"/>
        <w:rPr>
          <w:sz w:val="20"/>
          <w:szCs w:val="20"/>
        </w:rPr>
      </w:pPr>
    </w:p>
    <w:p w14:paraId="17D0A607" w14:textId="0823F0B6" w:rsidR="00C224FD" w:rsidRDefault="00C224FD" w:rsidP="003A421C">
      <w:pPr>
        <w:spacing w:before="10" w:after="10"/>
        <w:rPr>
          <w:sz w:val="20"/>
          <w:szCs w:val="20"/>
        </w:rPr>
      </w:pPr>
    </w:p>
    <w:p w14:paraId="102C1028" w14:textId="5BABB917" w:rsidR="00C224FD" w:rsidRDefault="00C224FD" w:rsidP="003A421C">
      <w:pPr>
        <w:spacing w:before="10" w:after="10"/>
        <w:rPr>
          <w:sz w:val="20"/>
          <w:szCs w:val="20"/>
        </w:rPr>
      </w:pPr>
    </w:p>
    <w:p w14:paraId="3D2D36F1" w14:textId="1B2AECDC" w:rsidR="00AA3C8A" w:rsidRDefault="00F34877" w:rsidP="003A421C">
      <w:pPr>
        <w:spacing w:before="10" w:after="10"/>
        <w:rPr>
          <w:sz w:val="20"/>
          <w:szCs w:val="20"/>
        </w:rPr>
      </w:pPr>
      <w:r>
        <w:rPr>
          <w:rFonts w:ascii="TimesNewRomanPS" w:hAnsi="TimesNewRomanPS"/>
          <w:b/>
          <w:bCs/>
          <w:noProof/>
        </w:rPr>
        <mc:AlternateContent>
          <mc:Choice Requires="wps">
            <w:drawing>
              <wp:anchor distT="0" distB="0" distL="114300" distR="114300" simplePos="0" relativeHeight="251664384" behindDoc="0" locked="0" layoutInCell="1" allowOverlap="1" wp14:anchorId="5F2E2C56" wp14:editId="3467A361">
                <wp:simplePos x="0" y="0"/>
                <wp:positionH relativeFrom="column">
                  <wp:posOffset>4231347</wp:posOffset>
                </wp:positionH>
                <wp:positionV relativeFrom="paragraph">
                  <wp:posOffset>204840</wp:posOffset>
                </wp:positionV>
                <wp:extent cx="2473453" cy="58723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473453" cy="587230"/>
                        </a:xfrm>
                        <a:prstGeom prst="rect">
                          <a:avLst/>
                        </a:prstGeom>
                        <a:noFill/>
                        <a:ln w="6350">
                          <a:noFill/>
                        </a:ln>
                      </wps:spPr>
                      <wps:txbx>
                        <w:txbxContent>
                          <w:p w14:paraId="02515FDF" w14:textId="39829E39" w:rsidR="003A421C" w:rsidRPr="00A06FA5" w:rsidRDefault="00A06FA5">
                            <w:pPr>
                              <w:rPr>
                                <w:sz w:val="18"/>
                                <w:szCs w:val="18"/>
                              </w:rPr>
                            </w:pPr>
                            <w:r w:rsidRPr="00A06FA5">
                              <w:rPr>
                                <w:b/>
                                <w:bCs/>
                                <w:sz w:val="18"/>
                                <w:szCs w:val="18"/>
                              </w:rPr>
                              <w:t xml:space="preserve">Fig.5 </w:t>
                            </w:r>
                            <w:r w:rsidRPr="00A06FA5">
                              <w:rPr>
                                <w:sz w:val="18"/>
                                <w:szCs w:val="18"/>
                              </w:rPr>
                              <w:t xml:space="preserve">shows the range, inter-quartile-range, the median, and outlier for </w:t>
                            </w:r>
                            <w:r w:rsidR="00CD3FBF" w:rsidRPr="003A421C">
                              <w:rPr>
                                <w:sz w:val="20"/>
                                <w:szCs w:val="20"/>
                              </w:rPr>
                              <w:sym w:font="Symbol" w:char="F044"/>
                            </w:r>
                            <w:r w:rsidR="00CD3FBF" w:rsidRPr="003A421C">
                              <w:rPr>
                                <w:sz w:val="20"/>
                                <w:szCs w:val="20"/>
                              </w:rPr>
                              <w:t>β</w:t>
                            </w:r>
                            <w:r w:rsidR="00CD3FBF" w:rsidRPr="00A06FA5">
                              <w:rPr>
                                <w:sz w:val="18"/>
                                <w:szCs w:val="18"/>
                              </w:rPr>
                              <w:t xml:space="preserve"> </w:t>
                            </w:r>
                            <w:r w:rsidRPr="00A06FA5">
                              <w:rPr>
                                <w:sz w:val="18"/>
                                <w:szCs w:val="18"/>
                              </w:rPr>
                              <w:t>from the 126 different sub-industries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E2C56" id="Text Box 74" o:spid="_x0000_s1028" type="#_x0000_t202" style="position:absolute;margin-left:333.2pt;margin-top:16.15pt;width:194.75pt;height:4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" filled="f" stroked="f" strokeweight=".5pt">
                <v:textbox>
                  <w:txbxContent>
                    <w:p w14:paraId="02515FDF" w14:textId="39829E39" w:rsidR="003A421C" w:rsidRPr="00A06FA5" w:rsidRDefault="00A06FA5">
                      <w:pPr>
                        <w:rPr>
                          <w:sz w:val="18"/>
                          <w:szCs w:val="18"/>
                        </w:rPr>
                      </w:pPr>
                      <w:r w:rsidRPr="00A06FA5">
                        <w:rPr>
                          <w:b/>
                          <w:bCs/>
                          <w:sz w:val="18"/>
                          <w:szCs w:val="18"/>
                        </w:rPr>
                        <w:t xml:space="preserve">Fig.5 </w:t>
                      </w:r>
                      <w:r w:rsidRPr="00A06FA5">
                        <w:rPr>
                          <w:sz w:val="18"/>
                          <w:szCs w:val="18"/>
                        </w:rPr>
                        <w:t xml:space="preserve">shows the range, inter-quartile-range, the median, and outlier for </w:t>
                      </w:r>
                      <w:r w:rsidR="00CD3FBF" w:rsidRPr="003A421C">
                        <w:rPr>
                          <w:sz w:val="20"/>
                          <w:szCs w:val="20"/>
                        </w:rPr>
                        <w:sym w:font="Symbol" w:char="F044"/>
                      </w:r>
                      <w:r w:rsidR="00CD3FBF" w:rsidRPr="003A421C">
                        <w:rPr>
                          <w:sz w:val="20"/>
                          <w:szCs w:val="20"/>
                        </w:rPr>
                        <w:t>β</w:t>
                      </w:r>
                      <w:r w:rsidR="00CD3FBF" w:rsidRPr="00A06FA5">
                        <w:rPr>
                          <w:sz w:val="18"/>
                          <w:szCs w:val="18"/>
                        </w:rPr>
                        <w:t xml:space="preserve"> </w:t>
                      </w:r>
                      <w:r w:rsidRPr="00A06FA5">
                        <w:rPr>
                          <w:sz w:val="18"/>
                          <w:szCs w:val="18"/>
                        </w:rPr>
                        <w:t>from the 126 different sub-industries</w:t>
                      </w:r>
                    </w:p>
                  </w:txbxContent>
                </v:textbox>
              </v:shape>
            </w:pict>
          </mc:Fallback>
        </mc:AlternateContent>
      </w:r>
      <w:r>
        <w:rPr>
          <w:rFonts w:ascii="TimesNewRomanPS" w:hAnsi="TimesNewRomanPS"/>
          <w:b/>
          <w:bCs/>
          <w:noProof/>
        </w:rPr>
        <mc:AlternateContent>
          <mc:Choice Requires="wps">
            <w:drawing>
              <wp:anchor distT="0" distB="0" distL="114300" distR="114300" simplePos="0" relativeHeight="251665408" behindDoc="0" locked="0" layoutInCell="1" allowOverlap="1" wp14:anchorId="0F16EA94" wp14:editId="33FF1B95">
                <wp:simplePos x="0" y="0"/>
                <wp:positionH relativeFrom="column">
                  <wp:posOffset>-23495</wp:posOffset>
                </wp:positionH>
                <wp:positionV relativeFrom="paragraph">
                  <wp:posOffset>204881</wp:posOffset>
                </wp:positionV>
                <wp:extent cx="4437777" cy="666045"/>
                <wp:effectExtent l="0" t="0" r="0" b="0"/>
                <wp:wrapNone/>
                <wp:docPr id="9" name="Text Box 9"/>
                <wp:cNvGraphicFramePr/>
                <a:graphic xmlns:a="http://schemas.openxmlformats.org/drawingml/2006/main">
                  <a:graphicData uri="http://schemas.microsoft.com/office/word/2010/wordprocessingShape">
                    <wps:wsp>
                      <wps:cNvSpPr txBox="1"/>
                      <wps:spPr>
                        <a:xfrm>
                          <a:off x="0" y="0"/>
                          <a:ext cx="4437777" cy="666045"/>
                        </a:xfrm>
                        <a:prstGeom prst="rect">
                          <a:avLst/>
                        </a:prstGeom>
                        <a:noFill/>
                        <a:ln w="6350">
                          <a:noFill/>
                        </a:ln>
                      </wps:spPr>
                      <wps:txbx>
                        <w:txbxContent>
                          <w:p w14:paraId="00DF52F4" w14:textId="06330621" w:rsidR="00A06FA5" w:rsidRDefault="00A06FA5" w:rsidP="00A06FA5">
                            <w:pPr>
                              <w:rPr>
                                <w:sz w:val="18"/>
                                <w:szCs w:val="18"/>
                              </w:rPr>
                            </w:pPr>
                            <w:r w:rsidRPr="00A06FA5">
                              <w:rPr>
                                <w:b/>
                                <w:bCs/>
                                <w:sz w:val="18"/>
                                <w:szCs w:val="18"/>
                              </w:rPr>
                              <w:t xml:space="preserve">Fig.4 </w:t>
                            </w:r>
                            <w:r w:rsidRPr="00A06FA5">
                              <w:rPr>
                                <w:sz w:val="18"/>
                                <w:szCs w:val="18"/>
                              </w:rPr>
                              <w:t>shows the beta coefficient for all 126 sub-industries within the S&amp;P500. Sorted by 2020 Beta Coefficient. 2020</w:t>
                            </w:r>
                          </w:p>
                          <w:p w14:paraId="03D0B489" w14:textId="518A4FAB" w:rsidR="00A06FA5" w:rsidRPr="00A06FA5" w:rsidRDefault="00A06FA5" w:rsidP="00A06FA5">
                            <w:pPr>
                              <w:spacing w:before="10" w:after="10"/>
                              <w:rPr>
                                <w:rFonts w:ascii="TimesNewRomanPS" w:hAnsi="TimesNewRomanPS"/>
                                <w:sz w:val="18"/>
                                <w:szCs w:val="18"/>
                              </w:rPr>
                            </w:pPr>
                            <w:r w:rsidRPr="00A06FA5">
                              <w:rPr>
                                <w:rFonts w:ascii="TimesNewRomanPS" w:hAnsi="TimesNewRomanPS"/>
                                <w:b/>
                                <w:bCs/>
                                <w:sz w:val="18"/>
                                <w:szCs w:val="18"/>
                              </w:rPr>
                              <w:t xml:space="preserve">Date Range for </w:t>
                            </w:r>
                            <w:r w:rsidRPr="00675D3E">
                              <w:rPr>
                                <w:rFonts w:ascii="TimesNewRomanPS" w:hAnsi="TimesNewRomanPS"/>
                                <w:b/>
                                <w:bCs/>
                                <w:color w:val="4472C4" w:themeColor="accent1"/>
                                <w:sz w:val="18"/>
                                <w:szCs w:val="18"/>
                              </w:rPr>
                              <w:t>Fig.</w:t>
                            </w:r>
                            <w:r w:rsidR="00675D3E" w:rsidRPr="00675D3E">
                              <w:rPr>
                                <w:rFonts w:ascii="TimesNewRomanPS" w:hAnsi="TimesNewRomanPS"/>
                                <w:b/>
                                <w:bCs/>
                                <w:color w:val="4472C4" w:themeColor="accent1"/>
                                <w:sz w:val="18"/>
                                <w:szCs w:val="18"/>
                              </w:rPr>
                              <w:t>4</w:t>
                            </w:r>
                            <w:r w:rsidRPr="00A06FA5">
                              <w:rPr>
                                <w:rFonts w:ascii="TimesNewRomanPS" w:hAnsi="TimesNewRomanPS"/>
                                <w:b/>
                                <w:bCs/>
                                <w:sz w:val="18"/>
                                <w:szCs w:val="18"/>
                              </w:rPr>
                              <w:t xml:space="preserve">: </w:t>
                            </w:r>
                            <w:r w:rsidRPr="00A06FA5">
                              <w:rPr>
                                <w:rFonts w:ascii="TimesNewRomanPS" w:hAnsi="TimesNewRomanPS"/>
                                <w:sz w:val="18"/>
                                <w:szCs w:val="18"/>
                              </w:rPr>
                              <w:t>19/03/2020 through 26/05/2020</w:t>
                            </w:r>
                            <w:r w:rsidRPr="00A06FA5">
                              <w:rPr>
                                <w:rFonts w:ascii="TimesNewRomanPS" w:hAnsi="TimesNewRomanPS"/>
                                <w:sz w:val="18"/>
                                <w:szCs w:val="18"/>
                              </w:rPr>
                              <w:br/>
                            </w:r>
                            <w:r w:rsidRPr="00A06FA5">
                              <w:rPr>
                                <w:rFonts w:ascii="TimesNewRomanPS" w:hAnsi="TimesNewRomanPS"/>
                                <w:b/>
                                <w:bCs/>
                                <w:sz w:val="18"/>
                                <w:szCs w:val="18"/>
                              </w:rPr>
                              <w:t xml:space="preserve">Pricing time for </w:t>
                            </w:r>
                            <w:r w:rsidRPr="00675D3E">
                              <w:rPr>
                                <w:rFonts w:ascii="TimesNewRomanPS" w:hAnsi="TimesNewRomanPS"/>
                                <w:b/>
                                <w:bCs/>
                                <w:color w:val="4472C4" w:themeColor="accent1"/>
                                <w:sz w:val="18"/>
                                <w:szCs w:val="18"/>
                              </w:rPr>
                              <w:t>Fig.</w:t>
                            </w:r>
                            <w:r w:rsidR="00675D3E" w:rsidRPr="00675D3E">
                              <w:rPr>
                                <w:rFonts w:ascii="TimesNewRomanPS" w:hAnsi="TimesNewRomanPS"/>
                                <w:b/>
                                <w:bCs/>
                                <w:color w:val="4472C4" w:themeColor="accent1"/>
                                <w:sz w:val="18"/>
                                <w:szCs w:val="18"/>
                              </w:rPr>
                              <w:t>4</w:t>
                            </w:r>
                            <w:r w:rsidRPr="00A06FA5">
                              <w:rPr>
                                <w:rFonts w:ascii="TimesNewRomanPS" w:hAnsi="TimesNewRomanPS"/>
                                <w:b/>
                                <w:bCs/>
                                <w:sz w:val="18"/>
                                <w:szCs w:val="18"/>
                              </w:rPr>
                              <w:t xml:space="preserve">: </w:t>
                            </w:r>
                            <w:r w:rsidRPr="00A06FA5">
                              <w:rPr>
                                <w:rFonts w:ascii="TimesNewRomanPS" w:hAnsi="TimesNewRomanPS"/>
                                <w:sz w:val="18"/>
                                <w:szCs w:val="18"/>
                              </w:rPr>
                              <w:t>Adjusted Close</w:t>
                            </w:r>
                          </w:p>
                          <w:p w14:paraId="4FF1755B" w14:textId="77777777" w:rsidR="00A06FA5" w:rsidRDefault="00A06F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6EA94" id="Text Box 9" o:spid="_x0000_s1029" type="#_x0000_t202" style="position:absolute;margin-left:-1.85pt;margin-top:16.15pt;width:349.45pt;height:5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" filled="f" stroked="f" strokeweight=".5pt">
                <v:textbox>
                  <w:txbxContent>
                    <w:p w14:paraId="00DF52F4" w14:textId="06330621" w:rsidR="00A06FA5" w:rsidRDefault="00A06FA5" w:rsidP="00A06FA5">
                      <w:pPr>
                        <w:rPr>
                          <w:sz w:val="18"/>
                          <w:szCs w:val="18"/>
                        </w:rPr>
                      </w:pPr>
                      <w:r w:rsidRPr="00A06FA5">
                        <w:rPr>
                          <w:b/>
                          <w:bCs/>
                          <w:sz w:val="18"/>
                          <w:szCs w:val="18"/>
                        </w:rPr>
                        <w:t xml:space="preserve">Fig.4 </w:t>
                      </w:r>
                      <w:r w:rsidRPr="00A06FA5">
                        <w:rPr>
                          <w:sz w:val="18"/>
                          <w:szCs w:val="18"/>
                        </w:rPr>
                        <w:t>shows the beta coefficient for all 126 sub-industries within the S&amp;P500. Sorted by 2020 Beta Coefficient. 2020</w:t>
                      </w:r>
                    </w:p>
                    <w:p w14:paraId="03D0B489" w14:textId="518A4FAB" w:rsidR="00A06FA5" w:rsidRPr="00A06FA5" w:rsidRDefault="00A06FA5" w:rsidP="00A06FA5">
                      <w:pPr>
                        <w:spacing w:before="10" w:after="10"/>
                        <w:rPr>
                          <w:rFonts w:ascii="TimesNewRomanPS" w:hAnsi="TimesNewRomanPS"/>
                          <w:sz w:val="18"/>
                          <w:szCs w:val="18"/>
                        </w:rPr>
                      </w:pPr>
                      <w:r w:rsidRPr="00A06FA5">
                        <w:rPr>
                          <w:rFonts w:ascii="TimesNewRomanPS" w:hAnsi="TimesNewRomanPS"/>
                          <w:b/>
                          <w:bCs/>
                          <w:sz w:val="18"/>
                          <w:szCs w:val="18"/>
                        </w:rPr>
                        <w:t xml:space="preserve">Date Range for </w:t>
                      </w:r>
                      <w:r w:rsidRPr="00675D3E">
                        <w:rPr>
                          <w:rFonts w:ascii="TimesNewRomanPS" w:hAnsi="TimesNewRomanPS"/>
                          <w:b/>
                          <w:bCs/>
                          <w:color w:val="4472C4" w:themeColor="accent1"/>
                          <w:sz w:val="18"/>
                          <w:szCs w:val="18"/>
                        </w:rPr>
                        <w:t>Fig.</w:t>
                      </w:r>
                      <w:r w:rsidR="00675D3E" w:rsidRPr="00675D3E">
                        <w:rPr>
                          <w:rFonts w:ascii="TimesNewRomanPS" w:hAnsi="TimesNewRomanPS"/>
                          <w:b/>
                          <w:bCs/>
                          <w:color w:val="4472C4" w:themeColor="accent1"/>
                          <w:sz w:val="18"/>
                          <w:szCs w:val="18"/>
                        </w:rPr>
                        <w:t>4</w:t>
                      </w:r>
                      <w:r w:rsidRPr="00A06FA5">
                        <w:rPr>
                          <w:rFonts w:ascii="TimesNewRomanPS" w:hAnsi="TimesNewRomanPS"/>
                          <w:b/>
                          <w:bCs/>
                          <w:sz w:val="18"/>
                          <w:szCs w:val="18"/>
                        </w:rPr>
                        <w:t xml:space="preserve">: </w:t>
                      </w:r>
                      <w:r w:rsidRPr="00A06FA5">
                        <w:rPr>
                          <w:rFonts w:ascii="TimesNewRomanPS" w:hAnsi="TimesNewRomanPS"/>
                          <w:sz w:val="18"/>
                          <w:szCs w:val="18"/>
                        </w:rPr>
                        <w:t>19/03/2020 through 26/05/2020</w:t>
                      </w:r>
                      <w:r w:rsidRPr="00A06FA5">
                        <w:rPr>
                          <w:rFonts w:ascii="TimesNewRomanPS" w:hAnsi="TimesNewRomanPS"/>
                          <w:sz w:val="18"/>
                          <w:szCs w:val="18"/>
                        </w:rPr>
                        <w:br/>
                      </w:r>
                      <w:r w:rsidRPr="00A06FA5">
                        <w:rPr>
                          <w:rFonts w:ascii="TimesNewRomanPS" w:hAnsi="TimesNewRomanPS"/>
                          <w:b/>
                          <w:bCs/>
                          <w:sz w:val="18"/>
                          <w:szCs w:val="18"/>
                        </w:rPr>
                        <w:t xml:space="preserve">Pricing time for </w:t>
                      </w:r>
                      <w:r w:rsidRPr="00675D3E">
                        <w:rPr>
                          <w:rFonts w:ascii="TimesNewRomanPS" w:hAnsi="TimesNewRomanPS"/>
                          <w:b/>
                          <w:bCs/>
                          <w:color w:val="4472C4" w:themeColor="accent1"/>
                          <w:sz w:val="18"/>
                          <w:szCs w:val="18"/>
                        </w:rPr>
                        <w:t>Fig.</w:t>
                      </w:r>
                      <w:r w:rsidR="00675D3E" w:rsidRPr="00675D3E">
                        <w:rPr>
                          <w:rFonts w:ascii="TimesNewRomanPS" w:hAnsi="TimesNewRomanPS"/>
                          <w:b/>
                          <w:bCs/>
                          <w:color w:val="4472C4" w:themeColor="accent1"/>
                          <w:sz w:val="18"/>
                          <w:szCs w:val="18"/>
                        </w:rPr>
                        <w:t>4</w:t>
                      </w:r>
                      <w:r w:rsidRPr="00A06FA5">
                        <w:rPr>
                          <w:rFonts w:ascii="TimesNewRomanPS" w:hAnsi="TimesNewRomanPS"/>
                          <w:b/>
                          <w:bCs/>
                          <w:sz w:val="18"/>
                          <w:szCs w:val="18"/>
                        </w:rPr>
                        <w:t xml:space="preserve">: </w:t>
                      </w:r>
                      <w:r w:rsidRPr="00A06FA5">
                        <w:rPr>
                          <w:rFonts w:ascii="TimesNewRomanPS" w:hAnsi="TimesNewRomanPS"/>
                          <w:sz w:val="18"/>
                          <w:szCs w:val="18"/>
                        </w:rPr>
                        <w:t>Adjusted Close</w:t>
                      </w:r>
                    </w:p>
                    <w:p w14:paraId="4FF1755B" w14:textId="77777777" w:rsidR="00A06FA5" w:rsidRDefault="00A06FA5"/>
                  </w:txbxContent>
                </v:textbox>
              </v:shape>
            </w:pict>
          </mc:Fallback>
        </mc:AlternateContent>
      </w:r>
    </w:p>
    <w:p w14:paraId="0656E4AA" w14:textId="22F8C869" w:rsidR="007F6145" w:rsidRDefault="00345EEB" w:rsidP="003A421C">
      <w:pPr>
        <w:spacing w:before="10" w:after="10"/>
        <w:rPr>
          <w:sz w:val="20"/>
          <w:szCs w:val="20"/>
        </w:rPr>
      </w:pPr>
      <w:r>
        <w:rPr>
          <w:sz w:val="20"/>
          <w:szCs w:val="20"/>
        </w:rPr>
        <w:lastRenderedPageBreak/>
        <w:t>Some industries in Fig.</w:t>
      </w:r>
      <w:r w:rsidR="00D651B1">
        <w:rPr>
          <w:sz w:val="20"/>
          <w:szCs w:val="20"/>
        </w:rPr>
        <w:t>4</w:t>
      </w:r>
      <w:r>
        <w:rPr>
          <w:sz w:val="20"/>
          <w:szCs w:val="20"/>
        </w:rPr>
        <w:t xml:space="preserve"> showed</w:t>
      </w:r>
      <w:r w:rsidR="005B30CD">
        <w:rPr>
          <w:sz w:val="20"/>
          <w:szCs w:val="20"/>
        </w:rPr>
        <w:t xml:space="preserve"> a</w:t>
      </w:r>
      <w:r>
        <w:rPr>
          <w:sz w:val="20"/>
          <w:szCs w:val="20"/>
        </w:rPr>
        <w:t xml:space="preserve"> large </w:t>
      </w:r>
      <w:r>
        <w:rPr>
          <w:sz w:val="20"/>
          <w:szCs w:val="20"/>
        </w:rPr>
        <w:sym w:font="Symbol" w:char="F044"/>
      </w:r>
      <m:oMath>
        <m:r>
          <m:rPr>
            <m:sty m:val="p"/>
          </m:rPr>
          <w:rPr>
            <w:rFonts w:ascii="Cambria Math" w:hAnsi="Cambria Math"/>
            <w:sz w:val="16"/>
            <w:szCs w:val="16"/>
          </w:rPr>
          <m:t>β</m:t>
        </m:r>
      </m:oMath>
      <w:r>
        <w:rPr>
          <w:sz w:val="16"/>
          <w:szCs w:val="16"/>
        </w:rPr>
        <w:t xml:space="preserve">, </w:t>
      </w:r>
      <w:r>
        <w:rPr>
          <w:sz w:val="20"/>
          <w:szCs w:val="20"/>
        </w:rPr>
        <w:t xml:space="preserve">while others stayed similar. With 28.6% of </w:t>
      </w:r>
      <w:r w:rsidR="00942A8A">
        <w:rPr>
          <w:sz w:val="20"/>
          <w:szCs w:val="20"/>
        </w:rPr>
        <w:t>industries</w:t>
      </w:r>
      <w:r>
        <w:rPr>
          <w:sz w:val="20"/>
          <w:szCs w:val="20"/>
        </w:rPr>
        <w:t xml:space="preserve"> having </w:t>
      </w:r>
      <w:r w:rsidR="00942A8A">
        <w:rPr>
          <w:sz w:val="20"/>
          <w:szCs w:val="20"/>
        </w:rPr>
        <w:t>|</w:t>
      </w:r>
      <w:r>
        <w:rPr>
          <w:sz w:val="20"/>
          <w:szCs w:val="20"/>
        </w:rPr>
        <w:sym w:font="Symbol" w:char="F044"/>
      </w:r>
      <m:oMath>
        <m:r>
          <m:rPr>
            <m:sty m:val="p"/>
          </m:rPr>
          <w:rPr>
            <w:rFonts w:ascii="Cambria Math" w:hAnsi="Cambria Math"/>
            <w:sz w:val="16"/>
            <w:szCs w:val="16"/>
          </w:rPr>
          <m:t xml:space="preserve"> β</m:t>
        </m:r>
      </m:oMath>
      <w:r>
        <w:rPr>
          <w:sz w:val="16"/>
          <w:szCs w:val="16"/>
        </w:rPr>
        <w:t xml:space="preserve"> </w:t>
      </w:r>
      <w:r w:rsidR="00942A8A" w:rsidRPr="00942A8A">
        <w:rPr>
          <w:sz w:val="20"/>
          <w:szCs w:val="20"/>
        </w:rPr>
        <w:t>|</w:t>
      </w:r>
      <w:r>
        <w:rPr>
          <w:sz w:val="16"/>
          <w:szCs w:val="16"/>
        </w:rPr>
        <w:t>&gt;.5</w:t>
      </w:r>
      <w:r w:rsidR="007F6145">
        <w:rPr>
          <w:sz w:val="20"/>
          <w:szCs w:val="20"/>
        </w:rPr>
        <w:br/>
      </w:r>
      <w:r w:rsidR="00D20B3B">
        <w:rPr>
          <w:sz w:val="20"/>
          <w:szCs w:val="20"/>
        </w:rPr>
        <w:t>m</w:t>
      </w:r>
      <w:r w:rsidR="007F6145">
        <w:rPr>
          <w:sz w:val="20"/>
          <w:szCs w:val="20"/>
        </w:rPr>
        <w:t>ulti-</w:t>
      </w:r>
      <w:r w:rsidR="00D20B3B">
        <w:rPr>
          <w:sz w:val="20"/>
          <w:szCs w:val="20"/>
        </w:rPr>
        <w:t>u</w:t>
      </w:r>
      <w:r w:rsidR="007F6145">
        <w:rPr>
          <w:sz w:val="20"/>
          <w:szCs w:val="20"/>
        </w:rPr>
        <w:t xml:space="preserve">tilities, </w:t>
      </w:r>
      <w:r w:rsidR="00D20B3B">
        <w:rPr>
          <w:sz w:val="20"/>
          <w:szCs w:val="20"/>
        </w:rPr>
        <w:t>g</w:t>
      </w:r>
      <w:r w:rsidR="007F6145">
        <w:rPr>
          <w:sz w:val="20"/>
          <w:szCs w:val="20"/>
        </w:rPr>
        <w:t xml:space="preserve">old, and </w:t>
      </w:r>
      <w:r w:rsidR="00D20B3B">
        <w:rPr>
          <w:sz w:val="20"/>
          <w:szCs w:val="20"/>
        </w:rPr>
        <w:t>w</w:t>
      </w:r>
      <w:r w:rsidR="007F6145">
        <w:rPr>
          <w:sz w:val="20"/>
          <w:szCs w:val="20"/>
        </w:rPr>
        <w:t xml:space="preserve">ater </w:t>
      </w:r>
      <w:r w:rsidR="00D20B3B">
        <w:rPr>
          <w:sz w:val="20"/>
          <w:szCs w:val="20"/>
        </w:rPr>
        <w:t>u</w:t>
      </w:r>
      <w:r w:rsidR="007F6145">
        <w:rPr>
          <w:sz w:val="20"/>
          <w:szCs w:val="20"/>
        </w:rPr>
        <w:t xml:space="preserve">tilities volatility turned from going against the market with </w:t>
      </w:r>
      <m:oMath>
        <m:r>
          <m:rPr>
            <m:sty m:val="p"/>
          </m:rPr>
          <w:rPr>
            <w:rFonts w:ascii="Cambria Math" w:hAnsi="Cambria Math"/>
            <w:sz w:val="16"/>
            <w:szCs w:val="16"/>
          </w:rPr>
          <m:t>β&lt;0</m:t>
        </m:r>
      </m:oMath>
      <w:r w:rsidR="007F6145" w:rsidRPr="007B729F">
        <w:rPr>
          <w:sz w:val="20"/>
          <w:szCs w:val="20"/>
        </w:rPr>
        <w:t xml:space="preserve"> </w:t>
      </w:r>
      <w:r w:rsidR="007F6145">
        <w:rPr>
          <w:sz w:val="20"/>
          <w:szCs w:val="20"/>
        </w:rPr>
        <w:t xml:space="preserve">indicating a negative relationship, to going with market behaviour as indicated by </w:t>
      </w:r>
      <w:bookmarkStart w:id="1" w:name="OLE_LINK1"/>
      <m:oMath>
        <m:r>
          <m:rPr>
            <m:sty m:val="p"/>
          </m:rPr>
          <w:rPr>
            <w:rFonts w:ascii="Cambria Math" w:hAnsi="Cambria Math"/>
            <w:sz w:val="16"/>
            <w:szCs w:val="16"/>
          </w:rPr>
          <m:t>β</m:t>
        </m:r>
        <w:bookmarkEnd w:id="1"/>
        <m:r>
          <m:rPr>
            <m:sty m:val="p"/>
          </m:rPr>
          <w:rPr>
            <w:rFonts w:ascii="Cambria Math" w:hAnsi="Cambria Math"/>
            <w:sz w:val="16"/>
            <w:szCs w:val="16"/>
          </w:rPr>
          <m:t>&gt;0</m:t>
        </m:r>
      </m:oMath>
      <w:r w:rsidR="007F6145" w:rsidRPr="007B729F">
        <w:rPr>
          <w:sz w:val="20"/>
          <w:szCs w:val="20"/>
        </w:rPr>
        <w:t xml:space="preserve"> </w:t>
      </w:r>
      <w:r w:rsidR="00942A8A">
        <w:rPr>
          <w:sz w:val="20"/>
          <w:szCs w:val="20"/>
        </w:rPr>
        <w:t>.</w:t>
      </w:r>
      <w:r w:rsidR="003A421C">
        <w:rPr>
          <w:sz w:val="20"/>
          <w:szCs w:val="20"/>
        </w:rPr>
        <w:t xml:space="preserve"> F</w:t>
      </w:r>
      <w:r w:rsidR="00CC5B2E">
        <w:rPr>
          <w:sz w:val="20"/>
          <w:szCs w:val="20"/>
        </w:rPr>
        <w:t xml:space="preserve">ood Retail </w:t>
      </w:r>
      <w:r w:rsidR="00513185">
        <w:rPr>
          <w:sz w:val="20"/>
          <w:szCs w:val="20"/>
        </w:rPr>
        <w:t xml:space="preserve">was the only industry with </w:t>
      </w:r>
      <m:oMath>
        <m:r>
          <m:rPr>
            <m:sty m:val="p"/>
          </m:rPr>
          <w:rPr>
            <w:rFonts w:ascii="Cambria Math" w:hAnsi="Cambria Math"/>
            <w:sz w:val="16"/>
            <w:szCs w:val="16"/>
          </w:rPr>
          <m:t>β&lt;0</m:t>
        </m:r>
      </m:oMath>
      <w:r w:rsidR="00513185">
        <w:rPr>
          <w:sz w:val="20"/>
          <w:szCs w:val="20"/>
        </w:rPr>
        <w:t xml:space="preserve">, compared to </w:t>
      </w:r>
      <m:oMath>
        <m:r>
          <m:rPr>
            <m:sty m:val="p"/>
          </m:rPr>
          <w:rPr>
            <w:rFonts w:ascii="Cambria Math" w:hAnsi="Cambria Math"/>
            <w:sz w:val="16"/>
            <w:szCs w:val="16"/>
          </w:rPr>
          <m:t>β</m:t>
        </m:r>
      </m:oMath>
      <w:r w:rsidR="00513185">
        <w:rPr>
          <w:sz w:val="20"/>
          <w:szCs w:val="20"/>
        </w:rPr>
        <w:t xml:space="preserve"> =0.47 in the previous year. </w:t>
      </w:r>
      <w:r w:rsidR="00D20B3B">
        <w:rPr>
          <w:sz w:val="20"/>
          <w:szCs w:val="20"/>
        </w:rPr>
        <w:t>i</w:t>
      </w:r>
      <w:r w:rsidR="003A421C">
        <w:rPr>
          <w:sz w:val="20"/>
          <w:szCs w:val="20"/>
        </w:rPr>
        <w:t xml:space="preserve">nteractive </w:t>
      </w:r>
      <w:r w:rsidR="00D20B3B">
        <w:rPr>
          <w:sz w:val="20"/>
          <w:szCs w:val="20"/>
        </w:rPr>
        <w:t>h</w:t>
      </w:r>
      <w:r w:rsidR="003A421C">
        <w:rPr>
          <w:sz w:val="20"/>
          <w:szCs w:val="20"/>
        </w:rPr>
        <w:t xml:space="preserve">ome </w:t>
      </w:r>
      <w:r w:rsidR="00D20B3B">
        <w:rPr>
          <w:sz w:val="20"/>
          <w:szCs w:val="20"/>
        </w:rPr>
        <w:t>e</w:t>
      </w:r>
      <w:r w:rsidR="003A421C">
        <w:rPr>
          <w:sz w:val="20"/>
          <w:szCs w:val="20"/>
        </w:rPr>
        <w:t xml:space="preserve">ntertainment was the only outlier, with </w:t>
      </w:r>
      <w:r w:rsidR="003A421C" w:rsidRPr="003A421C">
        <w:rPr>
          <w:sz w:val="20"/>
          <w:szCs w:val="20"/>
        </w:rPr>
        <w:sym w:font="Symbol" w:char="F044"/>
      </w:r>
      <w:r w:rsidR="003A421C" w:rsidRPr="003A421C">
        <w:rPr>
          <w:sz w:val="20"/>
          <w:szCs w:val="20"/>
        </w:rPr>
        <w:t>β</w:t>
      </w:r>
      <w:r w:rsidR="003A421C">
        <w:rPr>
          <w:sz w:val="20"/>
          <w:szCs w:val="20"/>
        </w:rPr>
        <w:t xml:space="preserve"> </w:t>
      </w:r>
      <w:r w:rsidR="00BB7BE4">
        <w:rPr>
          <w:sz w:val="20"/>
          <w:szCs w:val="20"/>
        </w:rPr>
        <w:t>=</w:t>
      </w:r>
      <w:r w:rsidR="003A421C">
        <w:rPr>
          <w:sz w:val="20"/>
          <w:szCs w:val="20"/>
        </w:rPr>
        <w:t>1.4.</w:t>
      </w:r>
      <w:r w:rsidR="00942A8A">
        <w:rPr>
          <w:sz w:val="20"/>
          <w:szCs w:val="20"/>
        </w:rPr>
        <w:t xml:space="preserve"> </w:t>
      </w:r>
      <w:r w:rsidR="00942A8A">
        <w:rPr>
          <w:sz w:val="20"/>
          <w:szCs w:val="20"/>
        </w:rPr>
        <w:br/>
      </w:r>
      <w:r w:rsidR="00D651B1" w:rsidRPr="00D651B1">
        <w:rPr>
          <w:sz w:val="20"/>
          <w:szCs w:val="20"/>
        </w:rPr>
        <w:t>σ</w:t>
      </w:r>
      <w:r w:rsidR="003A421C">
        <w:rPr>
          <w:sz w:val="20"/>
          <w:szCs w:val="20"/>
        </w:rPr>
        <w:t>(</w:t>
      </w:r>
      <w:r w:rsidR="00D651B1">
        <w:rPr>
          <w:sz w:val="20"/>
          <w:szCs w:val="20"/>
        </w:rPr>
        <w:sym w:font="Symbol" w:char="F044"/>
      </w:r>
      <m:oMath>
        <m:r>
          <m:rPr>
            <m:sty m:val="p"/>
          </m:rPr>
          <w:rPr>
            <w:rFonts w:ascii="Cambria Math" w:hAnsi="Cambria Math"/>
            <w:sz w:val="16"/>
            <w:szCs w:val="16"/>
          </w:rPr>
          <m:t xml:space="preserve"> β</m:t>
        </m:r>
      </m:oMath>
      <w:r w:rsidR="003A421C">
        <w:rPr>
          <w:sz w:val="20"/>
          <w:szCs w:val="20"/>
        </w:rPr>
        <w:t>) = 0</w:t>
      </w:r>
      <w:r w:rsidR="00D651B1">
        <w:rPr>
          <w:sz w:val="20"/>
          <w:szCs w:val="20"/>
        </w:rPr>
        <w:t>.4609</w:t>
      </w:r>
      <w:r w:rsidR="00942A8A">
        <w:rPr>
          <w:sz w:val="20"/>
          <w:szCs w:val="20"/>
        </w:rPr>
        <w:t xml:space="preserve">, and the range of </w:t>
      </w:r>
      <w:r w:rsidR="00942A8A">
        <w:rPr>
          <w:sz w:val="20"/>
          <w:szCs w:val="20"/>
        </w:rPr>
        <w:sym w:font="Symbol" w:char="F044"/>
      </w:r>
      <m:oMath>
        <m:r>
          <m:rPr>
            <m:sty m:val="p"/>
          </m:rPr>
          <w:rPr>
            <w:rFonts w:ascii="Cambria Math" w:hAnsi="Cambria Math"/>
            <w:sz w:val="16"/>
            <w:szCs w:val="16"/>
          </w:rPr>
          <m:t xml:space="preserve"> β</m:t>
        </m:r>
      </m:oMath>
      <w:r w:rsidR="00942A8A">
        <w:rPr>
          <w:sz w:val="20"/>
          <w:szCs w:val="20"/>
        </w:rPr>
        <w:t xml:space="preserve">  was 2, as seen in Fig.5</w:t>
      </w:r>
      <w:r w:rsidR="00D651B1">
        <w:rPr>
          <w:sz w:val="20"/>
          <w:szCs w:val="20"/>
        </w:rPr>
        <w:t>.</w:t>
      </w:r>
      <w:r w:rsidR="00734E69">
        <w:rPr>
          <w:sz w:val="20"/>
          <w:szCs w:val="20"/>
        </w:rPr>
        <w:t xml:space="preserve"> Disproving the null hypothesis.</w:t>
      </w:r>
      <w:r w:rsidR="00E33049">
        <w:rPr>
          <w:sz w:val="20"/>
          <w:szCs w:val="20"/>
        </w:rPr>
        <w:t xml:space="preserve"> </w:t>
      </w:r>
    </w:p>
    <w:p w14:paraId="0316A35B" w14:textId="77777777" w:rsidR="003A421C" w:rsidRPr="007F6145" w:rsidRDefault="003A421C" w:rsidP="003A421C">
      <w:pPr>
        <w:spacing w:before="10" w:after="10"/>
        <w:rPr>
          <w:sz w:val="20"/>
          <w:szCs w:val="20"/>
        </w:rPr>
      </w:pPr>
    </w:p>
    <w:p w14:paraId="6C9F8854" w14:textId="1D8C9447" w:rsidR="003A421C" w:rsidRDefault="0051788D" w:rsidP="003A421C">
      <w:pPr>
        <w:spacing w:before="10" w:after="10"/>
        <w:rPr>
          <w:sz w:val="20"/>
          <w:szCs w:val="20"/>
        </w:rPr>
      </w:pPr>
      <w:r w:rsidRPr="0051788D">
        <w:rPr>
          <w:rFonts w:ascii="TimesNewRomanPS" w:hAnsi="TimesNewRomanPS"/>
          <w:b/>
          <w:bCs/>
        </w:rPr>
        <w:t xml:space="preserve">Discussion. </w:t>
      </w:r>
    </w:p>
    <w:p w14:paraId="523CB672" w14:textId="6F7A14CB" w:rsidR="00942A8A" w:rsidRDefault="00942A8A" w:rsidP="00942A8A">
      <w:pPr>
        <w:spacing w:before="10" w:after="10"/>
        <w:rPr>
          <w:sz w:val="20"/>
          <w:szCs w:val="20"/>
        </w:rPr>
      </w:pPr>
      <w:r>
        <w:rPr>
          <w:b/>
          <w:bCs/>
          <w:sz w:val="20"/>
          <w:szCs w:val="20"/>
        </w:rPr>
        <w:t>Industries with higher than market volatility.</w:t>
      </w:r>
      <w:r>
        <w:rPr>
          <w:sz w:val="20"/>
          <w:szCs w:val="20"/>
        </w:rPr>
        <w:br/>
        <w:t>High volatility on prices for industries such as Department Stores and Home Furnishings</w:t>
      </w:r>
      <w:r w:rsidR="00AA3C8A">
        <w:rPr>
          <w:sz w:val="20"/>
          <w:szCs w:val="20"/>
        </w:rPr>
        <w:t xml:space="preserve"> </w:t>
      </w:r>
      <w:r w:rsidR="00A2722A" w:rsidRPr="00A2722A">
        <w:rPr>
          <w:color w:val="4472C4" w:themeColor="accent1"/>
          <w:sz w:val="20"/>
          <w:szCs w:val="20"/>
        </w:rPr>
        <w:t xml:space="preserve">when </w:t>
      </w:r>
      <w:r w:rsidR="00AA3C8A" w:rsidRPr="00AA3C8A">
        <w:rPr>
          <w:color w:val="0070C0"/>
          <w:sz w:val="20"/>
          <w:szCs w:val="20"/>
        </w:rPr>
        <w:t>compared to 2019</w:t>
      </w:r>
      <w:r w:rsidRPr="00AA3C8A">
        <w:rPr>
          <w:color w:val="0070C0"/>
          <w:sz w:val="20"/>
          <w:szCs w:val="20"/>
        </w:rPr>
        <w:t xml:space="preserve"> </w:t>
      </w:r>
      <w:r>
        <w:rPr>
          <w:sz w:val="20"/>
          <w:szCs w:val="20"/>
        </w:rPr>
        <w:t>could indicate that these are the most affected by uncertainty, communication regarding policy could be a factor leading to volatile speculation</w:t>
      </w:r>
      <w:sdt>
        <w:sdtPr>
          <w:rPr>
            <w:sz w:val="20"/>
            <w:szCs w:val="20"/>
          </w:rPr>
          <w:id w:val="1506561426"/>
          <w:citation/>
        </w:sdtPr>
        <w:sdtEndPr/>
        <w:sdtContent>
          <w:r>
            <w:rPr>
              <w:sz w:val="20"/>
              <w:szCs w:val="20"/>
            </w:rPr>
            <w:fldChar w:fldCharType="begin"/>
          </w:r>
          <w:r>
            <w:rPr>
              <w:sz w:val="20"/>
              <w:szCs w:val="20"/>
            </w:rPr>
            <w:instrText xml:space="preserve"> CITATION Hay12 \l 3081 </w:instrText>
          </w:r>
          <w:r>
            <w:rPr>
              <w:sz w:val="20"/>
              <w:szCs w:val="20"/>
            </w:rPr>
            <w:fldChar w:fldCharType="separate"/>
          </w:r>
          <w:r w:rsidR="00B225C9">
            <w:rPr>
              <w:noProof/>
              <w:sz w:val="20"/>
              <w:szCs w:val="20"/>
            </w:rPr>
            <w:t xml:space="preserve"> </w:t>
          </w:r>
          <w:r w:rsidR="00B225C9" w:rsidRPr="00B225C9">
            <w:rPr>
              <w:noProof/>
              <w:sz w:val="20"/>
              <w:szCs w:val="20"/>
            </w:rPr>
            <w:t>(Hayo, Kutan, &amp; Neuenkirch, 2012)</w:t>
          </w:r>
          <w:r>
            <w:rPr>
              <w:sz w:val="20"/>
              <w:szCs w:val="20"/>
            </w:rPr>
            <w:fldChar w:fldCharType="end"/>
          </w:r>
        </w:sdtContent>
      </w:sdt>
      <w:r>
        <w:rPr>
          <w:sz w:val="20"/>
          <w:szCs w:val="20"/>
        </w:rPr>
        <w:t>. High volatility could also indicate that the stocks are more so affected during announcements such as lockdown, stimulus, social distancing laws, and supply chain strain. Supply chains are expected</w:t>
      </w:r>
      <w:r w:rsidRPr="0081509C">
        <w:rPr>
          <w:sz w:val="20"/>
          <w:szCs w:val="20"/>
        </w:rPr>
        <w:t xml:space="preserve"> to </w:t>
      </w:r>
      <w:r>
        <w:rPr>
          <w:sz w:val="20"/>
          <w:szCs w:val="20"/>
        </w:rPr>
        <w:t>be impacted</w:t>
      </w:r>
      <w:r w:rsidRPr="0081509C">
        <w:rPr>
          <w:sz w:val="20"/>
          <w:szCs w:val="20"/>
        </w:rPr>
        <w:t xml:space="preserve"> well beyond the pandemic (Ivanov, 2020</w:t>
      </w:r>
      <w:r>
        <w:rPr>
          <w:sz w:val="20"/>
          <w:szCs w:val="20"/>
        </w:rPr>
        <w:t>) which could also explain why manufacturers have seen increased volatility.</w:t>
      </w:r>
    </w:p>
    <w:p w14:paraId="3752B5E8" w14:textId="77777777" w:rsidR="00942A8A" w:rsidRDefault="0081509C" w:rsidP="003A421C">
      <w:pPr>
        <w:spacing w:before="10" w:after="10"/>
        <w:rPr>
          <w:sz w:val="20"/>
          <w:szCs w:val="20"/>
        </w:rPr>
      </w:pPr>
      <w:r>
        <w:rPr>
          <w:sz w:val="20"/>
          <w:szCs w:val="20"/>
        </w:rPr>
        <w:br/>
      </w:r>
      <w:r w:rsidR="00942A8A">
        <w:rPr>
          <w:b/>
          <w:bCs/>
          <w:sz w:val="20"/>
          <w:szCs w:val="20"/>
        </w:rPr>
        <w:t>What could be causing industries to have no association with the overall market?</w:t>
      </w:r>
      <w:r w:rsidR="00942A8A">
        <w:rPr>
          <w:sz w:val="20"/>
          <w:szCs w:val="20"/>
        </w:rPr>
        <w:tab/>
      </w:r>
    </w:p>
    <w:p w14:paraId="4302944D" w14:textId="5BD0D873" w:rsidR="00942A8A" w:rsidRDefault="00D20B3B" w:rsidP="003A421C">
      <w:pPr>
        <w:spacing w:before="10" w:after="10"/>
        <w:rPr>
          <w:sz w:val="20"/>
          <w:szCs w:val="20"/>
        </w:rPr>
      </w:pPr>
      <w:r>
        <w:rPr>
          <w:sz w:val="20"/>
          <w:szCs w:val="20"/>
        </w:rPr>
        <w:t>A</w:t>
      </w:r>
      <w:r w:rsidR="00376CD9">
        <w:rPr>
          <w:sz w:val="20"/>
          <w:szCs w:val="20"/>
        </w:rPr>
        <w:t xml:space="preserve">ir </w:t>
      </w:r>
      <w:r>
        <w:rPr>
          <w:sz w:val="20"/>
          <w:szCs w:val="20"/>
        </w:rPr>
        <w:t>f</w:t>
      </w:r>
      <w:r w:rsidR="00376CD9">
        <w:rPr>
          <w:sz w:val="20"/>
          <w:szCs w:val="20"/>
        </w:rPr>
        <w:t xml:space="preserve">reight and </w:t>
      </w:r>
      <w:r>
        <w:rPr>
          <w:sz w:val="20"/>
          <w:szCs w:val="20"/>
        </w:rPr>
        <w:t>l</w:t>
      </w:r>
      <w:r w:rsidR="00376CD9">
        <w:rPr>
          <w:sz w:val="20"/>
          <w:szCs w:val="20"/>
        </w:rPr>
        <w:t>ogistics</w:t>
      </w:r>
      <w:r w:rsidR="00942A8A">
        <w:rPr>
          <w:sz w:val="20"/>
          <w:szCs w:val="20"/>
        </w:rPr>
        <w:t>’ stocks aren’t</w:t>
      </w:r>
      <w:r w:rsidR="00376CD9">
        <w:rPr>
          <w:sz w:val="20"/>
          <w:szCs w:val="20"/>
        </w:rPr>
        <w:t xml:space="preserve"> moving with the market </w:t>
      </w:r>
      <w:r w:rsidR="00376CD9" w:rsidRPr="006A597D">
        <w:rPr>
          <w:color w:val="0070C0"/>
          <w:sz w:val="20"/>
          <w:szCs w:val="20"/>
        </w:rPr>
        <w:t xml:space="preserve">as much as </w:t>
      </w:r>
      <w:r w:rsidR="00942A8A" w:rsidRPr="006A597D">
        <w:rPr>
          <w:color w:val="0070C0"/>
          <w:sz w:val="20"/>
          <w:szCs w:val="20"/>
        </w:rPr>
        <w:t>in 2019</w:t>
      </w:r>
      <w:r w:rsidR="00376CD9" w:rsidRPr="006A597D">
        <w:rPr>
          <w:color w:val="0070C0"/>
          <w:sz w:val="20"/>
          <w:szCs w:val="20"/>
        </w:rPr>
        <w:t>.</w:t>
      </w:r>
      <w:r w:rsidR="00376CD9">
        <w:rPr>
          <w:sz w:val="20"/>
          <w:szCs w:val="20"/>
        </w:rPr>
        <w:t xml:space="preserve"> This could be attributed to </w:t>
      </w:r>
      <w:r w:rsidR="0081509C">
        <w:rPr>
          <w:sz w:val="20"/>
          <w:szCs w:val="20"/>
        </w:rPr>
        <w:t>cheaper fuel</w:t>
      </w:r>
      <w:r w:rsidR="009A4382">
        <w:rPr>
          <w:sz w:val="20"/>
          <w:szCs w:val="20"/>
        </w:rPr>
        <w:t xml:space="preserve"> </w:t>
      </w:r>
      <w:sdt>
        <w:sdtPr>
          <w:rPr>
            <w:sz w:val="20"/>
            <w:szCs w:val="20"/>
          </w:rPr>
          <w:id w:val="-359597598"/>
          <w:citation/>
        </w:sdtPr>
        <w:sdtEndPr/>
        <w:sdtContent>
          <w:r w:rsidR="009A4382">
            <w:rPr>
              <w:sz w:val="20"/>
              <w:szCs w:val="20"/>
            </w:rPr>
            <w:fldChar w:fldCharType="begin"/>
          </w:r>
          <w:r w:rsidR="009A4382">
            <w:rPr>
              <w:sz w:val="20"/>
              <w:szCs w:val="20"/>
            </w:rPr>
            <w:instrText xml:space="preserve"> CITATION Alb20 \l 3081 </w:instrText>
          </w:r>
          <w:r w:rsidR="009A4382">
            <w:rPr>
              <w:sz w:val="20"/>
              <w:szCs w:val="20"/>
            </w:rPr>
            <w:fldChar w:fldCharType="separate"/>
          </w:r>
          <w:r w:rsidR="00B225C9" w:rsidRPr="00B225C9">
            <w:rPr>
              <w:noProof/>
              <w:sz w:val="20"/>
              <w:szCs w:val="20"/>
            </w:rPr>
            <w:t>(Albulescu, 2020)</w:t>
          </w:r>
          <w:r w:rsidR="009A4382">
            <w:rPr>
              <w:sz w:val="20"/>
              <w:szCs w:val="20"/>
            </w:rPr>
            <w:fldChar w:fldCharType="end"/>
          </w:r>
        </w:sdtContent>
      </w:sdt>
      <w:r w:rsidR="0081509C">
        <w:rPr>
          <w:sz w:val="20"/>
          <w:szCs w:val="20"/>
        </w:rPr>
        <w:t xml:space="preserve"> and </w:t>
      </w:r>
      <w:r w:rsidR="00942A8A">
        <w:rPr>
          <w:sz w:val="20"/>
          <w:szCs w:val="20"/>
        </w:rPr>
        <w:t xml:space="preserve">a </w:t>
      </w:r>
      <w:r w:rsidR="0081509C">
        <w:rPr>
          <w:sz w:val="20"/>
          <w:szCs w:val="20"/>
        </w:rPr>
        <w:t>larger supply of planes due to reduced air travel</w:t>
      </w:r>
      <w:r w:rsidR="007F6145">
        <w:rPr>
          <w:sz w:val="20"/>
          <w:szCs w:val="20"/>
        </w:rPr>
        <w:t xml:space="preserve"> </w:t>
      </w:r>
      <w:r w:rsidR="00942A8A">
        <w:rPr>
          <w:sz w:val="20"/>
          <w:szCs w:val="20"/>
        </w:rPr>
        <w:t>being a positive for the industry</w:t>
      </w:r>
      <w:r w:rsidR="00376CD9">
        <w:rPr>
          <w:sz w:val="20"/>
          <w:szCs w:val="20"/>
        </w:rPr>
        <w:t xml:space="preserve">. </w:t>
      </w:r>
      <w:r w:rsidR="00942A8A">
        <w:rPr>
          <w:sz w:val="20"/>
          <w:szCs w:val="20"/>
        </w:rPr>
        <w:t xml:space="preserve">Whilst reduced consumerism </w:t>
      </w:r>
      <w:r w:rsidR="00942A8A" w:rsidRPr="00942A8A">
        <w:rPr>
          <w:sz w:val="20"/>
          <w:szCs w:val="20"/>
        </w:rPr>
        <w:t xml:space="preserve">(Baker, </w:t>
      </w:r>
      <w:proofErr w:type="spellStart"/>
      <w:r w:rsidR="00942A8A" w:rsidRPr="00942A8A">
        <w:rPr>
          <w:sz w:val="20"/>
          <w:szCs w:val="20"/>
        </w:rPr>
        <w:t>Farrokhnia</w:t>
      </w:r>
      <w:proofErr w:type="spellEnd"/>
      <w:r w:rsidR="00942A8A" w:rsidRPr="00942A8A">
        <w:rPr>
          <w:sz w:val="20"/>
          <w:szCs w:val="20"/>
        </w:rPr>
        <w:t xml:space="preserve">, </w:t>
      </w:r>
      <w:proofErr w:type="spellStart"/>
      <w:r w:rsidR="00942A8A" w:rsidRPr="00942A8A">
        <w:rPr>
          <w:sz w:val="20"/>
          <w:szCs w:val="20"/>
        </w:rPr>
        <w:t>Pagel</w:t>
      </w:r>
      <w:proofErr w:type="spellEnd"/>
      <w:r w:rsidR="00942A8A" w:rsidRPr="00942A8A">
        <w:rPr>
          <w:sz w:val="20"/>
          <w:szCs w:val="20"/>
        </w:rPr>
        <w:t xml:space="preserve">, </w:t>
      </w:r>
      <w:proofErr w:type="spellStart"/>
      <w:r w:rsidR="00942A8A" w:rsidRPr="00942A8A">
        <w:rPr>
          <w:sz w:val="20"/>
          <w:szCs w:val="20"/>
        </w:rPr>
        <w:t>Yannelis</w:t>
      </w:r>
      <w:proofErr w:type="spellEnd"/>
      <w:r w:rsidR="00942A8A" w:rsidRPr="00942A8A">
        <w:rPr>
          <w:sz w:val="20"/>
          <w:szCs w:val="20"/>
        </w:rPr>
        <w:t>. 2020)</w:t>
      </w:r>
      <w:r w:rsidR="00942A8A">
        <w:rPr>
          <w:sz w:val="20"/>
          <w:szCs w:val="20"/>
        </w:rPr>
        <w:t xml:space="preserve"> could be seen as negative. Having </w:t>
      </w:r>
      <m:oMath>
        <m:r>
          <m:rPr>
            <m:sty m:val="p"/>
          </m:rPr>
          <w:rPr>
            <w:rFonts w:ascii="Cambria Math" w:hAnsi="Cambria Math"/>
            <w:sz w:val="16"/>
            <w:szCs w:val="16"/>
          </w:rPr>
          <m:t>β=0</m:t>
        </m:r>
      </m:oMath>
      <w:r w:rsidR="00942A8A">
        <w:rPr>
          <w:sz w:val="16"/>
          <w:szCs w:val="16"/>
        </w:rPr>
        <w:t xml:space="preserve"> </w:t>
      </w:r>
      <w:r w:rsidR="00942A8A">
        <w:rPr>
          <w:sz w:val="20"/>
          <w:szCs w:val="20"/>
        </w:rPr>
        <w:t>could be an indication that the market sees COVID-19 market events as</w:t>
      </w:r>
      <w:r w:rsidR="00471BF4">
        <w:rPr>
          <w:sz w:val="20"/>
          <w:szCs w:val="20"/>
        </w:rPr>
        <w:t xml:space="preserve"> </w:t>
      </w:r>
      <w:r w:rsidR="002A3653">
        <w:rPr>
          <w:sz w:val="20"/>
          <w:szCs w:val="20"/>
        </w:rPr>
        <w:t>a balance of</w:t>
      </w:r>
      <w:r w:rsidR="00942A8A">
        <w:rPr>
          <w:sz w:val="20"/>
          <w:szCs w:val="20"/>
        </w:rPr>
        <w:t xml:space="preserve"> positive </w:t>
      </w:r>
      <w:r w:rsidR="002A3653">
        <w:rPr>
          <w:sz w:val="20"/>
          <w:szCs w:val="20"/>
        </w:rPr>
        <w:t>and</w:t>
      </w:r>
      <w:r w:rsidR="00942A8A">
        <w:rPr>
          <w:sz w:val="20"/>
          <w:szCs w:val="20"/>
        </w:rPr>
        <w:t xml:space="preserve"> negative</w:t>
      </w:r>
      <w:r w:rsidR="002A3653">
        <w:rPr>
          <w:sz w:val="20"/>
          <w:szCs w:val="20"/>
        </w:rPr>
        <w:t xml:space="preserve"> towards the industry.</w:t>
      </w:r>
      <w:r w:rsidR="007F6145">
        <w:rPr>
          <w:sz w:val="20"/>
          <w:szCs w:val="20"/>
        </w:rPr>
        <w:br/>
      </w:r>
      <w:r w:rsidR="006849C5">
        <w:rPr>
          <w:sz w:val="20"/>
          <w:szCs w:val="20"/>
        </w:rPr>
        <w:t xml:space="preserve">Another noticeable low volatility industry is </w:t>
      </w:r>
      <w:r>
        <w:rPr>
          <w:sz w:val="20"/>
          <w:szCs w:val="20"/>
        </w:rPr>
        <w:t>i</w:t>
      </w:r>
      <w:r w:rsidR="006849C5">
        <w:rPr>
          <w:sz w:val="20"/>
          <w:szCs w:val="20"/>
        </w:rPr>
        <w:t xml:space="preserve">nteractive </w:t>
      </w:r>
      <w:r>
        <w:rPr>
          <w:sz w:val="20"/>
          <w:szCs w:val="20"/>
        </w:rPr>
        <w:t>h</w:t>
      </w:r>
      <w:r w:rsidR="006849C5">
        <w:rPr>
          <w:sz w:val="20"/>
          <w:szCs w:val="20"/>
        </w:rPr>
        <w:t xml:space="preserve">ome </w:t>
      </w:r>
      <w:r>
        <w:rPr>
          <w:sz w:val="20"/>
          <w:szCs w:val="20"/>
        </w:rPr>
        <w:t>e</w:t>
      </w:r>
      <w:r w:rsidR="006849C5">
        <w:rPr>
          <w:sz w:val="20"/>
          <w:szCs w:val="20"/>
        </w:rPr>
        <w:t xml:space="preserve">ntertainment, this could be attributed </w:t>
      </w:r>
      <w:r w:rsidR="007F6145">
        <w:rPr>
          <w:sz w:val="20"/>
          <w:szCs w:val="20"/>
        </w:rPr>
        <w:t>to</w:t>
      </w:r>
      <w:r w:rsidR="006849C5">
        <w:rPr>
          <w:sz w:val="20"/>
          <w:szCs w:val="20"/>
        </w:rPr>
        <w:t xml:space="preserve"> stay-at-home boredom </w:t>
      </w:r>
      <w:r w:rsidR="007F6145">
        <w:rPr>
          <w:sz w:val="20"/>
          <w:szCs w:val="20"/>
        </w:rPr>
        <w:t>increasing</w:t>
      </w:r>
      <w:r w:rsidR="006849C5">
        <w:rPr>
          <w:sz w:val="20"/>
          <w:szCs w:val="20"/>
        </w:rPr>
        <w:t xml:space="preserve"> the necessity of at</w:t>
      </w:r>
      <w:r w:rsidR="00942A8A">
        <w:rPr>
          <w:sz w:val="20"/>
          <w:szCs w:val="20"/>
        </w:rPr>
        <w:t>-</w:t>
      </w:r>
      <w:r w:rsidR="006849C5">
        <w:rPr>
          <w:sz w:val="20"/>
          <w:szCs w:val="20"/>
        </w:rPr>
        <w:t xml:space="preserve">home entertainment services </w:t>
      </w:r>
      <w:sdt>
        <w:sdtPr>
          <w:rPr>
            <w:sz w:val="20"/>
            <w:szCs w:val="20"/>
          </w:rPr>
          <w:id w:val="1583184853"/>
          <w:citation/>
        </w:sdtPr>
        <w:sdtEndPr/>
        <w:sdtContent>
          <w:r w:rsidR="006849C5">
            <w:rPr>
              <w:sz w:val="20"/>
              <w:szCs w:val="20"/>
            </w:rPr>
            <w:fldChar w:fldCharType="begin"/>
          </w:r>
          <w:r w:rsidR="006849C5">
            <w:rPr>
              <w:sz w:val="20"/>
              <w:szCs w:val="20"/>
            </w:rPr>
            <w:instrText xml:space="preserve"> CITATION Jos20 \l 3081 </w:instrText>
          </w:r>
          <w:r w:rsidR="006849C5">
            <w:rPr>
              <w:sz w:val="20"/>
              <w:szCs w:val="20"/>
            </w:rPr>
            <w:fldChar w:fldCharType="separate"/>
          </w:r>
          <w:r w:rsidR="00B225C9" w:rsidRPr="00B225C9">
            <w:rPr>
              <w:noProof/>
              <w:sz w:val="20"/>
              <w:szCs w:val="20"/>
            </w:rPr>
            <w:t>(Taylor, 2020)</w:t>
          </w:r>
          <w:r w:rsidR="006849C5">
            <w:rPr>
              <w:sz w:val="20"/>
              <w:szCs w:val="20"/>
            </w:rPr>
            <w:fldChar w:fldCharType="end"/>
          </w:r>
        </w:sdtContent>
      </w:sdt>
      <w:r w:rsidR="006849C5">
        <w:rPr>
          <w:sz w:val="20"/>
          <w:szCs w:val="20"/>
        </w:rPr>
        <w:t xml:space="preserve">, but the lack of a negative Beta could indicate that </w:t>
      </w:r>
      <w:r w:rsidR="009A4382">
        <w:rPr>
          <w:sz w:val="20"/>
          <w:szCs w:val="20"/>
        </w:rPr>
        <w:t>as</w:t>
      </w:r>
      <w:r w:rsidR="006849C5">
        <w:rPr>
          <w:sz w:val="20"/>
          <w:szCs w:val="20"/>
        </w:rPr>
        <w:t xml:space="preserve"> consumers</w:t>
      </w:r>
      <w:r w:rsidR="009A4382">
        <w:rPr>
          <w:sz w:val="20"/>
          <w:szCs w:val="20"/>
        </w:rPr>
        <w:t xml:space="preserve"> are</w:t>
      </w:r>
      <w:r w:rsidR="006849C5">
        <w:rPr>
          <w:sz w:val="20"/>
          <w:szCs w:val="20"/>
        </w:rPr>
        <w:t xml:space="preserve"> earning less money due to record unemployment</w:t>
      </w:r>
      <w:r w:rsidR="00427AC2">
        <w:rPr>
          <w:sz w:val="20"/>
          <w:szCs w:val="20"/>
        </w:rPr>
        <w:t xml:space="preserve"> </w:t>
      </w:r>
      <w:sdt>
        <w:sdtPr>
          <w:rPr>
            <w:sz w:val="20"/>
            <w:szCs w:val="20"/>
          </w:rPr>
          <w:id w:val="-1124922581"/>
          <w:citation/>
        </w:sdtPr>
        <w:sdtEndPr/>
        <w:sdtContent>
          <w:r w:rsidR="00427AC2">
            <w:rPr>
              <w:sz w:val="20"/>
              <w:szCs w:val="20"/>
            </w:rPr>
            <w:fldChar w:fldCharType="begin"/>
          </w:r>
          <w:r w:rsidR="00427AC2">
            <w:rPr>
              <w:sz w:val="20"/>
              <w:szCs w:val="20"/>
            </w:rPr>
            <w:instrText xml:space="preserve"> CITATION Coi20 \l 3081 </w:instrText>
          </w:r>
          <w:r w:rsidR="00427AC2">
            <w:rPr>
              <w:sz w:val="20"/>
              <w:szCs w:val="20"/>
            </w:rPr>
            <w:fldChar w:fldCharType="separate"/>
          </w:r>
          <w:r w:rsidR="00B225C9" w:rsidRPr="00B225C9">
            <w:rPr>
              <w:noProof/>
              <w:sz w:val="20"/>
              <w:szCs w:val="20"/>
            </w:rPr>
            <w:t>(Coibion, Gorodnichenko, &amp; Weber, 2020)</w:t>
          </w:r>
          <w:r w:rsidR="00427AC2">
            <w:rPr>
              <w:sz w:val="20"/>
              <w:szCs w:val="20"/>
            </w:rPr>
            <w:fldChar w:fldCharType="end"/>
          </w:r>
        </w:sdtContent>
      </w:sdt>
      <w:r w:rsidR="006849C5">
        <w:rPr>
          <w:sz w:val="20"/>
          <w:szCs w:val="20"/>
        </w:rPr>
        <w:t>, and with lockdowns already being reduced</w:t>
      </w:r>
      <w:r w:rsidR="00942A8A">
        <w:rPr>
          <w:sz w:val="20"/>
          <w:szCs w:val="20"/>
        </w:rPr>
        <w:t xml:space="preserve"> </w:t>
      </w:r>
      <w:sdt>
        <w:sdtPr>
          <w:rPr>
            <w:sz w:val="20"/>
            <w:szCs w:val="20"/>
          </w:rPr>
          <w:id w:val="934949497"/>
          <w:citation/>
        </w:sdtPr>
        <w:sdtEndPr/>
        <w:sdtContent>
          <w:r w:rsidR="00942A8A">
            <w:rPr>
              <w:sz w:val="20"/>
              <w:szCs w:val="20"/>
            </w:rPr>
            <w:fldChar w:fldCharType="begin"/>
          </w:r>
          <w:r w:rsidR="00942A8A">
            <w:rPr>
              <w:sz w:val="20"/>
              <w:szCs w:val="20"/>
            </w:rPr>
            <w:instrText xml:space="preserve"> CITATION Gar20 \l 3081 </w:instrText>
          </w:r>
          <w:r w:rsidR="00942A8A">
            <w:rPr>
              <w:sz w:val="20"/>
              <w:szCs w:val="20"/>
            </w:rPr>
            <w:fldChar w:fldCharType="separate"/>
          </w:r>
          <w:r w:rsidR="00B225C9" w:rsidRPr="00B225C9">
            <w:rPr>
              <w:noProof/>
              <w:sz w:val="20"/>
              <w:szCs w:val="20"/>
            </w:rPr>
            <w:t>(Garnett, 2020)</w:t>
          </w:r>
          <w:r w:rsidR="00942A8A">
            <w:rPr>
              <w:sz w:val="20"/>
              <w:szCs w:val="20"/>
            </w:rPr>
            <w:fldChar w:fldCharType="end"/>
          </w:r>
        </w:sdtContent>
      </w:sdt>
      <w:r w:rsidR="006849C5">
        <w:rPr>
          <w:sz w:val="20"/>
          <w:szCs w:val="20"/>
        </w:rPr>
        <w:t xml:space="preserve"> households may </w:t>
      </w:r>
      <w:r w:rsidR="007F6145">
        <w:rPr>
          <w:sz w:val="20"/>
          <w:szCs w:val="20"/>
        </w:rPr>
        <w:t xml:space="preserve">soon </w:t>
      </w:r>
      <w:r w:rsidR="006849C5">
        <w:rPr>
          <w:sz w:val="20"/>
          <w:szCs w:val="20"/>
        </w:rPr>
        <w:t>view at</w:t>
      </w:r>
      <w:r w:rsidR="00942A8A">
        <w:rPr>
          <w:sz w:val="20"/>
          <w:szCs w:val="20"/>
        </w:rPr>
        <w:t>-</w:t>
      </w:r>
      <w:r w:rsidR="006849C5">
        <w:rPr>
          <w:sz w:val="20"/>
          <w:szCs w:val="20"/>
        </w:rPr>
        <w:t xml:space="preserve">home entertainment as a luxury expense. </w:t>
      </w:r>
      <w:r w:rsidR="00376CD9">
        <w:rPr>
          <w:sz w:val="20"/>
          <w:szCs w:val="20"/>
        </w:rPr>
        <w:t xml:space="preserve">Studies in the future could </w:t>
      </w:r>
      <w:r w:rsidR="00427AC2">
        <w:rPr>
          <w:sz w:val="20"/>
          <w:szCs w:val="20"/>
        </w:rPr>
        <w:t>use this data to</w:t>
      </w:r>
      <w:r w:rsidR="00376CD9">
        <w:rPr>
          <w:sz w:val="20"/>
          <w:szCs w:val="20"/>
        </w:rPr>
        <w:t xml:space="preserve"> link </w:t>
      </w:r>
      <w:r w:rsidR="009A4382">
        <w:rPr>
          <w:sz w:val="20"/>
          <w:szCs w:val="20"/>
        </w:rPr>
        <w:t>market caution with</w:t>
      </w:r>
      <w:r w:rsidR="00A80B1F">
        <w:rPr>
          <w:sz w:val="20"/>
          <w:szCs w:val="20"/>
        </w:rPr>
        <w:t xml:space="preserve"> changed consumer perception of good and services.</w:t>
      </w:r>
      <w:r w:rsidR="006A40A4">
        <w:rPr>
          <w:sz w:val="20"/>
          <w:szCs w:val="20"/>
        </w:rPr>
        <w:t xml:space="preserve"> </w:t>
      </w:r>
      <w:r w:rsidR="00F4330F">
        <w:rPr>
          <w:sz w:val="20"/>
          <w:szCs w:val="20"/>
        </w:rPr>
        <w:t xml:space="preserve">Low betas </w:t>
      </w:r>
      <w:r w:rsidR="00942A8A">
        <w:rPr>
          <w:sz w:val="20"/>
          <w:szCs w:val="20"/>
        </w:rPr>
        <w:t xml:space="preserve">could indicate industry initially moving with/against the market, then as observation of how different industries adapt to market events, the correlation to the market changes. </w:t>
      </w:r>
    </w:p>
    <w:p w14:paraId="6FFBFA7E" w14:textId="77777777" w:rsidR="00942A8A" w:rsidRDefault="00942A8A" w:rsidP="003A421C">
      <w:pPr>
        <w:spacing w:before="10" w:after="10"/>
        <w:rPr>
          <w:sz w:val="20"/>
          <w:szCs w:val="20"/>
        </w:rPr>
      </w:pPr>
    </w:p>
    <w:p w14:paraId="15A84DDA" w14:textId="77777777" w:rsidR="00942A8A" w:rsidRDefault="0039336B" w:rsidP="003A421C">
      <w:pPr>
        <w:spacing w:before="10" w:after="10"/>
        <w:rPr>
          <w:b/>
          <w:bCs/>
          <w:sz w:val="20"/>
          <w:szCs w:val="20"/>
        </w:rPr>
      </w:pPr>
      <w:r w:rsidRPr="0084591E">
        <w:rPr>
          <w:b/>
          <w:bCs/>
          <w:sz w:val="20"/>
          <w:szCs w:val="20"/>
        </w:rPr>
        <w:t>What goes against the market?</w:t>
      </w:r>
      <w:r>
        <w:rPr>
          <w:b/>
          <w:bCs/>
          <w:sz w:val="20"/>
          <w:szCs w:val="20"/>
        </w:rPr>
        <w:tab/>
      </w:r>
    </w:p>
    <w:p w14:paraId="69E6DA3D" w14:textId="51EEDFD5" w:rsidR="00942A8A" w:rsidRDefault="0039336B" w:rsidP="003A421C">
      <w:pPr>
        <w:spacing w:before="10" w:after="10"/>
        <w:rPr>
          <w:sz w:val="20"/>
          <w:szCs w:val="20"/>
        </w:rPr>
      </w:pPr>
      <w:r w:rsidRPr="00DF7E98">
        <w:rPr>
          <w:sz w:val="20"/>
          <w:szCs w:val="20"/>
        </w:rPr>
        <w:t>Food</w:t>
      </w:r>
      <w:r>
        <w:rPr>
          <w:b/>
          <w:bCs/>
          <w:sz w:val="20"/>
          <w:szCs w:val="20"/>
        </w:rPr>
        <w:t xml:space="preserve"> </w:t>
      </w:r>
      <w:r w:rsidR="00D20B3B">
        <w:rPr>
          <w:sz w:val="20"/>
          <w:szCs w:val="20"/>
        </w:rPr>
        <w:t>r</w:t>
      </w:r>
      <w:r>
        <w:rPr>
          <w:sz w:val="20"/>
          <w:szCs w:val="20"/>
        </w:rPr>
        <w:t xml:space="preserve">etail is the only stock that has </w:t>
      </w:r>
      <w:r w:rsidR="006A597D" w:rsidRPr="006A597D">
        <w:rPr>
          <w:color w:val="0070C0"/>
          <w:sz w:val="20"/>
          <w:szCs w:val="20"/>
        </w:rPr>
        <w:t>turned to be</w:t>
      </w:r>
      <w:r w:rsidRPr="006A597D">
        <w:rPr>
          <w:color w:val="0070C0"/>
          <w:sz w:val="20"/>
          <w:szCs w:val="20"/>
        </w:rPr>
        <w:t xml:space="preserve"> </w:t>
      </w:r>
      <w:r>
        <w:rPr>
          <w:sz w:val="20"/>
          <w:szCs w:val="20"/>
        </w:rPr>
        <w:t xml:space="preserve">against the market. The initial surge in market price during the ‘panic buying’ happened at the same time the market was </w:t>
      </w:r>
      <w:r w:rsidR="00942A8A">
        <w:rPr>
          <w:sz w:val="20"/>
          <w:szCs w:val="20"/>
        </w:rPr>
        <w:t>crashing; however further research would need to be done to determine why this is the case. Although the correlation is negative it is not strong (-0.056)</w:t>
      </w:r>
      <w:r w:rsidR="006A40A4">
        <w:rPr>
          <w:sz w:val="20"/>
          <w:szCs w:val="20"/>
        </w:rPr>
        <w:t>.</w:t>
      </w:r>
    </w:p>
    <w:p w14:paraId="24A1B572" w14:textId="77777777" w:rsidR="00942A8A" w:rsidRDefault="00942A8A" w:rsidP="003A421C">
      <w:pPr>
        <w:spacing w:before="10" w:after="10"/>
        <w:rPr>
          <w:sz w:val="20"/>
          <w:szCs w:val="20"/>
        </w:rPr>
      </w:pPr>
    </w:p>
    <w:p w14:paraId="584F3F6F" w14:textId="37154934" w:rsidR="00942A8A" w:rsidRDefault="00942A8A" w:rsidP="00942A8A">
      <w:pPr>
        <w:spacing w:before="10" w:after="10"/>
        <w:rPr>
          <w:sz w:val="20"/>
          <w:szCs w:val="20"/>
        </w:rPr>
      </w:pPr>
      <w:r>
        <w:rPr>
          <w:b/>
          <w:bCs/>
          <w:sz w:val="20"/>
          <w:szCs w:val="20"/>
        </w:rPr>
        <w:t>Gold has gone against its reputation</w:t>
      </w:r>
      <w:r>
        <w:rPr>
          <w:sz w:val="20"/>
          <w:szCs w:val="20"/>
        </w:rPr>
        <w:t>.</w:t>
      </w:r>
    </w:p>
    <w:p w14:paraId="73416707" w14:textId="4401BA6E" w:rsidR="00942A8A" w:rsidRDefault="00942A8A" w:rsidP="00942A8A">
      <w:pPr>
        <w:spacing w:before="10" w:after="10"/>
        <w:rPr>
          <w:sz w:val="20"/>
          <w:szCs w:val="20"/>
        </w:rPr>
      </w:pPr>
      <w:r>
        <w:rPr>
          <w:sz w:val="20"/>
          <w:szCs w:val="20"/>
        </w:rPr>
        <w:t xml:space="preserve">The </w:t>
      </w:r>
      <w:r w:rsidR="00D20B3B">
        <w:rPr>
          <w:sz w:val="20"/>
          <w:szCs w:val="20"/>
        </w:rPr>
        <w:t>g</w:t>
      </w:r>
      <w:r w:rsidRPr="00DF7E98">
        <w:rPr>
          <w:sz w:val="20"/>
          <w:szCs w:val="20"/>
        </w:rPr>
        <w:t>old</w:t>
      </w:r>
      <w:r>
        <w:rPr>
          <w:sz w:val="20"/>
          <w:szCs w:val="20"/>
        </w:rPr>
        <w:t xml:space="preserve"> </w:t>
      </w:r>
      <w:r w:rsidR="00D20B3B">
        <w:rPr>
          <w:sz w:val="20"/>
          <w:szCs w:val="20"/>
        </w:rPr>
        <w:t>i</w:t>
      </w:r>
      <w:r>
        <w:rPr>
          <w:sz w:val="20"/>
          <w:szCs w:val="20"/>
        </w:rPr>
        <w:t>ndustry</w:t>
      </w:r>
      <w:r>
        <w:rPr>
          <w:b/>
          <w:bCs/>
          <w:sz w:val="20"/>
          <w:szCs w:val="20"/>
        </w:rPr>
        <w:t xml:space="preserve"> </w:t>
      </w:r>
      <w:r>
        <w:rPr>
          <w:sz w:val="20"/>
          <w:szCs w:val="20"/>
        </w:rPr>
        <w:t xml:space="preserve">has been recognised as a </w:t>
      </w:r>
      <w:r w:rsidRPr="00367ADA">
        <w:rPr>
          <w:sz w:val="20"/>
          <w:szCs w:val="20"/>
        </w:rPr>
        <w:t>safe haven in extreme stock market conditions</w:t>
      </w:r>
      <w:r>
        <w:rPr>
          <w:sz w:val="20"/>
          <w:szCs w:val="20"/>
        </w:rPr>
        <w:t xml:space="preserve"> in the past </w:t>
      </w:r>
      <w:sdt>
        <w:sdtPr>
          <w:rPr>
            <w:sz w:val="20"/>
            <w:szCs w:val="20"/>
          </w:rPr>
          <w:id w:val="-1597251649"/>
          <w:citation/>
        </w:sdtPr>
        <w:sdtEndPr/>
        <w:sdtContent>
          <w:r>
            <w:rPr>
              <w:sz w:val="20"/>
              <w:szCs w:val="20"/>
            </w:rPr>
            <w:fldChar w:fldCharType="begin"/>
          </w:r>
          <w:r>
            <w:rPr>
              <w:sz w:val="20"/>
              <w:szCs w:val="20"/>
            </w:rPr>
            <w:instrText xml:space="preserve"> CITATION Bau10 \l 3081 </w:instrText>
          </w:r>
          <w:r>
            <w:rPr>
              <w:sz w:val="20"/>
              <w:szCs w:val="20"/>
            </w:rPr>
            <w:fldChar w:fldCharType="separate"/>
          </w:r>
          <w:r w:rsidR="00B225C9" w:rsidRPr="00B225C9">
            <w:rPr>
              <w:noProof/>
              <w:sz w:val="20"/>
              <w:szCs w:val="20"/>
            </w:rPr>
            <w:t>(Baur &amp; Lucey, 2010)</w:t>
          </w:r>
          <w:r>
            <w:rPr>
              <w:sz w:val="20"/>
              <w:szCs w:val="20"/>
            </w:rPr>
            <w:fldChar w:fldCharType="end"/>
          </w:r>
        </w:sdtContent>
      </w:sdt>
      <w:r>
        <w:rPr>
          <w:sz w:val="20"/>
          <w:szCs w:val="20"/>
        </w:rPr>
        <w:t>, however, has seen an increased risk having 43% of the market’s volatility, with a positive correlation</w:t>
      </w:r>
      <w:r w:rsidR="00AA3C8A">
        <w:rPr>
          <w:sz w:val="20"/>
          <w:szCs w:val="20"/>
        </w:rPr>
        <w:t xml:space="preserve"> </w:t>
      </w:r>
      <w:r w:rsidR="00AA3C8A" w:rsidRPr="00AA3C8A">
        <w:rPr>
          <w:color w:val="0070C0"/>
          <w:sz w:val="20"/>
          <w:szCs w:val="20"/>
        </w:rPr>
        <w:t>when in 2019 it was 17.1%</w:t>
      </w:r>
      <w:r w:rsidR="00AA3C8A" w:rsidRPr="00AA3C8A">
        <w:rPr>
          <w:color w:val="0070C0"/>
          <w:sz w:val="20"/>
          <w:szCs w:val="20"/>
        </w:rPr>
        <w:t xml:space="preserve"> with a negative correlation</w:t>
      </w:r>
      <w:r>
        <w:rPr>
          <w:sz w:val="20"/>
          <w:szCs w:val="20"/>
        </w:rPr>
        <w:t xml:space="preserve">. More research would need to be done to try and determine why </w:t>
      </w:r>
      <w:r w:rsidR="00D20B3B">
        <w:rPr>
          <w:sz w:val="20"/>
          <w:szCs w:val="20"/>
        </w:rPr>
        <w:t>g</w:t>
      </w:r>
      <w:r>
        <w:rPr>
          <w:sz w:val="20"/>
          <w:szCs w:val="20"/>
        </w:rPr>
        <w:t>old industries have begun to move with the market during COVID-19.</w:t>
      </w:r>
    </w:p>
    <w:p w14:paraId="052A8C42" w14:textId="4C536A50" w:rsidR="00513185" w:rsidRDefault="00513185" w:rsidP="00942A8A">
      <w:pPr>
        <w:spacing w:before="10" w:after="10"/>
        <w:rPr>
          <w:sz w:val="20"/>
          <w:szCs w:val="20"/>
        </w:rPr>
      </w:pPr>
    </w:p>
    <w:p w14:paraId="37224A97" w14:textId="08E7383E" w:rsidR="00513185" w:rsidRDefault="00513185" w:rsidP="00942A8A">
      <w:pPr>
        <w:spacing w:before="10" w:after="10"/>
        <w:rPr>
          <w:b/>
          <w:bCs/>
          <w:sz w:val="20"/>
          <w:szCs w:val="20"/>
        </w:rPr>
      </w:pPr>
      <w:r>
        <w:rPr>
          <w:b/>
          <w:bCs/>
          <w:sz w:val="20"/>
          <w:szCs w:val="20"/>
        </w:rPr>
        <w:t>Could there be a link between essential businesses and volatility?</w:t>
      </w:r>
    </w:p>
    <w:p w14:paraId="29656523" w14:textId="161BDA21" w:rsidR="00513185" w:rsidRPr="00513185" w:rsidRDefault="00513185" w:rsidP="00942A8A">
      <w:pPr>
        <w:spacing w:before="10" w:after="10"/>
        <w:rPr>
          <w:sz w:val="20"/>
          <w:szCs w:val="20"/>
        </w:rPr>
      </w:pPr>
      <w:r>
        <w:rPr>
          <w:sz w:val="20"/>
          <w:szCs w:val="20"/>
        </w:rPr>
        <w:t>Restaurants’ volatility went from 102% to 163% of the market. This poses the question of how could lockdowns of specific industries like restaurants impact their market performance? Once again more research could be done.</w:t>
      </w:r>
    </w:p>
    <w:p w14:paraId="6EA10FFA" w14:textId="6ABAAC94" w:rsidR="00942A8A" w:rsidRDefault="0039336B" w:rsidP="003A421C">
      <w:pPr>
        <w:spacing w:before="10" w:after="10"/>
        <w:rPr>
          <w:sz w:val="20"/>
          <w:szCs w:val="20"/>
        </w:rPr>
      </w:pPr>
      <w:r>
        <w:rPr>
          <w:sz w:val="20"/>
          <w:szCs w:val="20"/>
        </w:rPr>
        <w:br/>
      </w:r>
      <w:r w:rsidRPr="0039336B">
        <w:rPr>
          <w:b/>
          <w:bCs/>
          <w:sz w:val="20"/>
          <w:szCs w:val="20"/>
        </w:rPr>
        <w:t>How could this study be extended</w:t>
      </w:r>
      <w:r w:rsidR="009B5CC4">
        <w:rPr>
          <w:b/>
          <w:bCs/>
          <w:sz w:val="20"/>
          <w:szCs w:val="20"/>
        </w:rPr>
        <w:t xml:space="preserve"> or improved</w:t>
      </w:r>
      <w:r w:rsidRPr="0039336B">
        <w:rPr>
          <w:b/>
          <w:bCs/>
          <w:sz w:val="20"/>
          <w:szCs w:val="20"/>
        </w:rPr>
        <w:t>?</w:t>
      </w:r>
      <w:r>
        <w:rPr>
          <w:sz w:val="20"/>
          <w:szCs w:val="20"/>
        </w:rPr>
        <w:t xml:space="preserve"> </w:t>
      </w:r>
      <w:r w:rsidR="00CC5B2E">
        <w:rPr>
          <w:sz w:val="20"/>
          <w:szCs w:val="20"/>
        </w:rPr>
        <w:tab/>
      </w:r>
    </w:p>
    <w:p w14:paraId="20A8A4C7" w14:textId="6CD337E2" w:rsidR="00022302" w:rsidRPr="00DC42E0" w:rsidRDefault="0039336B" w:rsidP="003A421C">
      <w:pPr>
        <w:spacing w:before="10" w:after="10"/>
        <w:rPr>
          <w:sz w:val="20"/>
          <w:szCs w:val="20"/>
        </w:rPr>
      </w:pPr>
      <w:r>
        <w:rPr>
          <w:sz w:val="20"/>
          <w:szCs w:val="20"/>
        </w:rPr>
        <w:t xml:space="preserve">Using the above method to compare industries during different time periods of the pandemic, comparing volatility for </w:t>
      </w:r>
      <w:r w:rsidRPr="00DC42E0">
        <w:rPr>
          <w:sz w:val="20"/>
          <w:szCs w:val="20"/>
        </w:rPr>
        <w:t>specific events rather than from the 19</w:t>
      </w:r>
      <w:r w:rsidRPr="00DC42E0">
        <w:rPr>
          <w:sz w:val="20"/>
          <w:szCs w:val="20"/>
          <w:vertAlign w:val="superscript"/>
        </w:rPr>
        <w:t>th</w:t>
      </w:r>
      <w:r w:rsidRPr="00DC42E0">
        <w:rPr>
          <w:sz w:val="20"/>
          <w:szCs w:val="20"/>
        </w:rPr>
        <w:t xml:space="preserve"> of March to the 26</w:t>
      </w:r>
      <w:r w:rsidRPr="00DC42E0">
        <w:rPr>
          <w:sz w:val="20"/>
          <w:szCs w:val="20"/>
          <w:vertAlign w:val="superscript"/>
        </w:rPr>
        <w:t>th</w:t>
      </w:r>
      <w:r w:rsidRPr="00DC42E0">
        <w:rPr>
          <w:sz w:val="20"/>
          <w:szCs w:val="20"/>
        </w:rPr>
        <w:t xml:space="preserve"> of May could give insight to how industries react to particular major events. For the scope of this study, however, the 9 week period gave enough data to compare</w:t>
      </w:r>
      <w:r w:rsidR="00942A8A" w:rsidRPr="00DC42E0">
        <w:rPr>
          <w:sz w:val="20"/>
          <w:szCs w:val="20"/>
        </w:rPr>
        <w:t xml:space="preserve"> the</w:t>
      </w:r>
      <w:r w:rsidRPr="00DC42E0">
        <w:rPr>
          <w:sz w:val="20"/>
          <w:szCs w:val="20"/>
        </w:rPr>
        <w:t xml:space="preserve"> majority of the global event against the previous year.</w:t>
      </w:r>
      <w:r w:rsidR="009B5CC4" w:rsidRPr="00DC42E0">
        <w:rPr>
          <w:sz w:val="20"/>
          <w:szCs w:val="20"/>
        </w:rPr>
        <w:t xml:space="preserve"> Comparing the data against past years and determining if the change in volatility for each industry is significant, or if it possibly part of some kind of pattern. The same method above could be used for many stocks across many markets. </w:t>
      </w:r>
      <w:r w:rsidR="00942A8A" w:rsidRPr="00DC42E0">
        <w:rPr>
          <w:sz w:val="20"/>
          <w:szCs w:val="20"/>
        </w:rPr>
        <w:t>For further insight,</w:t>
      </w:r>
      <w:r w:rsidR="009B5CC4" w:rsidRPr="00DC42E0">
        <w:rPr>
          <w:sz w:val="20"/>
          <w:szCs w:val="20"/>
        </w:rPr>
        <w:t xml:space="preserve"> every stock on the NASDAQ </w:t>
      </w:r>
      <w:r w:rsidR="00942A8A" w:rsidRPr="00DC42E0">
        <w:rPr>
          <w:sz w:val="20"/>
          <w:szCs w:val="20"/>
        </w:rPr>
        <w:t>could be added by using every</w:t>
      </w:r>
      <w:r w:rsidR="009B5CC4" w:rsidRPr="00DC42E0">
        <w:rPr>
          <w:sz w:val="20"/>
          <w:szCs w:val="20"/>
        </w:rPr>
        <w:t xml:space="preserve"> ticker symbol</w:t>
      </w:r>
      <w:r w:rsidR="00942A8A" w:rsidRPr="00DC42E0">
        <w:rPr>
          <w:sz w:val="20"/>
          <w:szCs w:val="20"/>
        </w:rPr>
        <w:t xml:space="preserve"> in the NASDAQ</w:t>
      </w:r>
      <w:r w:rsidR="009B5CC4" w:rsidRPr="00DC42E0">
        <w:rPr>
          <w:sz w:val="20"/>
          <w:szCs w:val="20"/>
        </w:rPr>
        <w:t xml:space="preserve"> and subsequently </w:t>
      </w:r>
      <w:r w:rsidR="00942A8A" w:rsidRPr="00DC42E0">
        <w:rPr>
          <w:sz w:val="20"/>
          <w:szCs w:val="20"/>
        </w:rPr>
        <w:t>categorising them, p</w:t>
      </w:r>
      <w:r w:rsidR="009B5CC4" w:rsidRPr="00DC42E0">
        <w:rPr>
          <w:sz w:val="20"/>
          <w:szCs w:val="20"/>
        </w:rPr>
        <w:t>roviding a larger dataset</w:t>
      </w:r>
      <w:r w:rsidR="00942A8A" w:rsidRPr="00DC42E0">
        <w:rPr>
          <w:sz w:val="20"/>
          <w:szCs w:val="20"/>
        </w:rPr>
        <w:t xml:space="preserve"> overall whilst including industries that are not in the S&amp;P500 which may provide important information.</w:t>
      </w:r>
    </w:p>
    <w:p w14:paraId="17AB50D4" w14:textId="77777777" w:rsidR="00942A8A" w:rsidRPr="00DC42E0" w:rsidRDefault="00942A8A" w:rsidP="003A421C">
      <w:pPr>
        <w:spacing w:before="10" w:after="10"/>
        <w:rPr>
          <w:sz w:val="20"/>
          <w:szCs w:val="20"/>
        </w:rPr>
      </w:pPr>
    </w:p>
    <w:p w14:paraId="6E4748ED" w14:textId="77777777" w:rsidR="00942A8A" w:rsidRPr="00DC42E0" w:rsidRDefault="0051788D" w:rsidP="003A421C">
      <w:pPr>
        <w:spacing w:before="10" w:after="10"/>
      </w:pPr>
      <w:r w:rsidRPr="00DC42E0">
        <w:rPr>
          <w:b/>
          <w:bCs/>
        </w:rPr>
        <w:t xml:space="preserve">Conclusion. </w:t>
      </w:r>
      <w:r w:rsidR="00022302" w:rsidRPr="00DC42E0">
        <w:tab/>
      </w:r>
    </w:p>
    <w:p w14:paraId="70F01A9A" w14:textId="30C02778" w:rsidR="00513185" w:rsidRPr="00DC42E0" w:rsidRDefault="00345EEB" w:rsidP="003A421C">
      <w:pPr>
        <w:spacing w:before="10" w:after="10"/>
        <w:rPr>
          <w:sz w:val="20"/>
          <w:szCs w:val="20"/>
        </w:rPr>
      </w:pPr>
      <w:r w:rsidRPr="00DC42E0">
        <w:rPr>
          <w:sz w:val="20"/>
          <w:szCs w:val="20"/>
        </w:rPr>
        <w:t xml:space="preserve">Every day </w:t>
      </w:r>
      <w:r w:rsidR="00FD26CF" w:rsidRPr="00DC42E0">
        <w:rPr>
          <w:sz w:val="20"/>
          <w:szCs w:val="20"/>
        </w:rPr>
        <w:t xml:space="preserve">COVID-19 </w:t>
      </w:r>
      <w:r w:rsidR="007F6145" w:rsidRPr="00DC42E0">
        <w:rPr>
          <w:sz w:val="20"/>
          <w:szCs w:val="20"/>
        </w:rPr>
        <w:t>creates new</w:t>
      </w:r>
      <w:r w:rsidR="00FD26CF" w:rsidRPr="00DC42E0">
        <w:rPr>
          <w:sz w:val="20"/>
          <w:szCs w:val="20"/>
        </w:rPr>
        <w:t xml:space="preserve"> speculation on </w:t>
      </w:r>
      <w:r w:rsidR="007F6145" w:rsidRPr="00DC42E0">
        <w:rPr>
          <w:sz w:val="20"/>
          <w:szCs w:val="20"/>
        </w:rPr>
        <w:t>how the market will perform.</w:t>
      </w:r>
      <w:r w:rsidR="00022302" w:rsidRPr="00DC42E0">
        <w:rPr>
          <w:sz w:val="20"/>
          <w:szCs w:val="20"/>
        </w:rPr>
        <w:t xml:space="preserve"> The change in stock volatility for unique sub-categories within the S&amp;P500 indicates that the pandemic has a larger effect on some industries than others.</w:t>
      </w:r>
      <w:r w:rsidR="0084591E" w:rsidRPr="00DC42E0">
        <w:rPr>
          <w:sz w:val="20"/>
          <w:szCs w:val="20"/>
        </w:rPr>
        <w:t xml:space="preserve"> </w:t>
      </w:r>
      <w:r w:rsidR="00DF7E98" w:rsidRPr="00DC42E0">
        <w:rPr>
          <w:sz w:val="20"/>
          <w:szCs w:val="20"/>
        </w:rPr>
        <w:t>Food Retail was the only industry with a</w:t>
      </w:r>
      <w:r w:rsidR="0039336B" w:rsidRPr="00DC42E0">
        <w:rPr>
          <w:sz w:val="20"/>
          <w:szCs w:val="20"/>
        </w:rPr>
        <w:t xml:space="preserve"> negative relationship </w:t>
      </w:r>
      <w:r w:rsidR="00942A8A" w:rsidRPr="00DC42E0">
        <w:rPr>
          <w:sz w:val="20"/>
          <w:szCs w:val="20"/>
        </w:rPr>
        <w:t>with</w:t>
      </w:r>
      <w:r w:rsidR="0039336B" w:rsidRPr="00DC42E0">
        <w:rPr>
          <w:sz w:val="20"/>
          <w:szCs w:val="20"/>
        </w:rPr>
        <w:t xml:space="preserve"> the market.</w:t>
      </w:r>
      <w:r w:rsidR="00DC42E0" w:rsidRPr="00DC42E0">
        <w:rPr>
          <w:sz w:val="20"/>
          <w:szCs w:val="20"/>
        </w:rPr>
        <w:t xml:space="preserve">. </w:t>
      </w:r>
      <w:r w:rsidR="00DC42E0" w:rsidRPr="00DC42E0">
        <w:rPr>
          <w:sz w:val="20"/>
          <w:szCs w:val="20"/>
        </w:rPr>
        <w:t>The volatilit</w:t>
      </w:r>
      <w:r w:rsidR="00DC42E0" w:rsidRPr="00DC42E0">
        <w:rPr>
          <w:sz w:val="20"/>
          <w:szCs w:val="20"/>
        </w:rPr>
        <w:t xml:space="preserve">ies </w:t>
      </w:r>
      <w:r w:rsidR="00DC42E0" w:rsidRPr="00DC42E0">
        <w:rPr>
          <w:sz w:val="20"/>
          <w:szCs w:val="20"/>
        </w:rPr>
        <w:t>ha</w:t>
      </w:r>
      <w:r w:rsidR="00DC42E0" w:rsidRPr="00DC42E0">
        <w:rPr>
          <w:sz w:val="20"/>
          <w:szCs w:val="20"/>
        </w:rPr>
        <w:t>ve</w:t>
      </w:r>
      <w:r w:rsidR="00DC42E0" w:rsidRPr="00DC42E0">
        <w:rPr>
          <w:sz w:val="20"/>
          <w:szCs w:val="20"/>
        </w:rPr>
        <w:t xml:space="preserve"> changed, but only for a portion of industries</w:t>
      </w:r>
      <w:r w:rsidR="00DC42E0">
        <w:rPr>
          <w:sz w:val="20"/>
          <w:szCs w:val="20"/>
        </w:rPr>
        <w:t>.</w:t>
      </w:r>
      <w:r w:rsidR="00DC42E0" w:rsidRPr="00DC42E0">
        <w:rPr>
          <w:sz w:val="20"/>
          <w:szCs w:val="20"/>
        </w:rPr>
        <w:t xml:space="preserve"> </w:t>
      </w:r>
      <w:r w:rsidR="00536D4C" w:rsidRPr="00DC42E0">
        <w:rPr>
          <w:sz w:val="20"/>
          <w:szCs w:val="20"/>
        </w:rPr>
        <w:t xml:space="preserve">Some industries maintained similar volatility </w:t>
      </w:r>
      <w:r w:rsidR="00536D4C" w:rsidRPr="006A597D">
        <w:rPr>
          <w:color w:val="0070C0"/>
          <w:sz w:val="20"/>
          <w:szCs w:val="20"/>
        </w:rPr>
        <w:t xml:space="preserve">to </w:t>
      </w:r>
      <w:r w:rsidR="006A597D" w:rsidRPr="006A597D">
        <w:rPr>
          <w:color w:val="0070C0"/>
          <w:sz w:val="20"/>
          <w:szCs w:val="20"/>
        </w:rPr>
        <w:t>2019</w:t>
      </w:r>
      <w:r w:rsidR="006A597D">
        <w:rPr>
          <w:sz w:val="20"/>
          <w:szCs w:val="20"/>
        </w:rPr>
        <w:t xml:space="preserve">. </w:t>
      </w:r>
      <w:r w:rsidR="00A2722A" w:rsidRPr="00573193">
        <w:rPr>
          <w:color w:val="4472C4" w:themeColor="accent1"/>
          <w:sz w:val="20"/>
          <w:szCs w:val="20"/>
        </w:rPr>
        <w:t>I would recommend that future research be done that gives an explanation to the changes in market behaviour and how to mitigate any issues that it may be causing.</w:t>
      </w:r>
      <w:r w:rsidR="00A2722A">
        <w:rPr>
          <w:color w:val="4472C4" w:themeColor="accent1"/>
          <w:sz w:val="20"/>
          <w:szCs w:val="20"/>
        </w:rPr>
        <w:t xml:space="preserve"> </w:t>
      </w:r>
      <w:r w:rsidR="00942A8A" w:rsidRPr="00DC42E0">
        <w:rPr>
          <w:sz w:val="20"/>
          <w:szCs w:val="20"/>
        </w:rPr>
        <w:t>These findings offer an insight that could be significant in deciding economic policy and could also help future researchers to evaluate the effects that COVID-19 has had on specific industries.</w:t>
      </w:r>
      <w:r w:rsidR="00573193">
        <w:rPr>
          <w:sz w:val="20"/>
          <w:szCs w:val="20"/>
        </w:rPr>
        <w:t xml:space="preserve"> </w:t>
      </w:r>
    </w:p>
    <w:p w14:paraId="4AF52FE8" w14:textId="72F9B70B" w:rsidR="007E37F0" w:rsidRPr="00DC42E0" w:rsidRDefault="0051788D" w:rsidP="003A421C">
      <w:pPr>
        <w:spacing w:before="10" w:after="10"/>
        <w:rPr>
          <w:sz w:val="20"/>
          <w:szCs w:val="20"/>
        </w:rPr>
      </w:pPr>
      <w:r w:rsidRPr="00DC42E0">
        <w:rPr>
          <w:b/>
          <w:bCs/>
          <w:sz w:val="22"/>
          <w:szCs w:val="22"/>
        </w:rPr>
        <w:lastRenderedPageBreak/>
        <w:t xml:space="preserve">Bibliography. </w:t>
      </w:r>
    </w:p>
    <w:sdt>
      <w:sdtPr>
        <w:rPr>
          <w:rFonts w:ascii="Times New Roman" w:eastAsia="Times New Roman" w:hAnsi="Times New Roman" w:cs="Times New Roman"/>
          <w:b w:val="0"/>
          <w:bCs w:val="0"/>
          <w:color w:val="auto"/>
          <w:sz w:val="24"/>
          <w:szCs w:val="24"/>
          <w:lang w:val="en-AU" w:eastAsia="en-GB" w:bidi="ar-SA"/>
        </w:rPr>
        <w:id w:val="69002894"/>
        <w:docPartObj>
          <w:docPartGallery w:val="Bibliographies"/>
          <w:docPartUnique/>
        </w:docPartObj>
      </w:sdtPr>
      <w:sdtEndPr/>
      <w:sdtContent>
        <w:p w14:paraId="6515B316" w14:textId="4CBE5F9D" w:rsidR="00351C72" w:rsidRPr="004F2ADC" w:rsidRDefault="00351C72" w:rsidP="003A421C">
          <w:pPr>
            <w:pStyle w:val="Heading1"/>
            <w:spacing w:before="10" w:after="10" w:line="240" w:lineRule="auto"/>
            <w:rPr>
              <w:rFonts w:ascii="Times New Roman" w:hAnsi="Times New Roman" w:cs="Times New Roman"/>
              <w:sz w:val="20"/>
              <w:szCs w:val="20"/>
            </w:rPr>
          </w:pPr>
        </w:p>
        <w:sdt>
          <w:sdtPr>
            <w:rPr>
              <w:sz w:val="20"/>
              <w:szCs w:val="20"/>
            </w:rPr>
            <w:id w:val="111145805"/>
            <w:bibliography/>
          </w:sdtPr>
          <w:sdtEndPr>
            <w:rPr>
              <w:sz w:val="24"/>
              <w:szCs w:val="24"/>
            </w:rPr>
          </w:sdtEndPr>
          <w:sdtContent>
            <w:p w14:paraId="0013939F" w14:textId="203E3195" w:rsidR="00B225C9" w:rsidRPr="004F2ADC" w:rsidRDefault="00351C72" w:rsidP="00B225C9">
              <w:pPr>
                <w:pStyle w:val="Bibliography"/>
                <w:ind w:left="720" w:hanging="720"/>
                <w:rPr>
                  <w:noProof/>
                  <w:sz w:val="20"/>
                  <w:szCs w:val="20"/>
                </w:rPr>
              </w:pPr>
              <w:r w:rsidRPr="004F2ADC">
                <w:rPr>
                  <w:sz w:val="20"/>
                  <w:szCs w:val="20"/>
                </w:rPr>
                <w:fldChar w:fldCharType="begin"/>
              </w:r>
              <w:r w:rsidRPr="004F2ADC">
                <w:rPr>
                  <w:sz w:val="20"/>
                  <w:szCs w:val="20"/>
                </w:rPr>
                <w:instrText xml:space="preserve"> BIBLIOGRAPHY </w:instrText>
              </w:r>
              <w:r w:rsidRPr="004F2ADC">
                <w:rPr>
                  <w:sz w:val="20"/>
                  <w:szCs w:val="20"/>
                </w:rPr>
                <w:fldChar w:fldCharType="separate"/>
              </w:r>
              <w:r w:rsidR="00B225C9" w:rsidRPr="004F2ADC">
                <w:rPr>
                  <w:noProof/>
                  <w:sz w:val="20"/>
                  <w:szCs w:val="20"/>
                </w:rPr>
                <w:t xml:space="preserve">Albulescu, C. (2020). </w:t>
              </w:r>
              <w:r w:rsidR="00B225C9" w:rsidRPr="004F2ADC">
                <w:rPr>
                  <w:i/>
                  <w:iCs/>
                  <w:noProof/>
                  <w:sz w:val="20"/>
                  <w:szCs w:val="20"/>
                </w:rPr>
                <w:t>Coronavirus and Oil Price Crash.</w:t>
              </w:r>
              <w:r w:rsidR="00B225C9" w:rsidRPr="004F2ADC">
                <w:rPr>
                  <w:noProof/>
                  <w:sz w:val="20"/>
                  <w:szCs w:val="20"/>
                </w:rPr>
                <w:t xml:space="preserve"> University of Timisoara.</w:t>
              </w:r>
              <w:r w:rsidR="006E3BCC" w:rsidRPr="004F2ADC">
                <w:rPr>
                  <w:sz w:val="20"/>
                  <w:szCs w:val="20"/>
                </w:rPr>
                <w:t xml:space="preserve"> Retrieved from </w:t>
              </w:r>
              <w:r w:rsidR="006E3BCC" w:rsidRPr="004F2ADC">
                <w:rPr>
                  <w:noProof/>
                  <w:color w:val="4472C4" w:themeColor="accent1"/>
                  <w:sz w:val="20"/>
                  <w:szCs w:val="20"/>
                </w:rPr>
                <w:t>https://www.researchgate.net/publication/339946321_Coronavirus_and_oil_price_crash_A_note</w:t>
              </w:r>
            </w:p>
            <w:p w14:paraId="0A12E45A" w14:textId="77777777" w:rsidR="00B225C9" w:rsidRPr="004F2ADC" w:rsidRDefault="00B225C9" w:rsidP="00B225C9">
              <w:pPr>
                <w:pStyle w:val="Bibliography"/>
                <w:ind w:left="720" w:hanging="720"/>
                <w:rPr>
                  <w:noProof/>
                  <w:sz w:val="20"/>
                  <w:szCs w:val="20"/>
                </w:rPr>
              </w:pPr>
              <w:r w:rsidRPr="004F2ADC">
                <w:rPr>
                  <w:noProof/>
                  <w:sz w:val="20"/>
                  <w:szCs w:val="20"/>
                </w:rPr>
                <w:t xml:space="preserve">Baur, D. G., &amp; Lucey, B. M. (2010). Is Gold a Hedge or a Safe Haven? An Analysis of Stocks, Bonds and Gold. </w:t>
              </w:r>
              <w:r w:rsidRPr="004F2ADC">
                <w:rPr>
                  <w:i/>
                  <w:iCs/>
                  <w:noProof/>
                  <w:sz w:val="20"/>
                  <w:szCs w:val="20"/>
                </w:rPr>
                <w:t>Financial Review</w:t>
              </w:r>
              <w:r w:rsidRPr="004F2ADC">
                <w:rPr>
                  <w:noProof/>
                  <w:sz w:val="20"/>
                  <w:szCs w:val="20"/>
                </w:rPr>
                <w:t>, 217-229.</w:t>
              </w:r>
            </w:p>
            <w:p w14:paraId="11CEFCE8" w14:textId="18171378" w:rsidR="00B225C9" w:rsidRPr="00465A84" w:rsidRDefault="00B225C9" w:rsidP="00B225C9">
              <w:pPr>
                <w:pStyle w:val="Bibliography"/>
                <w:ind w:left="720" w:hanging="720"/>
                <w:rPr>
                  <w:noProof/>
                  <w:color w:val="4472C4" w:themeColor="accent1"/>
                  <w:sz w:val="20"/>
                  <w:szCs w:val="20"/>
                </w:rPr>
              </w:pPr>
              <w:r w:rsidRPr="004F2ADC">
                <w:rPr>
                  <w:noProof/>
                  <w:sz w:val="20"/>
                  <w:szCs w:val="20"/>
                </w:rPr>
                <w:t xml:space="preserve">Calfas, J., Stancati, M., &amp; Yap, C.-W. (2020, March 19). </w:t>
              </w:r>
              <w:r w:rsidRPr="004F2ADC">
                <w:rPr>
                  <w:i/>
                  <w:iCs/>
                  <w:noProof/>
                  <w:sz w:val="20"/>
                  <w:szCs w:val="20"/>
                </w:rPr>
                <w:t>California Orders Lockdown for State’s 40 Million Residents</w:t>
              </w:r>
              <w:r w:rsidRPr="004F2ADC">
                <w:rPr>
                  <w:noProof/>
                  <w:sz w:val="20"/>
                  <w:szCs w:val="20"/>
                </w:rPr>
                <w:t>. Retrieved from Wall Street Journal: https://www.wsj.com/articles/china-reports-no-new-domestic-coronavirus-infections-for-the-first-time-since-outbreak-started-11584611233</w:t>
              </w:r>
              <w:r w:rsidR="00465A84">
                <w:rPr>
                  <w:noProof/>
                  <w:sz w:val="20"/>
                  <w:szCs w:val="20"/>
                </w:rPr>
                <w:t xml:space="preserve"> </w:t>
              </w:r>
              <w:r w:rsidR="00465A84">
                <w:rPr>
                  <w:noProof/>
                  <w:color w:val="4472C4" w:themeColor="accent1"/>
                  <w:sz w:val="20"/>
                  <w:szCs w:val="20"/>
                </w:rPr>
                <w:t>accessed on 15/5/2020.</w:t>
              </w:r>
            </w:p>
            <w:p w14:paraId="4CC917DB" w14:textId="7AB38554" w:rsidR="00B225C9" w:rsidRPr="004F2ADC" w:rsidRDefault="00B225C9" w:rsidP="00B225C9">
              <w:pPr>
                <w:pStyle w:val="Bibliography"/>
                <w:ind w:left="720" w:hanging="720"/>
                <w:rPr>
                  <w:noProof/>
                  <w:sz w:val="20"/>
                  <w:szCs w:val="20"/>
                </w:rPr>
              </w:pPr>
              <w:r w:rsidRPr="004F2ADC">
                <w:rPr>
                  <w:noProof/>
                  <w:sz w:val="20"/>
                  <w:szCs w:val="20"/>
                </w:rPr>
                <w:t xml:space="preserve">Coibion, O., Gorodnichenko, Y., &amp; Weber, M. (2020). </w:t>
              </w:r>
              <w:r w:rsidRPr="004F2ADC">
                <w:rPr>
                  <w:i/>
                  <w:iCs/>
                  <w:noProof/>
                  <w:sz w:val="20"/>
                  <w:szCs w:val="20"/>
                </w:rPr>
                <w:t>Labor Markets During the COVID-19 Crisis: A Preliminary View.</w:t>
              </w:r>
              <w:r w:rsidRPr="004F2ADC">
                <w:rPr>
                  <w:noProof/>
                  <w:sz w:val="20"/>
                  <w:szCs w:val="20"/>
                </w:rPr>
                <w:t xml:space="preserve"> National Bureau of Economic Research.</w:t>
              </w:r>
              <w:r w:rsidR="00436389">
                <w:rPr>
                  <w:noProof/>
                  <w:sz w:val="20"/>
                  <w:szCs w:val="20"/>
                </w:rPr>
                <w:t xml:space="preserve"> Retrieved at </w:t>
              </w:r>
              <w:r w:rsidR="00436389" w:rsidRPr="00436389">
                <w:rPr>
                  <w:noProof/>
                  <w:sz w:val="20"/>
                  <w:szCs w:val="20"/>
                </w:rPr>
                <w:t>https://ideas.repec.org/p/ces/ceswps/_8238.html</w:t>
              </w:r>
            </w:p>
            <w:p w14:paraId="59A51075" w14:textId="0A975D25" w:rsidR="00B225C9" w:rsidRPr="00465A84" w:rsidRDefault="00B225C9" w:rsidP="00B225C9">
              <w:pPr>
                <w:pStyle w:val="Bibliography"/>
                <w:ind w:left="720" w:hanging="720"/>
                <w:rPr>
                  <w:noProof/>
                  <w:color w:val="4472C4" w:themeColor="accent1"/>
                  <w:sz w:val="20"/>
                  <w:szCs w:val="20"/>
                </w:rPr>
              </w:pPr>
              <w:r w:rsidRPr="004F2ADC">
                <w:rPr>
                  <w:noProof/>
                  <w:sz w:val="20"/>
                  <w:szCs w:val="20"/>
                </w:rPr>
                <w:t xml:space="preserve">Corporate Finance Institute. (2015). </w:t>
              </w:r>
              <w:r w:rsidRPr="004F2ADC">
                <w:rPr>
                  <w:i/>
                  <w:iCs/>
                  <w:noProof/>
                  <w:sz w:val="20"/>
                  <w:szCs w:val="20"/>
                </w:rPr>
                <w:t>What is beta guide</w:t>
              </w:r>
              <w:r w:rsidRPr="004F2ADC">
                <w:rPr>
                  <w:noProof/>
                  <w:sz w:val="20"/>
                  <w:szCs w:val="20"/>
                </w:rPr>
                <w:t>. Retrieved from Corperate Finance Institute: https://corporatefinanceinstitute.com/resources/knowledge/valuation/what-is-beta-guide/</w:t>
              </w:r>
              <w:r w:rsidR="00465A84">
                <w:rPr>
                  <w:noProof/>
                  <w:sz w:val="20"/>
                  <w:szCs w:val="20"/>
                </w:rPr>
                <w:t xml:space="preserve"> </w:t>
              </w:r>
              <w:r w:rsidR="00465A84" w:rsidRPr="00465A84">
                <w:rPr>
                  <w:noProof/>
                  <w:color w:val="4472C4" w:themeColor="accent1"/>
                  <w:sz w:val="20"/>
                  <w:szCs w:val="20"/>
                </w:rPr>
                <w:t>on 12/5/2020</w:t>
              </w:r>
            </w:p>
            <w:p w14:paraId="2C752F59" w14:textId="138FAAFB" w:rsidR="00B225C9" w:rsidRPr="00465A84" w:rsidRDefault="00B225C9" w:rsidP="00B225C9">
              <w:pPr>
                <w:pStyle w:val="Bibliography"/>
                <w:ind w:left="720" w:hanging="720"/>
                <w:rPr>
                  <w:noProof/>
                  <w:color w:val="4472C4" w:themeColor="accent1"/>
                  <w:sz w:val="20"/>
                  <w:szCs w:val="20"/>
                </w:rPr>
              </w:pPr>
              <w:r w:rsidRPr="004F2ADC">
                <w:rPr>
                  <w:noProof/>
                  <w:sz w:val="20"/>
                  <w:szCs w:val="20"/>
                </w:rPr>
                <w:t xml:space="preserve">Economic Times. (2020, April 25). </w:t>
              </w:r>
              <w:r w:rsidRPr="004F2ADC">
                <w:rPr>
                  <w:i/>
                  <w:iCs/>
                  <w:noProof/>
                  <w:sz w:val="20"/>
                  <w:szCs w:val="20"/>
                </w:rPr>
                <w:t>US states begin easing lockdowns as virus weakens in Asia Read more at: https://economictimes.indiatimes.com/news/international/world-news/us-states-begin-easing-lockdowns-as-virus-weakens-in-asia/articleshow/75370662.cms?utm_source=contentofinterest&amp;ut.</w:t>
              </w:r>
              <w:r w:rsidRPr="004F2ADC">
                <w:rPr>
                  <w:noProof/>
                  <w:sz w:val="20"/>
                  <w:szCs w:val="20"/>
                </w:rPr>
                <w:t xml:space="preserve"> Retrieved from The Economic Times: https://economictimes.indiatimes.com/news/international/world-news/us-states-begin-easing-lockdowns-as-virus-weakens-in-asia/articleshow/75370662.cms</w:t>
              </w:r>
              <w:r w:rsidR="00465A84">
                <w:rPr>
                  <w:noProof/>
                  <w:sz w:val="20"/>
                  <w:szCs w:val="20"/>
                </w:rPr>
                <w:t xml:space="preserve"> </w:t>
              </w:r>
              <w:r w:rsidR="00465A84" w:rsidRPr="00465A84">
                <w:rPr>
                  <w:noProof/>
                  <w:color w:val="4472C4" w:themeColor="accent1"/>
                  <w:sz w:val="20"/>
                  <w:szCs w:val="20"/>
                </w:rPr>
                <w:t xml:space="preserve">accessed on </w:t>
              </w:r>
              <w:r w:rsidR="00465A84">
                <w:rPr>
                  <w:noProof/>
                  <w:color w:val="4472C4" w:themeColor="accent1"/>
                  <w:sz w:val="20"/>
                  <w:szCs w:val="20"/>
                </w:rPr>
                <w:t>25/5/2020</w:t>
              </w:r>
            </w:p>
            <w:p w14:paraId="26A630D1" w14:textId="433D4629" w:rsidR="00B225C9" w:rsidRPr="004F2ADC" w:rsidRDefault="00B225C9" w:rsidP="00B225C9">
              <w:pPr>
                <w:pStyle w:val="Bibliography"/>
                <w:ind w:left="720" w:hanging="720"/>
                <w:rPr>
                  <w:noProof/>
                  <w:sz w:val="20"/>
                  <w:szCs w:val="20"/>
                </w:rPr>
              </w:pPr>
              <w:r w:rsidRPr="004F2ADC">
                <w:rPr>
                  <w:noProof/>
                  <w:sz w:val="20"/>
                  <w:szCs w:val="20"/>
                </w:rPr>
                <w:t xml:space="preserve">Fidelity Investments. (2019). </w:t>
              </w:r>
              <w:r w:rsidR="006E3BCC" w:rsidRPr="004F2ADC">
                <w:rPr>
                  <w:i/>
                  <w:iCs/>
                  <w:noProof/>
                  <w:sz w:val="20"/>
                  <w:szCs w:val="20"/>
                </w:rPr>
                <w:t>Fidelity® 2019 Retirement Analysis: A Record Number Of People Boost Their Savings Rate In Q2 As Average Account Balances Continue To Increase</w:t>
              </w:r>
              <w:r w:rsidRPr="004F2ADC">
                <w:rPr>
                  <w:i/>
                  <w:iCs/>
                  <w:noProof/>
                  <w:sz w:val="20"/>
                  <w:szCs w:val="20"/>
                </w:rPr>
                <w:t>.</w:t>
              </w:r>
              <w:r w:rsidRPr="004F2ADC">
                <w:rPr>
                  <w:noProof/>
                  <w:sz w:val="20"/>
                  <w:szCs w:val="20"/>
                </w:rPr>
                <w:t xml:space="preserve"> Smithfield: Fidelity Investments.</w:t>
              </w:r>
            </w:p>
            <w:p w14:paraId="50AB8057" w14:textId="76C7E249" w:rsidR="00B225C9" w:rsidRPr="00465A84" w:rsidRDefault="00B225C9" w:rsidP="00B225C9">
              <w:pPr>
                <w:pStyle w:val="Bibliography"/>
                <w:ind w:left="720" w:hanging="720"/>
                <w:rPr>
                  <w:noProof/>
                  <w:color w:val="4472C4" w:themeColor="accent1"/>
                  <w:sz w:val="20"/>
                  <w:szCs w:val="20"/>
                </w:rPr>
              </w:pPr>
              <w:r w:rsidRPr="004F2ADC">
                <w:rPr>
                  <w:noProof/>
                  <w:sz w:val="20"/>
                  <w:szCs w:val="20"/>
                </w:rPr>
                <w:t xml:space="preserve">Garnett. (2020, May 27). </w:t>
              </w:r>
              <w:r w:rsidRPr="004F2ADC">
                <w:rPr>
                  <w:i/>
                  <w:iCs/>
                  <w:noProof/>
                  <w:sz w:val="20"/>
                  <w:szCs w:val="20"/>
                </w:rPr>
                <w:t>Map of when US states are ending lockdown</w:t>
              </w:r>
              <w:r w:rsidRPr="004F2ADC">
                <w:rPr>
                  <w:noProof/>
                  <w:sz w:val="20"/>
                  <w:szCs w:val="20"/>
                </w:rPr>
                <w:t>. Retrieved from USA Today: https://www.usatoday.com/storytelling/coronavirus-reopening-america-map/</w:t>
              </w:r>
              <w:r w:rsidR="00465A84">
                <w:rPr>
                  <w:noProof/>
                  <w:sz w:val="20"/>
                  <w:szCs w:val="20"/>
                </w:rPr>
                <w:t xml:space="preserve"> </w:t>
              </w:r>
              <w:r w:rsidR="00465A84">
                <w:rPr>
                  <w:noProof/>
                  <w:color w:val="4472C4" w:themeColor="accent1"/>
                  <w:sz w:val="20"/>
                  <w:szCs w:val="20"/>
                </w:rPr>
                <w:t>on 18/5/2020</w:t>
              </w:r>
            </w:p>
            <w:p w14:paraId="4C7B650C" w14:textId="0421A514" w:rsidR="00675D3E" w:rsidRDefault="00675D3E" w:rsidP="00675D3E">
              <w:pPr>
                <w:rPr>
                  <w:i/>
                  <w:iCs/>
                  <w:sz w:val="20"/>
                  <w:szCs w:val="20"/>
                  <w:lang w:val="en-US"/>
                </w:rPr>
              </w:pPr>
              <w:r w:rsidRPr="00675D3E">
                <w:rPr>
                  <w:sz w:val="20"/>
                  <w:szCs w:val="20"/>
                  <w:lang w:val="en-US"/>
                </w:rPr>
                <w:t xml:space="preserve">Grabowski, R. J., &amp; Pratt, S. P. (2014, March). </w:t>
              </w:r>
              <w:r w:rsidRPr="00675D3E">
                <w:rPr>
                  <w:i/>
                  <w:iCs/>
                  <w:sz w:val="20"/>
                  <w:szCs w:val="20"/>
                  <w:lang w:val="en-US"/>
                </w:rPr>
                <w:t>Examples of Computing OLS Beta, Sum Beta, and Full</w:t>
              </w:r>
              <w:r>
                <w:rPr>
                  <w:i/>
                  <w:iCs/>
                  <w:sz w:val="20"/>
                  <w:szCs w:val="20"/>
                  <w:lang w:val="en-US"/>
                </w:rPr>
                <w:t xml:space="preserve"> </w:t>
              </w:r>
              <w:r w:rsidRPr="00675D3E">
                <w:rPr>
                  <w:i/>
                  <w:iCs/>
                  <w:sz w:val="20"/>
                  <w:szCs w:val="20"/>
                  <w:lang w:val="en-US"/>
                </w:rPr>
                <w:t xml:space="preserve">information Beta </w:t>
              </w:r>
            </w:p>
            <w:p w14:paraId="19C6949C" w14:textId="033A5E27" w:rsidR="00675D3E" w:rsidRPr="00675D3E" w:rsidRDefault="00675D3E" w:rsidP="00675D3E">
              <w:pPr>
                <w:rPr>
                  <w:sz w:val="20"/>
                  <w:szCs w:val="20"/>
                  <w:lang w:val="en-US"/>
                </w:rPr>
              </w:pPr>
              <w:r>
                <w:rPr>
                  <w:i/>
                  <w:iCs/>
                  <w:sz w:val="20"/>
                  <w:szCs w:val="20"/>
                  <w:lang w:val="en-US"/>
                </w:rPr>
                <w:tab/>
              </w:r>
              <w:r w:rsidRPr="00675D3E">
                <w:rPr>
                  <w:i/>
                  <w:iCs/>
                  <w:sz w:val="20"/>
                  <w:szCs w:val="20"/>
                  <w:lang w:val="en-US"/>
                </w:rPr>
                <w:t>Estimates.</w:t>
              </w:r>
              <w:r w:rsidRPr="00675D3E">
                <w:rPr>
                  <w:sz w:val="20"/>
                  <w:szCs w:val="20"/>
                  <w:lang w:val="en-US"/>
                </w:rPr>
                <w:t xml:space="preserve"> Retrieved from Wiley Online Library:</w:t>
              </w:r>
              <w:r>
                <w:rPr>
                  <w:sz w:val="20"/>
                  <w:szCs w:val="20"/>
                  <w:lang w:val="en-US"/>
                </w:rPr>
                <w:tab/>
              </w:r>
              <w:r w:rsidRPr="00675D3E">
                <w:rPr>
                  <w:sz w:val="20"/>
                  <w:szCs w:val="20"/>
                  <w:lang w:val="en-US"/>
                </w:rPr>
                <w:t>https://onlinelibrary.wiley.com/doi/10.1002/9781118846780.ch11a</w:t>
              </w:r>
            </w:p>
            <w:p w14:paraId="5E676F35" w14:textId="77777777" w:rsidR="00B225C9" w:rsidRPr="004F2ADC" w:rsidRDefault="00B225C9" w:rsidP="00B225C9">
              <w:pPr>
                <w:pStyle w:val="Bibliography"/>
                <w:ind w:left="720" w:hanging="720"/>
                <w:rPr>
                  <w:noProof/>
                  <w:sz w:val="20"/>
                  <w:szCs w:val="20"/>
                </w:rPr>
              </w:pPr>
              <w:r w:rsidRPr="004F2ADC">
                <w:rPr>
                  <w:noProof/>
                  <w:sz w:val="20"/>
                  <w:szCs w:val="20"/>
                </w:rPr>
                <w:t xml:space="preserve">Hayo, B., Kutan, A. M., &amp; Neuenkirch, M. (2012). Communication matters: US monetary policy and commodity price volatility. </w:t>
              </w:r>
              <w:r w:rsidRPr="004F2ADC">
                <w:rPr>
                  <w:i/>
                  <w:iCs/>
                  <w:noProof/>
                  <w:sz w:val="20"/>
                  <w:szCs w:val="20"/>
                </w:rPr>
                <w:t>Economic Letters</w:t>
              </w:r>
              <w:r w:rsidRPr="004F2ADC">
                <w:rPr>
                  <w:noProof/>
                  <w:sz w:val="20"/>
                  <w:szCs w:val="20"/>
                </w:rPr>
                <w:t>.</w:t>
              </w:r>
            </w:p>
            <w:p w14:paraId="412229C8" w14:textId="4C4B8A91" w:rsidR="00B225C9" w:rsidRPr="0059064B" w:rsidRDefault="00B225C9" w:rsidP="00B225C9">
              <w:pPr>
                <w:pStyle w:val="Bibliography"/>
                <w:ind w:left="720" w:hanging="720"/>
                <w:rPr>
                  <w:noProof/>
                  <w:color w:val="4472C4" w:themeColor="accent1"/>
                  <w:sz w:val="20"/>
                  <w:szCs w:val="20"/>
                </w:rPr>
              </w:pPr>
              <w:r w:rsidRPr="004F2ADC">
                <w:rPr>
                  <w:noProof/>
                  <w:sz w:val="20"/>
                  <w:szCs w:val="20"/>
                </w:rPr>
                <w:t xml:space="preserve">Hrazdil, K., Trottier, K., &amp; Zhang, R. (2013). A comparison of industry classification schemes: A large sample study. </w:t>
              </w:r>
              <w:r w:rsidRPr="004F2ADC">
                <w:rPr>
                  <w:i/>
                  <w:iCs/>
                  <w:noProof/>
                  <w:sz w:val="20"/>
                  <w:szCs w:val="20"/>
                </w:rPr>
                <w:t>Economic Letters</w:t>
              </w:r>
              <w:r w:rsidR="0059064B">
                <w:rPr>
                  <w:noProof/>
                  <w:sz w:val="20"/>
                  <w:szCs w:val="20"/>
                </w:rPr>
                <w:t xml:space="preserve">, </w:t>
              </w:r>
              <w:r w:rsidR="0059064B">
                <w:rPr>
                  <w:noProof/>
                  <w:color w:val="4472C4" w:themeColor="accent1"/>
                  <w:sz w:val="20"/>
                  <w:szCs w:val="20"/>
                </w:rPr>
                <w:t>77-80.</w:t>
              </w:r>
            </w:p>
            <w:p w14:paraId="56A9BC37" w14:textId="5BEF0A71" w:rsidR="00B225C9" w:rsidRDefault="00B225C9" w:rsidP="00B225C9">
              <w:pPr>
                <w:pStyle w:val="Bibliography"/>
                <w:ind w:left="720" w:hanging="720"/>
                <w:rPr>
                  <w:noProof/>
                  <w:color w:val="4472C4" w:themeColor="accent1"/>
                  <w:sz w:val="20"/>
                  <w:szCs w:val="20"/>
                </w:rPr>
              </w:pPr>
              <w:r w:rsidRPr="004F2ADC">
                <w:rPr>
                  <w:i/>
                  <w:iCs/>
                  <w:noProof/>
                  <w:sz w:val="20"/>
                  <w:szCs w:val="20"/>
                </w:rPr>
                <w:t>List of S&amp;P 500 companies</w:t>
              </w:r>
              <w:r w:rsidRPr="004F2ADC">
                <w:rPr>
                  <w:noProof/>
                  <w:sz w:val="20"/>
                  <w:szCs w:val="20"/>
                </w:rPr>
                <w:t>. (2020, 5 25). Retrieved from Wikipedia: https://en.wikipedia.org/wiki/List_of_S%26P_500_companies</w:t>
              </w:r>
              <w:r w:rsidR="00465A84" w:rsidRPr="00465A84">
                <w:rPr>
                  <w:noProof/>
                  <w:color w:val="4472C4" w:themeColor="accent1"/>
                  <w:sz w:val="20"/>
                  <w:szCs w:val="20"/>
                </w:rPr>
                <w:t xml:space="preserve"> accessed on 25</w:t>
              </w:r>
              <w:r w:rsidR="0059064B">
                <w:rPr>
                  <w:noProof/>
                  <w:color w:val="4472C4" w:themeColor="accent1"/>
                  <w:sz w:val="20"/>
                  <w:szCs w:val="20"/>
                </w:rPr>
                <w:t>/5/</w:t>
              </w:r>
              <w:r w:rsidR="00465A84" w:rsidRPr="00465A84">
                <w:rPr>
                  <w:noProof/>
                  <w:color w:val="4472C4" w:themeColor="accent1"/>
                  <w:sz w:val="20"/>
                  <w:szCs w:val="20"/>
                </w:rPr>
                <w:t>020 and 2</w:t>
              </w:r>
              <w:r w:rsidR="0059064B">
                <w:rPr>
                  <w:noProof/>
                  <w:color w:val="4472C4" w:themeColor="accent1"/>
                  <w:sz w:val="20"/>
                  <w:szCs w:val="20"/>
                </w:rPr>
                <w:t>5/5/</w:t>
              </w:r>
              <w:r w:rsidR="00465A84" w:rsidRPr="00465A84">
                <w:rPr>
                  <w:noProof/>
                  <w:color w:val="4472C4" w:themeColor="accent1"/>
                  <w:sz w:val="20"/>
                  <w:szCs w:val="20"/>
                </w:rPr>
                <w:t>2019 (archive)</w:t>
              </w:r>
              <w:r w:rsidR="00465A84">
                <w:rPr>
                  <w:noProof/>
                  <w:color w:val="4472C4" w:themeColor="accent1"/>
                  <w:sz w:val="20"/>
                  <w:szCs w:val="20"/>
                </w:rPr>
                <w:t>.</w:t>
              </w:r>
            </w:p>
            <w:p w14:paraId="7C7079B9" w14:textId="0794B43F" w:rsidR="0059064B" w:rsidRPr="0059064B" w:rsidRDefault="0059064B" w:rsidP="0059064B">
              <w:pPr>
                <w:spacing w:before="10" w:after="10"/>
                <w:rPr>
                  <w:i/>
                  <w:iCs/>
                  <w:sz w:val="20"/>
                  <w:szCs w:val="20"/>
                </w:rPr>
              </w:pPr>
              <w:r w:rsidRPr="004F2ADC">
                <w:rPr>
                  <w:sz w:val="20"/>
                  <w:szCs w:val="20"/>
                </w:rPr>
                <w:t xml:space="preserve">NASDAQ (2020) </w:t>
              </w:r>
              <w:r w:rsidRPr="004F2ADC">
                <w:rPr>
                  <w:i/>
                  <w:iCs/>
                  <w:sz w:val="20"/>
                  <w:szCs w:val="20"/>
                </w:rPr>
                <w:t>https://www.nasdaq.com</w:t>
              </w:r>
            </w:p>
            <w:p w14:paraId="48A66CA9" w14:textId="5D1953D8" w:rsidR="00B225C9" w:rsidRDefault="00B225C9" w:rsidP="00B225C9">
              <w:pPr>
                <w:pStyle w:val="Bibliography"/>
                <w:ind w:left="720" w:hanging="720"/>
                <w:rPr>
                  <w:noProof/>
                  <w:sz w:val="20"/>
                  <w:szCs w:val="20"/>
                </w:rPr>
              </w:pPr>
              <w:r w:rsidRPr="004F2ADC">
                <w:rPr>
                  <w:i/>
                  <w:iCs/>
                  <w:noProof/>
                  <w:sz w:val="20"/>
                  <w:szCs w:val="20"/>
                </w:rPr>
                <w:t>S&amp;P 500</w:t>
              </w:r>
              <w:r w:rsidRPr="004F2ADC">
                <w:rPr>
                  <w:noProof/>
                  <w:sz w:val="20"/>
                  <w:szCs w:val="20"/>
                </w:rPr>
                <w:t>. (2020, 5). Retrieved from S&amp;P Dow Jones Indeces: https://us.spindices.com/indices/equity/sp-500</w:t>
              </w:r>
            </w:p>
            <w:p w14:paraId="6CB9806F" w14:textId="77777777" w:rsidR="0059064B" w:rsidRPr="00465A84" w:rsidRDefault="0059064B" w:rsidP="0059064B">
              <w:pPr>
                <w:pStyle w:val="Bibliography"/>
                <w:ind w:left="720" w:hanging="720"/>
                <w:rPr>
                  <w:noProof/>
                  <w:color w:val="4472C4" w:themeColor="accent1"/>
                  <w:sz w:val="20"/>
                  <w:szCs w:val="20"/>
                </w:rPr>
              </w:pPr>
              <w:r w:rsidRPr="004F2ADC">
                <w:rPr>
                  <w:sz w:val="20"/>
                  <w:szCs w:val="20"/>
                </w:rPr>
                <w:t xml:space="preserve">Scott R. Baker, R.A. </w:t>
              </w:r>
              <w:proofErr w:type="spellStart"/>
              <w:r w:rsidRPr="004F2ADC">
                <w:rPr>
                  <w:sz w:val="20"/>
                  <w:szCs w:val="20"/>
                </w:rPr>
                <w:t>Farrokhnia</w:t>
              </w:r>
              <w:proofErr w:type="spellEnd"/>
              <w:r w:rsidRPr="004F2ADC">
                <w:rPr>
                  <w:sz w:val="20"/>
                  <w:szCs w:val="20"/>
                </w:rPr>
                <w:t xml:space="preserve">, Steffen Meyer, Michaela </w:t>
              </w:r>
              <w:proofErr w:type="spellStart"/>
              <w:r w:rsidRPr="004F2ADC">
                <w:rPr>
                  <w:sz w:val="20"/>
                  <w:szCs w:val="20"/>
                </w:rPr>
                <w:t>Pagel</w:t>
              </w:r>
              <w:proofErr w:type="spellEnd"/>
              <w:r w:rsidRPr="004F2ADC">
                <w:rPr>
                  <w:sz w:val="20"/>
                  <w:szCs w:val="20"/>
                </w:rPr>
                <w:t xml:space="preserve">, Constantine </w:t>
              </w:r>
              <w:proofErr w:type="spellStart"/>
              <w:r w:rsidRPr="004F2ADC">
                <w:rPr>
                  <w:sz w:val="20"/>
                  <w:szCs w:val="20"/>
                </w:rPr>
                <w:t>Yannelis</w:t>
              </w:r>
              <w:proofErr w:type="spellEnd"/>
              <w:r w:rsidRPr="004F2ADC">
                <w:rPr>
                  <w:sz w:val="20"/>
                  <w:szCs w:val="20"/>
                </w:rPr>
                <w:t xml:space="preserve">  (2020). How Does Household Spending Respond to An Epidemic? Consumption During The 2020 Covid-19 Pandemic. National Bureau of Economic Research. Retrieved from: </w:t>
              </w:r>
              <w:hyperlink r:id="rId13" w:history="1">
                <w:r w:rsidRPr="004F2ADC">
                  <w:rPr>
                    <w:rStyle w:val="Hyperlink"/>
                    <w:color w:val="000000" w:themeColor="text1"/>
                    <w:sz w:val="20"/>
                    <w:szCs w:val="20"/>
                  </w:rPr>
                  <w:t>https://www.nber.org/papers/w26949.pdf</w:t>
                </w:r>
              </w:hyperlink>
              <w:r>
                <w:rPr>
                  <w:rStyle w:val="Hyperlink"/>
                  <w:color w:val="000000" w:themeColor="text1"/>
                  <w:sz w:val="20"/>
                  <w:szCs w:val="20"/>
                </w:rPr>
                <w:t xml:space="preserve"> </w:t>
              </w:r>
              <w:r w:rsidRPr="00465A84">
                <w:rPr>
                  <w:rStyle w:val="Hyperlink"/>
                  <w:color w:val="4472C4" w:themeColor="accent1"/>
                  <w:sz w:val="20"/>
                  <w:szCs w:val="20"/>
                </w:rPr>
                <w:t xml:space="preserve">accessed on </w:t>
              </w:r>
              <w:r>
                <w:rPr>
                  <w:rStyle w:val="Hyperlink"/>
                  <w:color w:val="4472C4" w:themeColor="accent1"/>
                  <w:sz w:val="20"/>
                  <w:szCs w:val="20"/>
                </w:rPr>
                <w:t>24/4/2020</w:t>
              </w:r>
            </w:p>
            <w:p w14:paraId="2381089A" w14:textId="77777777" w:rsidR="0059064B" w:rsidRPr="004F2ADC" w:rsidRDefault="0059064B" w:rsidP="0059064B">
              <w:pPr>
                <w:spacing w:before="10" w:after="10"/>
                <w:rPr>
                  <w:color w:val="000000" w:themeColor="text1"/>
                  <w:sz w:val="20"/>
                  <w:szCs w:val="20"/>
                </w:rPr>
              </w:pPr>
              <w:r w:rsidRPr="004F2ADC">
                <w:rPr>
                  <w:color w:val="000000" w:themeColor="text1"/>
                  <w:sz w:val="20"/>
                  <w:szCs w:val="20"/>
                </w:rPr>
                <w:t xml:space="preserve">Sizzlers and Fizzlers. (2020, April). Retrieved from SPI </w:t>
              </w:r>
              <w:proofErr w:type="spellStart"/>
              <w:r w:rsidRPr="004F2ADC">
                <w:rPr>
                  <w:color w:val="000000" w:themeColor="text1"/>
                  <w:sz w:val="20"/>
                  <w:szCs w:val="20"/>
                </w:rPr>
                <w:t>Indeces</w:t>
              </w:r>
              <w:proofErr w:type="spellEnd"/>
              <w:r w:rsidRPr="004F2ADC">
                <w:rPr>
                  <w:color w:val="000000" w:themeColor="text1"/>
                  <w:sz w:val="20"/>
                  <w:szCs w:val="20"/>
                </w:rPr>
                <w:t xml:space="preserve">: </w:t>
              </w:r>
            </w:p>
            <w:p w14:paraId="2FB2782F" w14:textId="67471592" w:rsidR="0059064B" w:rsidRPr="0059064B" w:rsidRDefault="0059064B" w:rsidP="0059064B">
              <w:pPr>
                <w:pStyle w:val="Bibliography"/>
                <w:ind w:left="720"/>
                <w:rPr>
                  <w:noProof/>
                  <w:color w:val="4472C4" w:themeColor="accent1"/>
                  <w:sz w:val="20"/>
                  <w:szCs w:val="20"/>
                </w:rPr>
              </w:pPr>
              <w:r w:rsidRPr="004F2ADC">
                <w:rPr>
                  <w:sz w:val="20"/>
                  <w:szCs w:val="20"/>
                </w:rPr>
                <w:t>https://us.spindices.com/indexology/djia-and-sp-500/sizzlers-and-fizzlers</w:t>
              </w:r>
              <w:r>
                <w:rPr>
                  <w:sz w:val="20"/>
                  <w:szCs w:val="20"/>
                </w:rPr>
                <w:t xml:space="preserve"> </w:t>
              </w:r>
              <w:r w:rsidRPr="00465A84">
                <w:rPr>
                  <w:rStyle w:val="Hyperlink"/>
                  <w:color w:val="4472C4" w:themeColor="accent1"/>
                  <w:sz w:val="20"/>
                  <w:szCs w:val="20"/>
                </w:rPr>
                <w:t xml:space="preserve">accessed on </w:t>
              </w:r>
              <w:r>
                <w:rPr>
                  <w:rStyle w:val="Hyperlink"/>
                  <w:color w:val="4472C4" w:themeColor="accent1"/>
                  <w:sz w:val="20"/>
                  <w:szCs w:val="20"/>
                </w:rPr>
                <w:t>24/4/2020</w:t>
              </w:r>
            </w:p>
            <w:p w14:paraId="33A371B4" w14:textId="77777777" w:rsidR="00B225C9" w:rsidRPr="004F2ADC" w:rsidRDefault="00B225C9" w:rsidP="00B225C9">
              <w:pPr>
                <w:pStyle w:val="Bibliography"/>
                <w:ind w:left="720" w:hanging="720"/>
                <w:rPr>
                  <w:noProof/>
                  <w:sz w:val="20"/>
                  <w:szCs w:val="20"/>
                </w:rPr>
              </w:pPr>
              <w:r w:rsidRPr="004F2ADC">
                <w:rPr>
                  <w:noProof/>
                  <w:sz w:val="20"/>
                  <w:szCs w:val="20"/>
                </w:rPr>
                <w:t xml:space="preserve">Tarhan, V. (1993). Policy and volatility of asset returns. </w:t>
              </w:r>
              <w:r w:rsidRPr="004F2ADC">
                <w:rPr>
                  <w:i/>
                  <w:iCs/>
                  <w:noProof/>
                  <w:sz w:val="20"/>
                  <w:szCs w:val="20"/>
                </w:rPr>
                <w:t>Journal of Economics and Business</w:t>
              </w:r>
              <w:r w:rsidRPr="004F2ADC">
                <w:rPr>
                  <w:noProof/>
                  <w:sz w:val="20"/>
                  <w:szCs w:val="20"/>
                </w:rPr>
                <w:t>, 269-283.</w:t>
              </w:r>
            </w:p>
            <w:p w14:paraId="743383F0" w14:textId="17115D6F" w:rsidR="00B225C9" w:rsidRPr="00465A84" w:rsidRDefault="00B225C9" w:rsidP="004B1944">
              <w:pPr>
                <w:pStyle w:val="Bibliography"/>
                <w:ind w:left="720" w:hanging="720"/>
                <w:rPr>
                  <w:noProof/>
                  <w:color w:val="4472C4" w:themeColor="accent1"/>
                  <w:sz w:val="20"/>
                  <w:szCs w:val="20"/>
                </w:rPr>
              </w:pPr>
              <w:r w:rsidRPr="004F2ADC">
                <w:rPr>
                  <w:noProof/>
                  <w:sz w:val="20"/>
                  <w:szCs w:val="20"/>
                </w:rPr>
                <w:t xml:space="preserve">Taylor, J. (2020, March 26). </w:t>
              </w:r>
              <w:r w:rsidRPr="004F2ADC">
                <w:rPr>
                  <w:i/>
                  <w:iCs/>
                  <w:noProof/>
                  <w:sz w:val="20"/>
                  <w:szCs w:val="20"/>
                </w:rPr>
                <w:t>Netflix is reducing streaming quality amid coronavirus. How will it affect viewing in Australia?</w:t>
              </w:r>
              <w:r w:rsidRPr="004F2ADC">
                <w:rPr>
                  <w:noProof/>
                  <w:sz w:val="20"/>
                  <w:szCs w:val="20"/>
                </w:rPr>
                <w:t xml:space="preserve"> Retrieved from The Guardian: https://www.theguardian.com/media/2020/mar/26/netflix-is-reducing-streaming-quality-amid-coronavirus-how-will-it-affect-viewing-in-australia</w:t>
              </w:r>
              <w:r w:rsidR="00465A84">
                <w:rPr>
                  <w:noProof/>
                  <w:sz w:val="20"/>
                  <w:szCs w:val="20"/>
                </w:rPr>
                <w:t xml:space="preserve"> </w:t>
              </w:r>
              <w:r w:rsidR="00465A84" w:rsidRPr="00465A84">
                <w:rPr>
                  <w:noProof/>
                  <w:color w:val="4472C4" w:themeColor="accent1"/>
                  <w:sz w:val="20"/>
                  <w:szCs w:val="20"/>
                </w:rPr>
                <w:t>accessed on 25/5/2020</w:t>
              </w:r>
            </w:p>
            <w:p w14:paraId="54B8E1DE" w14:textId="77777777" w:rsidR="004B1944" w:rsidRPr="004F2ADC" w:rsidRDefault="004B1944" w:rsidP="004B1944">
              <w:pPr>
                <w:rPr>
                  <w:sz w:val="20"/>
                  <w:szCs w:val="20"/>
                </w:rPr>
              </w:pPr>
              <w:r w:rsidRPr="004F2ADC">
                <w:rPr>
                  <w:sz w:val="20"/>
                  <w:szCs w:val="20"/>
                </w:rPr>
                <w:t xml:space="preserve">Ye, </w:t>
              </w:r>
              <w:proofErr w:type="spellStart"/>
              <w:r w:rsidRPr="004F2ADC">
                <w:rPr>
                  <w:sz w:val="20"/>
                  <w:szCs w:val="20"/>
                </w:rPr>
                <w:t>Ziwen</w:t>
              </w:r>
              <w:proofErr w:type="spellEnd"/>
              <w:r w:rsidRPr="004F2ADC">
                <w:rPr>
                  <w:sz w:val="20"/>
                  <w:szCs w:val="20"/>
                </w:rPr>
                <w:t xml:space="preserve"> and </w:t>
              </w:r>
              <w:proofErr w:type="spellStart"/>
              <w:r w:rsidRPr="004F2ADC">
                <w:rPr>
                  <w:sz w:val="20"/>
                  <w:szCs w:val="20"/>
                </w:rPr>
                <w:t>Florescu</w:t>
              </w:r>
              <w:proofErr w:type="spellEnd"/>
              <w:r w:rsidRPr="004F2ADC">
                <w:rPr>
                  <w:sz w:val="20"/>
                  <w:szCs w:val="20"/>
                </w:rPr>
                <w:t xml:space="preserve">, Ionut, (2020) COVID-19 and the Equity Market . A March 2020 Tale </w:t>
              </w:r>
            </w:p>
            <w:p w14:paraId="53BDE0CE" w14:textId="77777777" w:rsidR="004B1944" w:rsidRPr="004F2ADC" w:rsidRDefault="004B1944" w:rsidP="004B1944">
              <w:pPr>
                <w:ind w:firstLine="720"/>
                <w:rPr>
                  <w:sz w:val="20"/>
                  <w:szCs w:val="20"/>
                </w:rPr>
              </w:pPr>
              <w:r w:rsidRPr="004F2ADC">
                <w:rPr>
                  <w:sz w:val="20"/>
                  <w:szCs w:val="20"/>
                </w:rPr>
                <w:t>Available at http://dx.doi.org/10.2139/ssrn.3566281</w:t>
              </w:r>
            </w:p>
            <w:p w14:paraId="7396D232" w14:textId="77777777" w:rsidR="00B225C9" w:rsidRPr="004F2ADC" w:rsidRDefault="00B225C9" w:rsidP="00B225C9">
              <w:pPr>
                <w:rPr>
                  <w:sz w:val="20"/>
                  <w:szCs w:val="20"/>
                </w:rPr>
              </w:pPr>
            </w:p>
            <w:p w14:paraId="0C844BDB" w14:textId="0CCB2A13" w:rsidR="00351C72" w:rsidRDefault="00351C72" w:rsidP="00B225C9">
              <w:pPr>
                <w:spacing w:before="10" w:after="10"/>
              </w:pPr>
              <w:r w:rsidRPr="004F2ADC">
                <w:rPr>
                  <w:b/>
                  <w:bCs/>
                  <w:noProof/>
                  <w:sz w:val="20"/>
                  <w:szCs w:val="20"/>
                </w:rPr>
                <w:fldChar w:fldCharType="end"/>
              </w:r>
            </w:p>
          </w:sdtContent>
        </w:sdt>
      </w:sdtContent>
    </w:sdt>
    <w:p w14:paraId="3B3BBA30" w14:textId="77777777" w:rsidR="007E37F0" w:rsidRPr="007E37F0" w:rsidRDefault="007E37F0" w:rsidP="003A421C">
      <w:pPr>
        <w:spacing w:before="10" w:after="10"/>
        <w:ind w:left="720"/>
        <w:rPr>
          <w:rFonts w:ascii="TimesNewRomanPSMT" w:hAnsi="TimesNewRomanPSMT"/>
          <w:sz w:val="22"/>
          <w:szCs w:val="22"/>
        </w:rPr>
      </w:pPr>
    </w:p>
    <w:p w14:paraId="05C8089B" w14:textId="4ACDC0B1" w:rsidR="007255CE" w:rsidRPr="00F4330F" w:rsidRDefault="007255CE" w:rsidP="003A421C">
      <w:pPr>
        <w:spacing w:before="10" w:after="10"/>
        <w:ind w:left="720"/>
        <w:rPr>
          <w:rFonts w:ascii="SymbolMT" w:hAnsi="SymbolMT"/>
          <w:sz w:val="22"/>
          <w:szCs w:val="22"/>
        </w:rPr>
      </w:pPr>
    </w:p>
    <w:sectPr w:rsidR="007255CE" w:rsidRPr="00F4330F" w:rsidSect="00194450">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ECC48" w14:textId="77777777" w:rsidR="005E1184" w:rsidRDefault="005E1184" w:rsidP="00C4269E">
      <w:r>
        <w:separator/>
      </w:r>
    </w:p>
  </w:endnote>
  <w:endnote w:type="continuationSeparator" w:id="0">
    <w:p w14:paraId="7A706868" w14:textId="77777777" w:rsidR="005E1184" w:rsidRDefault="005E1184" w:rsidP="00C42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ymbolMT">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422D5" w14:textId="77777777" w:rsidR="005E1184" w:rsidRDefault="005E1184" w:rsidP="00C4269E">
      <w:r>
        <w:separator/>
      </w:r>
    </w:p>
  </w:footnote>
  <w:footnote w:type="continuationSeparator" w:id="0">
    <w:p w14:paraId="35653EE9" w14:textId="77777777" w:rsidR="005E1184" w:rsidRDefault="005E1184" w:rsidP="00C4269E">
      <w:r>
        <w:continuationSeparator/>
      </w:r>
    </w:p>
  </w:footnote>
  <w:footnote w:id="1">
    <w:p w14:paraId="7F2480F8" w14:textId="53E8E14D" w:rsidR="00A06FA5" w:rsidRPr="00A06FA5" w:rsidRDefault="00A06FA5" w:rsidP="00A06FA5">
      <w:pPr>
        <w:rPr>
          <w:sz w:val="20"/>
          <w:szCs w:val="20"/>
        </w:rPr>
      </w:pPr>
      <w:r>
        <w:rPr>
          <w:rStyle w:val="FootnoteReference"/>
        </w:rPr>
        <w:footnoteRef/>
      </w:r>
      <w:r>
        <w:t xml:space="preserve"> </w:t>
      </w:r>
      <w:r w:rsidRPr="00A06FA5">
        <w:rPr>
          <w:sz w:val="20"/>
          <w:szCs w:val="20"/>
        </w:rPr>
        <w:t xml:space="preserve">The original question proposed was </w:t>
      </w:r>
      <w:r>
        <w:rPr>
          <w:sz w:val="20"/>
          <w:szCs w:val="20"/>
        </w:rPr>
        <w:t>“</w:t>
      </w:r>
      <w:r w:rsidRPr="00A06FA5">
        <w:rPr>
          <w:i/>
          <w:iCs/>
          <w:sz w:val="20"/>
          <w:szCs w:val="20"/>
        </w:rPr>
        <w:t>How do different US industries differ in stock price movement for major disease-related policy and statistical announcements during the COVID-19 pandemic?</w:t>
      </w:r>
      <w:r>
        <w:rPr>
          <w:i/>
          <w:iCs/>
          <w:sz w:val="20"/>
          <w:szCs w:val="20"/>
        </w:rPr>
        <w:t>”</w:t>
      </w:r>
    </w:p>
    <w:p w14:paraId="5E098ED4" w14:textId="70BFF51F" w:rsidR="00A06FA5" w:rsidRDefault="00A06FA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46692"/>
    <w:multiLevelType w:val="multilevel"/>
    <w:tmpl w:val="808C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activeWritingStyle w:appName="MSWord" w:lang="en-AU"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8D"/>
    <w:rsid w:val="00022302"/>
    <w:rsid w:val="00035F7C"/>
    <w:rsid w:val="000439BF"/>
    <w:rsid w:val="00056729"/>
    <w:rsid w:val="00087EB8"/>
    <w:rsid w:val="0009318E"/>
    <w:rsid w:val="000B5BA0"/>
    <w:rsid w:val="000F0C7B"/>
    <w:rsid w:val="00115E91"/>
    <w:rsid w:val="0012637C"/>
    <w:rsid w:val="00194450"/>
    <w:rsid w:val="001C6C1F"/>
    <w:rsid w:val="001F6687"/>
    <w:rsid w:val="00241B3C"/>
    <w:rsid w:val="0027009B"/>
    <w:rsid w:val="00286214"/>
    <w:rsid w:val="002A3653"/>
    <w:rsid w:val="002B3235"/>
    <w:rsid w:val="002D598E"/>
    <w:rsid w:val="002E1903"/>
    <w:rsid w:val="003001AF"/>
    <w:rsid w:val="00315E59"/>
    <w:rsid w:val="0032727F"/>
    <w:rsid w:val="003303F4"/>
    <w:rsid w:val="00335530"/>
    <w:rsid w:val="00345EEB"/>
    <w:rsid w:val="00347A16"/>
    <w:rsid w:val="00351C72"/>
    <w:rsid w:val="00367ADA"/>
    <w:rsid w:val="00376CD9"/>
    <w:rsid w:val="0039336B"/>
    <w:rsid w:val="003A21C9"/>
    <w:rsid w:val="003A2E18"/>
    <w:rsid w:val="003A421C"/>
    <w:rsid w:val="003E01D3"/>
    <w:rsid w:val="004153C2"/>
    <w:rsid w:val="00427AC2"/>
    <w:rsid w:val="00436389"/>
    <w:rsid w:val="00450275"/>
    <w:rsid w:val="00452027"/>
    <w:rsid w:val="004522A3"/>
    <w:rsid w:val="00465A84"/>
    <w:rsid w:val="00471BF4"/>
    <w:rsid w:val="004B1944"/>
    <w:rsid w:val="004D5982"/>
    <w:rsid w:val="004E19B6"/>
    <w:rsid w:val="004F2ADC"/>
    <w:rsid w:val="0050044A"/>
    <w:rsid w:val="00513185"/>
    <w:rsid w:val="0051788D"/>
    <w:rsid w:val="00536D4C"/>
    <w:rsid w:val="00573193"/>
    <w:rsid w:val="00587A59"/>
    <w:rsid w:val="0059064B"/>
    <w:rsid w:val="005A7DD8"/>
    <w:rsid w:val="005B0227"/>
    <w:rsid w:val="005B30CD"/>
    <w:rsid w:val="005E1184"/>
    <w:rsid w:val="005E4716"/>
    <w:rsid w:val="005E4FE4"/>
    <w:rsid w:val="00671CC7"/>
    <w:rsid w:val="00675D3E"/>
    <w:rsid w:val="00684834"/>
    <w:rsid w:val="006849C5"/>
    <w:rsid w:val="006914DB"/>
    <w:rsid w:val="006A40A4"/>
    <w:rsid w:val="006A597D"/>
    <w:rsid w:val="006B066F"/>
    <w:rsid w:val="006C243E"/>
    <w:rsid w:val="006E3BCC"/>
    <w:rsid w:val="006E5146"/>
    <w:rsid w:val="006F35D4"/>
    <w:rsid w:val="00722960"/>
    <w:rsid w:val="00724B27"/>
    <w:rsid w:val="007255CE"/>
    <w:rsid w:val="00734E69"/>
    <w:rsid w:val="00745ACE"/>
    <w:rsid w:val="007512CD"/>
    <w:rsid w:val="00765D8A"/>
    <w:rsid w:val="00793D7D"/>
    <w:rsid w:val="007B729F"/>
    <w:rsid w:val="007C4D21"/>
    <w:rsid w:val="007D7C06"/>
    <w:rsid w:val="007E373B"/>
    <w:rsid w:val="007E37F0"/>
    <w:rsid w:val="007F6145"/>
    <w:rsid w:val="00802132"/>
    <w:rsid w:val="0081509C"/>
    <w:rsid w:val="00824BB4"/>
    <w:rsid w:val="00830930"/>
    <w:rsid w:val="00831AAD"/>
    <w:rsid w:val="00831D16"/>
    <w:rsid w:val="0084591E"/>
    <w:rsid w:val="008470F1"/>
    <w:rsid w:val="008B1900"/>
    <w:rsid w:val="008B669B"/>
    <w:rsid w:val="008E4167"/>
    <w:rsid w:val="00923B02"/>
    <w:rsid w:val="00940237"/>
    <w:rsid w:val="00942A8A"/>
    <w:rsid w:val="009532A8"/>
    <w:rsid w:val="0097170D"/>
    <w:rsid w:val="009A4382"/>
    <w:rsid w:val="009B2464"/>
    <w:rsid w:val="009B5CC4"/>
    <w:rsid w:val="009E2158"/>
    <w:rsid w:val="00A04990"/>
    <w:rsid w:val="00A06FA5"/>
    <w:rsid w:val="00A15D0C"/>
    <w:rsid w:val="00A2722A"/>
    <w:rsid w:val="00A342D3"/>
    <w:rsid w:val="00A42625"/>
    <w:rsid w:val="00A80B1F"/>
    <w:rsid w:val="00A830A5"/>
    <w:rsid w:val="00AA3C8A"/>
    <w:rsid w:val="00AC06AE"/>
    <w:rsid w:val="00AE4D7A"/>
    <w:rsid w:val="00AF6655"/>
    <w:rsid w:val="00B03DFB"/>
    <w:rsid w:val="00B225C9"/>
    <w:rsid w:val="00B45C79"/>
    <w:rsid w:val="00B46CCA"/>
    <w:rsid w:val="00B547B2"/>
    <w:rsid w:val="00B64588"/>
    <w:rsid w:val="00BB7BE4"/>
    <w:rsid w:val="00BE3CAF"/>
    <w:rsid w:val="00C16632"/>
    <w:rsid w:val="00C224FD"/>
    <w:rsid w:val="00C41903"/>
    <w:rsid w:val="00C4269E"/>
    <w:rsid w:val="00C961D6"/>
    <w:rsid w:val="00CC5B2E"/>
    <w:rsid w:val="00CD3FBF"/>
    <w:rsid w:val="00D11533"/>
    <w:rsid w:val="00D20B3B"/>
    <w:rsid w:val="00D651B1"/>
    <w:rsid w:val="00DA2DE2"/>
    <w:rsid w:val="00DC42E0"/>
    <w:rsid w:val="00DF6605"/>
    <w:rsid w:val="00DF7E98"/>
    <w:rsid w:val="00E26FDE"/>
    <w:rsid w:val="00E33049"/>
    <w:rsid w:val="00E40601"/>
    <w:rsid w:val="00E576C2"/>
    <w:rsid w:val="00E75CC5"/>
    <w:rsid w:val="00E80FAD"/>
    <w:rsid w:val="00E961BF"/>
    <w:rsid w:val="00E976C8"/>
    <w:rsid w:val="00EA145E"/>
    <w:rsid w:val="00EA2025"/>
    <w:rsid w:val="00EA3D7B"/>
    <w:rsid w:val="00EB3722"/>
    <w:rsid w:val="00ED383E"/>
    <w:rsid w:val="00F34877"/>
    <w:rsid w:val="00F4330F"/>
    <w:rsid w:val="00F94173"/>
    <w:rsid w:val="00FA1330"/>
    <w:rsid w:val="00FA23F4"/>
    <w:rsid w:val="00FA6E26"/>
    <w:rsid w:val="00FC55F3"/>
    <w:rsid w:val="00FD26CF"/>
    <w:rsid w:val="00FF76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2210"/>
  <w15:chartTrackingRefBased/>
  <w15:docId w15:val="{12D7E31F-95C8-7C49-AA5D-7906AE1D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E2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51C7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88D"/>
    <w:pPr>
      <w:spacing w:before="100" w:beforeAutospacing="1" w:after="100" w:afterAutospacing="1"/>
    </w:pPr>
  </w:style>
  <w:style w:type="paragraph" w:styleId="ListParagraph">
    <w:name w:val="List Paragraph"/>
    <w:basedOn w:val="Normal"/>
    <w:uiPriority w:val="34"/>
    <w:qFormat/>
    <w:rsid w:val="00EB3722"/>
    <w:pPr>
      <w:ind w:left="720"/>
      <w:contextualSpacing/>
    </w:pPr>
  </w:style>
  <w:style w:type="character" w:styleId="PlaceholderText">
    <w:name w:val="Placeholder Text"/>
    <w:basedOn w:val="DefaultParagraphFont"/>
    <w:uiPriority w:val="99"/>
    <w:semiHidden/>
    <w:rsid w:val="00FF76D0"/>
    <w:rPr>
      <w:color w:val="808080"/>
    </w:rPr>
  </w:style>
  <w:style w:type="character" w:customStyle="1" w:styleId="mjx-char">
    <w:name w:val="mjx-char"/>
    <w:basedOn w:val="DefaultParagraphFont"/>
    <w:rsid w:val="00FA6E26"/>
  </w:style>
  <w:style w:type="table" w:styleId="TableGrid">
    <w:name w:val="Table Grid"/>
    <w:basedOn w:val="TableNormal"/>
    <w:uiPriority w:val="39"/>
    <w:rsid w:val="00EA3D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35D4"/>
    <w:rPr>
      <w:sz w:val="18"/>
      <w:szCs w:val="18"/>
    </w:rPr>
  </w:style>
  <w:style w:type="character" w:customStyle="1" w:styleId="BalloonTextChar">
    <w:name w:val="Balloon Text Char"/>
    <w:basedOn w:val="DefaultParagraphFont"/>
    <w:link w:val="BalloonText"/>
    <w:uiPriority w:val="99"/>
    <w:semiHidden/>
    <w:rsid w:val="006F35D4"/>
    <w:rPr>
      <w:rFonts w:ascii="Times New Roman" w:eastAsia="Times New Roman" w:hAnsi="Times New Roman" w:cs="Times New Roman"/>
      <w:sz w:val="18"/>
      <w:szCs w:val="18"/>
      <w:lang w:eastAsia="en-GB"/>
    </w:rPr>
  </w:style>
  <w:style w:type="character" w:customStyle="1" w:styleId="Heading1Char">
    <w:name w:val="Heading 1 Char"/>
    <w:basedOn w:val="DefaultParagraphFont"/>
    <w:link w:val="Heading1"/>
    <w:uiPriority w:val="9"/>
    <w:rsid w:val="00351C72"/>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351C72"/>
  </w:style>
  <w:style w:type="character" w:styleId="Hyperlink">
    <w:name w:val="Hyperlink"/>
    <w:basedOn w:val="DefaultParagraphFont"/>
    <w:uiPriority w:val="99"/>
    <w:unhideWhenUsed/>
    <w:rsid w:val="00942A8A"/>
    <w:rPr>
      <w:color w:val="0563C1" w:themeColor="hyperlink"/>
      <w:u w:val="single"/>
    </w:rPr>
  </w:style>
  <w:style w:type="character" w:styleId="UnresolvedMention">
    <w:name w:val="Unresolved Mention"/>
    <w:basedOn w:val="DefaultParagraphFont"/>
    <w:uiPriority w:val="99"/>
    <w:semiHidden/>
    <w:unhideWhenUsed/>
    <w:rsid w:val="00942A8A"/>
    <w:rPr>
      <w:color w:val="605E5C"/>
      <w:shd w:val="clear" w:color="auto" w:fill="E1DFDD"/>
    </w:rPr>
  </w:style>
  <w:style w:type="paragraph" w:styleId="FootnoteText">
    <w:name w:val="footnote text"/>
    <w:basedOn w:val="Normal"/>
    <w:link w:val="FootnoteTextChar"/>
    <w:uiPriority w:val="99"/>
    <w:semiHidden/>
    <w:unhideWhenUsed/>
    <w:rsid w:val="00C4269E"/>
    <w:rPr>
      <w:sz w:val="20"/>
      <w:szCs w:val="20"/>
    </w:rPr>
  </w:style>
  <w:style w:type="character" w:customStyle="1" w:styleId="FootnoteTextChar">
    <w:name w:val="Footnote Text Char"/>
    <w:basedOn w:val="DefaultParagraphFont"/>
    <w:link w:val="FootnoteText"/>
    <w:uiPriority w:val="99"/>
    <w:semiHidden/>
    <w:rsid w:val="00C4269E"/>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C42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8145">
      <w:bodyDiv w:val="1"/>
      <w:marLeft w:val="0"/>
      <w:marRight w:val="0"/>
      <w:marTop w:val="0"/>
      <w:marBottom w:val="0"/>
      <w:divBdr>
        <w:top w:val="none" w:sz="0" w:space="0" w:color="auto"/>
        <w:left w:val="none" w:sz="0" w:space="0" w:color="auto"/>
        <w:bottom w:val="none" w:sz="0" w:space="0" w:color="auto"/>
        <w:right w:val="none" w:sz="0" w:space="0" w:color="auto"/>
      </w:divBdr>
    </w:div>
    <w:div w:id="26878812">
      <w:bodyDiv w:val="1"/>
      <w:marLeft w:val="0"/>
      <w:marRight w:val="0"/>
      <w:marTop w:val="0"/>
      <w:marBottom w:val="0"/>
      <w:divBdr>
        <w:top w:val="none" w:sz="0" w:space="0" w:color="auto"/>
        <w:left w:val="none" w:sz="0" w:space="0" w:color="auto"/>
        <w:bottom w:val="none" w:sz="0" w:space="0" w:color="auto"/>
        <w:right w:val="none" w:sz="0" w:space="0" w:color="auto"/>
      </w:divBdr>
      <w:divsChild>
        <w:div w:id="1000159179">
          <w:marLeft w:val="0"/>
          <w:marRight w:val="0"/>
          <w:marTop w:val="0"/>
          <w:marBottom w:val="0"/>
          <w:divBdr>
            <w:top w:val="none" w:sz="0" w:space="0" w:color="auto"/>
            <w:left w:val="none" w:sz="0" w:space="0" w:color="auto"/>
            <w:bottom w:val="none" w:sz="0" w:space="0" w:color="auto"/>
            <w:right w:val="none" w:sz="0" w:space="0" w:color="auto"/>
          </w:divBdr>
          <w:divsChild>
            <w:div w:id="929973358">
              <w:marLeft w:val="0"/>
              <w:marRight w:val="0"/>
              <w:marTop w:val="0"/>
              <w:marBottom w:val="0"/>
              <w:divBdr>
                <w:top w:val="none" w:sz="0" w:space="0" w:color="auto"/>
                <w:left w:val="none" w:sz="0" w:space="0" w:color="auto"/>
                <w:bottom w:val="none" w:sz="0" w:space="0" w:color="auto"/>
                <w:right w:val="none" w:sz="0" w:space="0" w:color="auto"/>
              </w:divBdr>
              <w:divsChild>
                <w:div w:id="11455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9576">
      <w:bodyDiv w:val="1"/>
      <w:marLeft w:val="0"/>
      <w:marRight w:val="0"/>
      <w:marTop w:val="0"/>
      <w:marBottom w:val="0"/>
      <w:divBdr>
        <w:top w:val="none" w:sz="0" w:space="0" w:color="auto"/>
        <w:left w:val="none" w:sz="0" w:space="0" w:color="auto"/>
        <w:bottom w:val="none" w:sz="0" w:space="0" w:color="auto"/>
        <w:right w:val="none" w:sz="0" w:space="0" w:color="auto"/>
      </w:divBdr>
    </w:div>
    <w:div w:id="56168426">
      <w:bodyDiv w:val="1"/>
      <w:marLeft w:val="0"/>
      <w:marRight w:val="0"/>
      <w:marTop w:val="0"/>
      <w:marBottom w:val="0"/>
      <w:divBdr>
        <w:top w:val="none" w:sz="0" w:space="0" w:color="auto"/>
        <w:left w:val="none" w:sz="0" w:space="0" w:color="auto"/>
        <w:bottom w:val="none" w:sz="0" w:space="0" w:color="auto"/>
        <w:right w:val="none" w:sz="0" w:space="0" w:color="auto"/>
      </w:divBdr>
    </w:div>
    <w:div w:id="56831139">
      <w:bodyDiv w:val="1"/>
      <w:marLeft w:val="0"/>
      <w:marRight w:val="0"/>
      <w:marTop w:val="0"/>
      <w:marBottom w:val="0"/>
      <w:divBdr>
        <w:top w:val="none" w:sz="0" w:space="0" w:color="auto"/>
        <w:left w:val="none" w:sz="0" w:space="0" w:color="auto"/>
        <w:bottom w:val="none" w:sz="0" w:space="0" w:color="auto"/>
        <w:right w:val="none" w:sz="0" w:space="0" w:color="auto"/>
      </w:divBdr>
    </w:div>
    <w:div w:id="69891993">
      <w:bodyDiv w:val="1"/>
      <w:marLeft w:val="0"/>
      <w:marRight w:val="0"/>
      <w:marTop w:val="0"/>
      <w:marBottom w:val="0"/>
      <w:divBdr>
        <w:top w:val="none" w:sz="0" w:space="0" w:color="auto"/>
        <w:left w:val="none" w:sz="0" w:space="0" w:color="auto"/>
        <w:bottom w:val="none" w:sz="0" w:space="0" w:color="auto"/>
        <w:right w:val="none" w:sz="0" w:space="0" w:color="auto"/>
      </w:divBdr>
    </w:div>
    <w:div w:id="73361604">
      <w:bodyDiv w:val="1"/>
      <w:marLeft w:val="0"/>
      <w:marRight w:val="0"/>
      <w:marTop w:val="0"/>
      <w:marBottom w:val="0"/>
      <w:divBdr>
        <w:top w:val="none" w:sz="0" w:space="0" w:color="auto"/>
        <w:left w:val="none" w:sz="0" w:space="0" w:color="auto"/>
        <w:bottom w:val="none" w:sz="0" w:space="0" w:color="auto"/>
        <w:right w:val="none" w:sz="0" w:space="0" w:color="auto"/>
      </w:divBdr>
    </w:div>
    <w:div w:id="78061574">
      <w:bodyDiv w:val="1"/>
      <w:marLeft w:val="0"/>
      <w:marRight w:val="0"/>
      <w:marTop w:val="0"/>
      <w:marBottom w:val="0"/>
      <w:divBdr>
        <w:top w:val="none" w:sz="0" w:space="0" w:color="auto"/>
        <w:left w:val="none" w:sz="0" w:space="0" w:color="auto"/>
        <w:bottom w:val="none" w:sz="0" w:space="0" w:color="auto"/>
        <w:right w:val="none" w:sz="0" w:space="0" w:color="auto"/>
      </w:divBdr>
    </w:div>
    <w:div w:id="136076293">
      <w:bodyDiv w:val="1"/>
      <w:marLeft w:val="0"/>
      <w:marRight w:val="0"/>
      <w:marTop w:val="0"/>
      <w:marBottom w:val="0"/>
      <w:divBdr>
        <w:top w:val="none" w:sz="0" w:space="0" w:color="auto"/>
        <w:left w:val="none" w:sz="0" w:space="0" w:color="auto"/>
        <w:bottom w:val="none" w:sz="0" w:space="0" w:color="auto"/>
        <w:right w:val="none" w:sz="0" w:space="0" w:color="auto"/>
      </w:divBdr>
    </w:div>
    <w:div w:id="167715332">
      <w:bodyDiv w:val="1"/>
      <w:marLeft w:val="0"/>
      <w:marRight w:val="0"/>
      <w:marTop w:val="0"/>
      <w:marBottom w:val="0"/>
      <w:divBdr>
        <w:top w:val="none" w:sz="0" w:space="0" w:color="auto"/>
        <w:left w:val="none" w:sz="0" w:space="0" w:color="auto"/>
        <w:bottom w:val="none" w:sz="0" w:space="0" w:color="auto"/>
        <w:right w:val="none" w:sz="0" w:space="0" w:color="auto"/>
      </w:divBdr>
    </w:div>
    <w:div w:id="179129324">
      <w:bodyDiv w:val="1"/>
      <w:marLeft w:val="0"/>
      <w:marRight w:val="0"/>
      <w:marTop w:val="0"/>
      <w:marBottom w:val="0"/>
      <w:divBdr>
        <w:top w:val="none" w:sz="0" w:space="0" w:color="auto"/>
        <w:left w:val="none" w:sz="0" w:space="0" w:color="auto"/>
        <w:bottom w:val="none" w:sz="0" w:space="0" w:color="auto"/>
        <w:right w:val="none" w:sz="0" w:space="0" w:color="auto"/>
      </w:divBdr>
    </w:div>
    <w:div w:id="198934217">
      <w:bodyDiv w:val="1"/>
      <w:marLeft w:val="0"/>
      <w:marRight w:val="0"/>
      <w:marTop w:val="0"/>
      <w:marBottom w:val="0"/>
      <w:divBdr>
        <w:top w:val="none" w:sz="0" w:space="0" w:color="auto"/>
        <w:left w:val="none" w:sz="0" w:space="0" w:color="auto"/>
        <w:bottom w:val="none" w:sz="0" w:space="0" w:color="auto"/>
        <w:right w:val="none" w:sz="0" w:space="0" w:color="auto"/>
      </w:divBdr>
    </w:div>
    <w:div w:id="230239964">
      <w:bodyDiv w:val="1"/>
      <w:marLeft w:val="0"/>
      <w:marRight w:val="0"/>
      <w:marTop w:val="0"/>
      <w:marBottom w:val="0"/>
      <w:divBdr>
        <w:top w:val="none" w:sz="0" w:space="0" w:color="auto"/>
        <w:left w:val="none" w:sz="0" w:space="0" w:color="auto"/>
        <w:bottom w:val="none" w:sz="0" w:space="0" w:color="auto"/>
        <w:right w:val="none" w:sz="0" w:space="0" w:color="auto"/>
      </w:divBdr>
    </w:div>
    <w:div w:id="260262276">
      <w:bodyDiv w:val="1"/>
      <w:marLeft w:val="0"/>
      <w:marRight w:val="0"/>
      <w:marTop w:val="0"/>
      <w:marBottom w:val="0"/>
      <w:divBdr>
        <w:top w:val="none" w:sz="0" w:space="0" w:color="auto"/>
        <w:left w:val="none" w:sz="0" w:space="0" w:color="auto"/>
        <w:bottom w:val="none" w:sz="0" w:space="0" w:color="auto"/>
        <w:right w:val="none" w:sz="0" w:space="0" w:color="auto"/>
      </w:divBdr>
      <w:divsChild>
        <w:div w:id="153182846">
          <w:marLeft w:val="0"/>
          <w:marRight w:val="0"/>
          <w:marTop w:val="0"/>
          <w:marBottom w:val="0"/>
          <w:divBdr>
            <w:top w:val="none" w:sz="0" w:space="0" w:color="auto"/>
            <w:left w:val="none" w:sz="0" w:space="0" w:color="auto"/>
            <w:bottom w:val="none" w:sz="0" w:space="0" w:color="auto"/>
            <w:right w:val="none" w:sz="0" w:space="0" w:color="auto"/>
          </w:divBdr>
          <w:divsChild>
            <w:div w:id="1181238962">
              <w:marLeft w:val="0"/>
              <w:marRight w:val="0"/>
              <w:marTop w:val="0"/>
              <w:marBottom w:val="0"/>
              <w:divBdr>
                <w:top w:val="none" w:sz="0" w:space="0" w:color="auto"/>
                <w:left w:val="none" w:sz="0" w:space="0" w:color="auto"/>
                <w:bottom w:val="none" w:sz="0" w:space="0" w:color="auto"/>
                <w:right w:val="none" w:sz="0" w:space="0" w:color="auto"/>
              </w:divBdr>
              <w:divsChild>
                <w:div w:id="1679195216">
                  <w:marLeft w:val="0"/>
                  <w:marRight w:val="0"/>
                  <w:marTop w:val="0"/>
                  <w:marBottom w:val="0"/>
                  <w:divBdr>
                    <w:top w:val="none" w:sz="0" w:space="0" w:color="auto"/>
                    <w:left w:val="none" w:sz="0" w:space="0" w:color="auto"/>
                    <w:bottom w:val="none" w:sz="0" w:space="0" w:color="auto"/>
                    <w:right w:val="none" w:sz="0" w:space="0" w:color="auto"/>
                  </w:divBdr>
                </w:div>
              </w:divsChild>
            </w:div>
            <w:div w:id="1612321573">
              <w:marLeft w:val="0"/>
              <w:marRight w:val="0"/>
              <w:marTop w:val="0"/>
              <w:marBottom w:val="0"/>
              <w:divBdr>
                <w:top w:val="none" w:sz="0" w:space="0" w:color="auto"/>
                <w:left w:val="none" w:sz="0" w:space="0" w:color="auto"/>
                <w:bottom w:val="none" w:sz="0" w:space="0" w:color="auto"/>
                <w:right w:val="none" w:sz="0" w:space="0" w:color="auto"/>
              </w:divBdr>
              <w:divsChild>
                <w:div w:id="6691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6148">
          <w:marLeft w:val="0"/>
          <w:marRight w:val="0"/>
          <w:marTop w:val="0"/>
          <w:marBottom w:val="0"/>
          <w:divBdr>
            <w:top w:val="none" w:sz="0" w:space="0" w:color="auto"/>
            <w:left w:val="none" w:sz="0" w:space="0" w:color="auto"/>
            <w:bottom w:val="none" w:sz="0" w:space="0" w:color="auto"/>
            <w:right w:val="none" w:sz="0" w:space="0" w:color="auto"/>
          </w:divBdr>
          <w:divsChild>
            <w:div w:id="927692787">
              <w:marLeft w:val="0"/>
              <w:marRight w:val="0"/>
              <w:marTop w:val="0"/>
              <w:marBottom w:val="0"/>
              <w:divBdr>
                <w:top w:val="none" w:sz="0" w:space="0" w:color="auto"/>
                <w:left w:val="none" w:sz="0" w:space="0" w:color="auto"/>
                <w:bottom w:val="none" w:sz="0" w:space="0" w:color="auto"/>
                <w:right w:val="none" w:sz="0" w:space="0" w:color="auto"/>
              </w:divBdr>
              <w:divsChild>
                <w:div w:id="96096707">
                  <w:marLeft w:val="0"/>
                  <w:marRight w:val="0"/>
                  <w:marTop w:val="0"/>
                  <w:marBottom w:val="0"/>
                  <w:divBdr>
                    <w:top w:val="none" w:sz="0" w:space="0" w:color="auto"/>
                    <w:left w:val="none" w:sz="0" w:space="0" w:color="auto"/>
                    <w:bottom w:val="none" w:sz="0" w:space="0" w:color="auto"/>
                    <w:right w:val="none" w:sz="0" w:space="0" w:color="auto"/>
                  </w:divBdr>
                  <w:divsChild>
                    <w:div w:id="1944141011">
                      <w:marLeft w:val="0"/>
                      <w:marRight w:val="0"/>
                      <w:marTop w:val="0"/>
                      <w:marBottom w:val="0"/>
                      <w:divBdr>
                        <w:top w:val="none" w:sz="0" w:space="0" w:color="auto"/>
                        <w:left w:val="none" w:sz="0" w:space="0" w:color="auto"/>
                        <w:bottom w:val="none" w:sz="0" w:space="0" w:color="auto"/>
                        <w:right w:val="none" w:sz="0" w:space="0" w:color="auto"/>
                      </w:divBdr>
                    </w:div>
                  </w:divsChild>
                </w:div>
                <w:div w:id="310715058">
                  <w:marLeft w:val="0"/>
                  <w:marRight w:val="0"/>
                  <w:marTop w:val="0"/>
                  <w:marBottom w:val="0"/>
                  <w:divBdr>
                    <w:top w:val="none" w:sz="0" w:space="0" w:color="auto"/>
                    <w:left w:val="none" w:sz="0" w:space="0" w:color="auto"/>
                    <w:bottom w:val="none" w:sz="0" w:space="0" w:color="auto"/>
                    <w:right w:val="none" w:sz="0" w:space="0" w:color="auto"/>
                  </w:divBdr>
                  <w:divsChild>
                    <w:div w:id="1397902055">
                      <w:marLeft w:val="0"/>
                      <w:marRight w:val="0"/>
                      <w:marTop w:val="0"/>
                      <w:marBottom w:val="0"/>
                      <w:divBdr>
                        <w:top w:val="none" w:sz="0" w:space="0" w:color="auto"/>
                        <w:left w:val="none" w:sz="0" w:space="0" w:color="auto"/>
                        <w:bottom w:val="none" w:sz="0" w:space="0" w:color="auto"/>
                        <w:right w:val="none" w:sz="0" w:space="0" w:color="auto"/>
                      </w:divBdr>
                    </w:div>
                  </w:divsChild>
                </w:div>
                <w:div w:id="427628180">
                  <w:marLeft w:val="0"/>
                  <w:marRight w:val="0"/>
                  <w:marTop w:val="0"/>
                  <w:marBottom w:val="0"/>
                  <w:divBdr>
                    <w:top w:val="none" w:sz="0" w:space="0" w:color="auto"/>
                    <w:left w:val="none" w:sz="0" w:space="0" w:color="auto"/>
                    <w:bottom w:val="none" w:sz="0" w:space="0" w:color="auto"/>
                    <w:right w:val="none" w:sz="0" w:space="0" w:color="auto"/>
                  </w:divBdr>
                  <w:divsChild>
                    <w:div w:id="147140695">
                      <w:marLeft w:val="0"/>
                      <w:marRight w:val="0"/>
                      <w:marTop w:val="0"/>
                      <w:marBottom w:val="0"/>
                      <w:divBdr>
                        <w:top w:val="none" w:sz="0" w:space="0" w:color="auto"/>
                        <w:left w:val="none" w:sz="0" w:space="0" w:color="auto"/>
                        <w:bottom w:val="none" w:sz="0" w:space="0" w:color="auto"/>
                        <w:right w:val="none" w:sz="0" w:space="0" w:color="auto"/>
                      </w:divBdr>
                    </w:div>
                  </w:divsChild>
                </w:div>
                <w:div w:id="487474732">
                  <w:marLeft w:val="0"/>
                  <w:marRight w:val="0"/>
                  <w:marTop w:val="0"/>
                  <w:marBottom w:val="0"/>
                  <w:divBdr>
                    <w:top w:val="none" w:sz="0" w:space="0" w:color="auto"/>
                    <w:left w:val="none" w:sz="0" w:space="0" w:color="auto"/>
                    <w:bottom w:val="none" w:sz="0" w:space="0" w:color="auto"/>
                    <w:right w:val="none" w:sz="0" w:space="0" w:color="auto"/>
                  </w:divBdr>
                  <w:divsChild>
                    <w:div w:id="1263222185">
                      <w:marLeft w:val="0"/>
                      <w:marRight w:val="0"/>
                      <w:marTop w:val="0"/>
                      <w:marBottom w:val="0"/>
                      <w:divBdr>
                        <w:top w:val="none" w:sz="0" w:space="0" w:color="auto"/>
                        <w:left w:val="none" w:sz="0" w:space="0" w:color="auto"/>
                        <w:bottom w:val="none" w:sz="0" w:space="0" w:color="auto"/>
                        <w:right w:val="none" w:sz="0" w:space="0" w:color="auto"/>
                      </w:divBdr>
                    </w:div>
                  </w:divsChild>
                </w:div>
                <w:div w:id="1131946043">
                  <w:marLeft w:val="0"/>
                  <w:marRight w:val="0"/>
                  <w:marTop w:val="0"/>
                  <w:marBottom w:val="0"/>
                  <w:divBdr>
                    <w:top w:val="none" w:sz="0" w:space="0" w:color="auto"/>
                    <w:left w:val="none" w:sz="0" w:space="0" w:color="auto"/>
                    <w:bottom w:val="none" w:sz="0" w:space="0" w:color="auto"/>
                    <w:right w:val="none" w:sz="0" w:space="0" w:color="auto"/>
                  </w:divBdr>
                  <w:divsChild>
                    <w:div w:id="727191639">
                      <w:marLeft w:val="0"/>
                      <w:marRight w:val="0"/>
                      <w:marTop w:val="0"/>
                      <w:marBottom w:val="0"/>
                      <w:divBdr>
                        <w:top w:val="none" w:sz="0" w:space="0" w:color="auto"/>
                        <w:left w:val="none" w:sz="0" w:space="0" w:color="auto"/>
                        <w:bottom w:val="none" w:sz="0" w:space="0" w:color="auto"/>
                        <w:right w:val="none" w:sz="0" w:space="0" w:color="auto"/>
                      </w:divBdr>
                    </w:div>
                    <w:div w:id="1995916418">
                      <w:marLeft w:val="0"/>
                      <w:marRight w:val="0"/>
                      <w:marTop w:val="0"/>
                      <w:marBottom w:val="0"/>
                      <w:divBdr>
                        <w:top w:val="none" w:sz="0" w:space="0" w:color="auto"/>
                        <w:left w:val="none" w:sz="0" w:space="0" w:color="auto"/>
                        <w:bottom w:val="none" w:sz="0" w:space="0" w:color="auto"/>
                        <w:right w:val="none" w:sz="0" w:space="0" w:color="auto"/>
                      </w:divBdr>
                    </w:div>
                  </w:divsChild>
                </w:div>
                <w:div w:id="1960214475">
                  <w:marLeft w:val="0"/>
                  <w:marRight w:val="0"/>
                  <w:marTop w:val="0"/>
                  <w:marBottom w:val="0"/>
                  <w:divBdr>
                    <w:top w:val="none" w:sz="0" w:space="0" w:color="auto"/>
                    <w:left w:val="none" w:sz="0" w:space="0" w:color="auto"/>
                    <w:bottom w:val="none" w:sz="0" w:space="0" w:color="auto"/>
                    <w:right w:val="none" w:sz="0" w:space="0" w:color="auto"/>
                  </w:divBdr>
                  <w:divsChild>
                    <w:div w:id="3464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0013">
              <w:marLeft w:val="0"/>
              <w:marRight w:val="0"/>
              <w:marTop w:val="0"/>
              <w:marBottom w:val="0"/>
              <w:divBdr>
                <w:top w:val="none" w:sz="0" w:space="0" w:color="auto"/>
                <w:left w:val="none" w:sz="0" w:space="0" w:color="auto"/>
                <w:bottom w:val="none" w:sz="0" w:space="0" w:color="auto"/>
                <w:right w:val="none" w:sz="0" w:space="0" w:color="auto"/>
              </w:divBdr>
              <w:divsChild>
                <w:div w:id="786701379">
                  <w:marLeft w:val="0"/>
                  <w:marRight w:val="0"/>
                  <w:marTop w:val="0"/>
                  <w:marBottom w:val="0"/>
                  <w:divBdr>
                    <w:top w:val="none" w:sz="0" w:space="0" w:color="auto"/>
                    <w:left w:val="none" w:sz="0" w:space="0" w:color="auto"/>
                    <w:bottom w:val="none" w:sz="0" w:space="0" w:color="auto"/>
                    <w:right w:val="none" w:sz="0" w:space="0" w:color="auto"/>
                  </w:divBdr>
                </w:div>
              </w:divsChild>
            </w:div>
            <w:div w:id="2015915727">
              <w:marLeft w:val="0"/>
              <w:marRight w:val="0"/>
              <w:marTop w:val="0"/>
              <w:marBottom w:val="0"/>
              <w:divBdr>
                <w:top w:val="none" w:sz="0" w:space="0" w:color="auto"/>
                <w:left w:val="none" w:sz="0" w:space="0" w:color="auto"/>
                <w:bottom w:val="none" w:sz="0" w:space="0" w:color="auto"/>
                <w:right w:val="none" w:sz="0" w:space="0" w:color="auto"/>
              </w:divBdr>
              <w:divsChild>
                <w:div w:id="1957834418">
                  <w:marLeft w:val="0"/>
                  <w:marRight w:val="0"/>
                  <w:marTop w:val="0"/>
                  <w:marBottom w:val="0"/>
                  <w:divBdr>
                    <w:top w:val="none" w:sz="0" w:space="0" w:color="auto"/>
                    <w:left w:val="none" w:sz="0" w:space="0" w:color="auto"/>
                    <w:bottom w:val="none" w:sz="0" w:space="0" w:color="auto"/>
                    <w:right w:val="none" w:sz="0" w:space="0" w:color="auto"/>
                  </w:divBdr>
                </w:div>
              </w:divsChild>
            </w:div>
            <w:div w:id="2103791274">
              <w:marLeft w:val="0"/>
              <w:marRight w:val="0"/>
              <w:marTop w:val="0"/>
              <w:marBottom w:val="0"/>
              <w:divBdr>
                <w:top w:val="none" w:sz="0" w:space="0" w:color="auto"/>
                <w:left w:val="none" w:sz="0" w:space="0" w:color="auto"/>
                <w:bottom w:val="none" w:sz="0" w:space="0" w:color="auto"/>
                <w:right w:val="none" w:sz="0" w:space="0" w:color="auto"/>
              </w:divBdr>
              <w:divsChild>
                <w:div w:id="449512812">
                  <w:marLeft w:val="0"/>
                  <w:marRight w:val="0"/>
                  <w:marTop w:val="0"/>
                  <w:marBottom w:val="0"/>
                  <w:divBdr>
                    <w:top w:val="none" w:sz="0" w:space="0" w:color="auto"/>
                    <w:left w:val="none" w:sz="0" w:space="0" w:color="auto"/>
                    <w:bottom w:val="none" w:sz="0" w:space="0" w:color="auto"/>
                    <w:right w:val="none" w:sz="0" w:space="0" w:color="auto"/>
                  </w:divBdr>
                </w:div>
                <w:div w:id="14977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9290">
          <w:marLeft w:val="0"/>
          <w:marRight w:val="0"/>
          <w:marTop w:val="0"/>
          <w:marBottom w:val="0"/>
          <w:divBdr>
            <w:top w:val="none" w:sz="0" w:space="0" w:color="auto"/>
            <w:left w:val="none" w:sz="0" w:space="0" w:color="auto"/>
            <w:bottom w:val="none" w:sz="0" w:space="0" w:color="auto"/>
            <w:right w:val="none" w:sz="0" w:space="0" w:color="auto"/>
          </w:divBdr>
          <w:divsChild>
            <w:div w:id="705132860">
              <w:marLeft w:val="0"/>
              <w:marRight w:val="0"/>
              <w:marTop w:val="0"/>
              <w:marBottom w:val="0"/>
              <w:divBdr>
                <w:top w:val="none" w:sz="0" w:space="0" w:color="auto"/>
                <w:left w:val="none" w:sz="0" w:space="0" w:color="auto"/>
                <w:bottom w:val="none" w:sz="0" w:space="0" w:color="auto"/>
                <w:right w:val="none" w:sz="0" w:space="0" w:color="auto"/>
              </w:divBdr>
              <w:divsChild>
                <w:div w:id="1887716431">
                  <w:marLeft w:val="0"/>
                  <w:marRight w:val="0"/>
                  <w:marTop w:val="0"/>
                  <w:marBottom w:val="0"/>
                  <w:divBdr>
                    <w:top w:val="none" w:sz="0" w:space="0" w:color="auto"/>
                    <w:left w:val="none" w:sz="0" w:space="0" w:color="auto"/>
                    <w:bottom w:val="none" w:sz="0" w:space="0" w:color="auto"/>
                    <w:right w:val="none" w:sz="0" w:space="0" w:color="auto"/>
                  </w:divBdr>
                </w:div>
              </w:divsChild>
            </w:div>
            <w:div w:id="978650609">
              <w:marLeft w:val="0"/>
              <w:marRight w:val="0"/>
              <w:marTop w:val="0"/>
              <w:marBottom w:val="0"/>
              <w:divBdr>
                <w:top w:val="none" w:sz="0" w:space="0" w:color="auto"/>
                <w:left w:val="none" w:sz="0" w:space="0" w:color="auto"/>
                <w:bottom w:val="none" w:sz="0" w:space="0" w:color="auto"/>
                <w:right w:val="none" w:sz="0" w:space="0" w:color="auto"/>
              </w:divBdr>
              <w:divsChild>
                <w:div w:id="4986629">
                  <w:marLeft w:val="0"/>
                  <w:marRight w:val="0"/>
                  <w:marTop w:val="0"/>
                  <w:marBottom w:val="0"/>
                  <w:divBdr>
                    <w:top w:val="none" w:sz="0" w:space="0" w:color="auto"/>
                    <w:left w:val="none" w:sz="0" w:space="0" w:color="auto"/>
                    <w:bottom w:val="none" w:sz="0" w:space="0" w:color="auto"/>
                    <w:right w:val="none" w:sz="0" w:space="0" w:color="auto"/>
                  </w:divBdr>
                </w:div>
              </w:divsChild>
            </w:div>
            <w:div w:id="1321348645">
              <w:marLeft w:val="0"/>
              <w:marRight w:val="0"/>
              <w:marTop w:val="0"/>
              <w:marBottom w:val="0"/>
              <w:divBdr>
                <w:top w:val="none" w:sz="0" w:space="0" w:color="auto"/>
                <w:left w:val="none" w:sz="0" w:space="0" w:color="auto"/>
                <w:bottom w:val="none" w:sz="0" w:space="0" w:color="auto"/>
                <w:right w:val="none" w:sz="0" w:space="0" w:color="auto"/>
              </w:divBdr>
              <w:divsChild>
                <w:div w:id="840002806">
                  <w:marLeft w:val="0"/>
                  <w:marRight w:val="0"/>
                  <w:marTop w:val="0"/>
                  <w:marBottom w:val="0"/>
                  <w:divBdr>
                    <w:top w:val="none" w:sz="0" w:space="0" w:color="auto"/>
                    <w:left w:val="none" w:sz="0" w:space="0" w:color="auto"/>
                    <w:bottom w:val="none" w:sz="0" w:space="0" w:color="auto"/>
                    <w:right w:val="none" w:sz="0" w:space="0" w:color="auto"/>
                  </w:divBdr>
                </w:div>
              </w:divsChild>
            </w:div>
            <w:div w:id="1960524087">
              <w:marLeft w:val="0"/>
              <w:marRight w:val="0"/>
              <w:marTop w:val="0"/>
              <w:marBottom w:val="0"/>
              <w:divBdr>
                <w:top w:val="none" w:sz="0" w:space="0" w:color="auto"/>
                <w:left w:val="none" w:sz="0" w:space="0" w:color="auto"/>
                <w:bottom w:val="none" w:sz="0" w:space="0" w:color="auto"/>
                <w:right w:val="none" w:sz="0" w:space="0" w:color="auto"/>
              </w:divBdr>
              <w:divsChild>
                <w:div w:id="20252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010">
          <w:marLeft w:val="0"/>
          <w:marRight w:val="0"/>
          <w:marTop w:val="0"/>
          <w:marBottom w:val="0"/>
          <w:divBdr>
            <w:top w:val="none" w:sz="0" w:space="0" w:color="auto"/>
            <w:left w:val="none" w:sz="0" w:space="0" w:color="auto"/>
            <w:bottom w:val="none" w:sz="0" w:space="0" w:color="auto"/>
            <w:right w:val="none" w:sz="0" w:space="0" w:color="auto"/>
          </w:divBdr>
          <w:divsChild>
            <w:div w:id="390419810">
              <w:marLeft w:val="0"/>
              <w:marRight w:val="0"/>
              <w:marTop w:val="0"/>
              <w:marBottom w:val="0"/>
              <w:divBdr>
                <w:top w:val="none" w:sz="0" w:space="0" w:color="auto"/>
                <w:left w:val="none" w:sz="0" w:space="0" w:color="auto"/>
                <w:bottom w:val="none" w:sz="0" w:space="0" w:color="auto"/>
                <w:right w:val="none" w:sz="0" w:space="0" w:color="auto"/>
              </w:divBdr>
              <w:divsChild>
                <w:div w:id="1359282560">
                  <w:marLeft w:val="0"/>
                  <w:marRight w:val="0"/>
                  <w:marTop w:val="0"/>
                  <w:marBottom w:val="0"/>
                  <w:divBdr>
                    <w:top w:val="none" w:sz="0" w:space="0" w:color="auto"/>
                    <w:left w:val="none" w:sz="0" w:space="0" w:color="auto"/>
                    <w:bottom w:val="none" w:sz="0" w:space="0" w:color="auto"/>
                    <w:right w:val="none" w:sz="0" w:space="0" w:color="auto"/>
                  </w:divBdr>
                </w:div>
              </w:divsChild>
            </w:div>
            <w:div w:id="878395923">
              <w:marLeft w:val="0"/>
              <w:marRight w:val="0"/>
              <w:marTop w:val="0"/>
              <w:marBottom w:val="0"/>
              <w:divBdr>
                <w:top w:val="none" w:sz="0" w:space="0" w:color="auto"/>
                <w:left w:val="none" w:sz="0" w:space="0" w:color="auto"/>
                <w:bottom w:val="none" w:sz="0" w:space="0" w:color="auto"/>
                <w:right w:val="none" w:sz="0" w:space="0" w:color="auto"/>
              </w:divBdr>
              <w:divsChild>
                <w:div w:id="1254361190">
                  <w:marLeft w:val="0"/>
                  <w:marRight w:val="0"/>
                  <w:marTop w:val="0"/>
                  <w:marBottom w:val="0"/>
                  <w:divBdr>
                    <w:top w:val="none" w:sz="0" w:space="0" w:color="auto"/>
                    <w:left w:val="none" w:sz="0" w:space="0" w:color="auto"/>
                    <w:bottom w:val="none" w:sz="0" w:space="0" w:color="auto"/>
                    <w:right w:val="none" w:sz="0" w:space="0" w:color="auto"/>
                  </w:divBdr>
                </w:div>
              </w:divsChild>
            </w:div>
            <w:div w:id="1301885650">
              <w:marLeft w:val="0"/>
              <w:marRight w:val="0"/>
              <w:marTop w:val="0"/>
              <w:marBottom w:val="0"/>
              <w:divBdr>
                <w:top w:val="none" w:sz="0" w:space="0" w:color="auto"/>
                <w:left w:val="none" w:sz="0" w:space="0" w:color="auto"/>
                <w:bottom w:val="none" w:sz="0" w:space="0" w:color="auto"/>
                <w:right w:val="none" w:sz="0" w:space="0" w:color="auto"/>
              </w:divBdr>
              <w:divsChild>
                <w:div w:id="534196236">
                  <w:marLeft w:val="0"/>
                  <w:marRight w:val="0"/>
                  <w:marTop w:val="0"/>
                  <w:marBottom w:val="0"/>
                  <w:divBdr>
                    <w:top w:val="none" w:sz="0" w:space="0" w:color="auto"/>
                    <w:left w:val="none" w:sz="0" w:space="0" w:color="auto"/>
                    <w:bottom w:val="none" w:sz="0" w:space="0" w:color="auto"/>
                    <w:right w:val="none" w:sz="0" w:space="0" w:color="auto"/>
                  </w:divBdr>
                </w:div>
                <w:div w:id="8672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70745">
      <w:bodyDiv w:val="1"/>
      <w:marLeft w:val="0"/>
      <w:marRight w:val="0"/>
      <w:marTop w:val="0"/>
      <w:marBottom w:val="0"/>
      <w:divBdr>
        <w:top w:val="none" w:sz="0" w:space="0" w:color="auto"/>
        <w:left w:val="none" w:sz="0" w:space="0" w:color="auto"/>
        <w:bottom w:val="none" w:sz="0" w:space="0" w:color="auto"/>
        <w:right w:val="none" w:sz="0" w:space="0" w:color="auto"/>
      </w:divBdr>
    </w:div>
    <w:div w:id="317268512">
      <w:bodyDiv w:val="1"/>
      <w:marLeft w:val="0"/>
      <w:marRight w:val="0"/>
      <w:marTop w:val="0"/>
      <w:marBottom w:val="0"/>
      <w:divBdr>
        <w:top w:val="none" w:sz="0" w:space="0" w:color="auto"/>
        <w:left w:val="none" w:sz="0" w:space="0" w:color="auto"/>
        <w:bottom w:val="none" w:sz="0" w:space="0" w:color="auto"/>
        <w:right w:val="none" w:sz="0" w:space="0" w:color="auto"/>
      </w:divBdr>
    </w:div>
    <w:div w:id="348020787">
      <w:bodyDiv w:val="1"/>
      <w:marLeft w:val="0"/>
      <w:marRight w:val="0"/>
      <w:marTop w:val="0"/>
      <w:marBottom w:val="0"/>
      <w:divBdr>
        <w:top w:val="none" w:sz="0" w:space="0" w:color="auto"/>
        <w:left w:val="none" w:sz="0" w:space="0" w:color="auto"/>
        <w:bottom w:val="none" w:sz="0" w:space="0" w:color="auto"/>
        <w:right w:val="none" w:sz="0" w:space="0" w:color="auto"/>
      </w:divBdr>
    </w:div>
    <w:div w:id="359934530">
      <w:bodyDiv w:val="1"/>
      <w:marLeft w:val="0"/>
      <w:marRight w:val="0"/>
      <w:marTop w:val="0"/>
      <w:marBottom w:val="0"/>
      <w:divBdr>
        <w:top w:val="none" w:sz="0" w:space="0" w:color="auto"/>
        <w:left w:val="none" w:sz="0" w:space="0" w:color="auto"/>
        <w:bottom w:val="none" w:sz="0" w:space="0" w:color="auto"/>
        <w:right w:val="none" w:sz="0" w:space="0" w:color="auto"/>
      </w:divBdr>
    </w:div>
    <w:div w:id="377362794">
      <w:bodyDiv w:val="1"/>
      <w:marLeft w:val="0"/>
      <w:marRight w:val="0"/>
      <w:marTop w:val="0"/>
      <w:marBottom w:val="0"/>
      <w:divBdr>
        <w:top w:val="none" w:sz="0" w:space="0" w:color="auto"/>
        <w:left w:val="none" w:sz="0" w:space="0" w:color="auto"/>
        <w:bottom w:val="none" w:sz="0" w:space="0" w:color="auto"/>
        <w:right w:val="none" w:sz="0" w:space="0" w:color="auto"/>
      </w:divBdr>
    </w:div>
    <w:div w:id="396057889">
      <w:bodyDiv w:val="1"/>
      <w:marLeft w:val="0"/>
      <w:marRight w:val="0"/>
      <w:marTop w:val="0"/>
      <w:marBottom w:val="0"/>
      <w:divBdr>
        <w:top w:val="none" w:sz="0" w:space="0" w:color="auto"/>
        <w:left w:val="none" w:sz="0" w:space="0" w:color="auto"/>
        <w:bottom w:val="none" w:sz="0" w:space="0" w:color="auto"/>
        <w:right w:val="none" w:sz="0" w:space="0" w:color="auto"/>
      </w:divBdr>
    </w:div>
    <w:div w:id="433868613">
      <w:bodyDiv w:val="1"/>
      <w:marLeft w:val="0"/>
      <w:marRight w:val="0"/>
      <w:marTop w:val="0"/>
      <w:marBottom w:val="0"/>
      <w:divBdr>
        <w:top w:val="none" w:sz="0" w:space="0" w:color="auto"/>
        <w:left w:val="none" w:sz="0" w:space="0" w:color="auto"/>
        <w:bottom w:val="none" w:sz="0" w:space="0" w:color="auto"/>
        <w:right w:val="none" w:sz="0" w:space="0" w:color="auto"/>
      </w:divBdr>
    </w:div>
    <w:div w:id="437602287">
      <w:bodyDiv w:val="1"/>
      <w:marLeft w:val="0"/>
      <w:marRight w:val="0"/>
      <w:marTop w:val="0"/>
      <w:marBottom w:val="0"/>
      <w:divBdr>
        <w:top w:val="none" w:sz="0" w:space="0" w:color="auto"/>
        <w:left w:val="none" w:sz="0" w:space="0" w:color="auto"/>
        <w:bottom w:val="none" w:sz="0" w:space="0" w:color="auto"/>
        <w:right w:val="none" w:sz="0" w:space="0" w:color="auto"/>
      </w:divBdr>
    </w:div>
    <w:div w:id="441653824">
      <w:bodyDiv w:val="1"/>
      <w:marLeft w:val="0"/>
      <w:marRight w:val="0"/>
      <w:marTop w:val="0"/>
      <w:marBottom w:val="0"/>
      <w:divBdr>
        <w:top w:val="none" w:sz="0" w:space="0" w:color="auto"/>
        <w:left w:val="none" w:sz="0" w:space="0" w:color="auto"/>
        <w:bottom w:val="none" w:sz="0" w:space="0" w:color="auto"/>
        <w:right w:val="none" w:sz="0" w:space="0" w:color="auto"/>
      </w:divBdr>
    </w:div>
    <w:div w:id="486016728">
      <w:bodyDiv w:val="1"/>
      <w:marLeft w:val="0"/>
      <w:marRight w:val="0"/>
      <w:marTop w:val="0"/>
      <w:marBottom w:val="0"/>
      <w:divBdr>
        <w:top w:val="none" w:sz="0" w:space="0" w:color="auto"/>
        <w:left w:val="none" w:sz="0" w:space="0" w:color="auto"/>
        <w:bottom w:val="none" w:sz="0" w:space="0" w:color="auto"/>
        <w:right w:val="none" w:sz="0" w:space="0" w:color="auto"/>
      </w:divBdr>
    </w:div>
    <w:div w:id="520976383">
      <w:bodyDiv w:val="1"/>
      <w:marLeft w:val="0"/>
      <w:marRight w:val="0"/>
      <w:marTop w:val="0"/>
      <w:marBottom w:val="0"/>
      <w:divBdr>
        <w:top w:val="none" w:sz="0" w:space="0" w:color="auto"/>
        <w:left w:val="none" w:sz="0" w:space="0" w:color="auto"/>
        <w:bottom w:val="none" w:sz="0" w:space="0" w:color="auto"/>
        <w:right w:val="none" w:sz="0" w:space="0" w:color="auto"/>
      </w:divBdr>
    </w:div>
    <w:div w:id="628167086">
      <w:bodyDiv w:val="1"/>
      <w:marLeft w:val="0"/>
      <w:marRight w:val="0"/>
      <w:marTop w:val="0"/>
      <w:marBottom w:val="0"/>
      <w:divBdr>
        <w:top w:val="none" w:sz="0" w:space="0" w:color="auto"/>
        <w:left w:val="none" w:sz="0" w:space="0" w:color="auto"/>
        <w:bottom w:val="none" w:sz="0" w:space="0" w:color="auto"/>
        <w:right w:val="none" w:sz="0" w:space="0" w:color="auto"/>
      </w:divBdr>
    </w:div>
    <w:div w:id="673722695">
      <w:bodyDiv w:val="1"/>
      <w:marLeft w:val="0"/>
      <w:marRight w:val="0"/>
      <w:marTop w:val="0"/>
      <w:marBottom w:val="0"/>
      <w:divBdr>
        <w:top w:val="none" w:sz="0" w:space="0" w:color="auto"/>
        <w:left w:val="none" w:sz="0" w:space="0" w:color="auto"/>
        <w:bottom w:val="none" w:sz="0" w:space="0" w:color="auto"/>
        <w:right w:val="none" w:sz="0" w:space="0" w:color="auto"/>
      </w:divBdr>
    </w:div>
    <w:div w:id="684096983">
      <w:bodyDiv w:val="1"/>
      <w:marLeft w:val="0"/>
      <w:marRight w:val="0"/>
      <w:marTop w:val="0"/>
      <w:marBottom w:val="0"/>
      <w:divBdr>
        <w:top w:val="none" w:sz="0" w:space="0" w:color="auto"/>
        <w:left w:val="none" w:sz="0" w:space="0" w:color="auto"/>
        <w:bottom w:val="none" w:sz="0" w:space="0" w:color="auto"/>
        <w:right w:val="none" w:sz="0" w:space="0" w:color="auto"/>
      </w:divBdr>
    </w:div>
    <w:div w:id="698316583">
      <w:bodyDiv w:val="1"/>
      <w:marLeft w:val="0"/>
      <w:marRight w:val="0"/>
      <w:marTop w:val="0"/>
      <w:marBottom w:val="0"/>
      <w:divBdr>
        <w:top w:val="none" w:sz="0" w:space="0" w:color="auto"/>
        <w:left w:val="none" w:sz="0" w:space="0" w:color="auto"/>
        <w:bottom w:val="none" w:sz="0" w:space="0" w:color="auto"/>
        <w:right w:val="none" w:sz="0" w:space="0" w:color="auto"/>
      </w:divBdr>
    </w:div>
    <w:div w:id="779958759">
      <w:bodyDiv w:val="1"/>
      <w:marLeft w:val="0"/>
      <w:marRight w:val="0"/>
      <w:marTop w:val="0"/>
      <w:marBottom w:val="0"/>
      <w:divBdr>
        <w:top w:val="none" w:sz="0" w:space="0" w:color="auto"/>
        <w:left w:val="none" w:sz="0" w:space="0" w:color="auto"/>
        <w:bottom w:val="none" w:sz="0" w:space="0" w:color="auto"/>
        <w:right w:val="none" w:sz="0" w:space="0" w:color="auto"/>
      </w:divBdr>
    </w:div>
    <w:div w:id="798912865">
      <w:bodyDiv w:val="1"/>
      <w:marLeft w:val="0"/>
      <w:marRight w:val="0"/>
      <w:marTop w:val="0"/>
      <w:marBottom w:val="0"/>
      <w:divBdr>
        <w:top w:val="none" w:sz="0" w:space="0" w:color="auto"/>
        <w:left w:val="none" w:sz="0" w:space="0" w:color="auto"/>
        <w:bottom w:val="none" w:sz="0" w:space="0" w:color="auto"/>
        <w:right w:val="none" w:sz="0" w:space="0" w:color="auto"/>
      </w:divBdr>
    </w:div>
    <w:div w:id="799156252">
      <w:bodyDiv w:val="1"/>
      <w:marLeft w:val="0"/>
      <w:marRight w:val="0"/>
      <w:marTop w:val="0"/>
      <w:marBottom w:val="0"/>
      <w:divBdr>
        <w:top w:val="none" w:sz="0" w:space="0" w:color="auto"/>
        <w:left w:val="none" w:sz="0" w:space="0" w:color="auto"/>
        <w:bottom w:val="none" w:sz="0" w:space="0" w:color="auto"/>
        <w:right w:val="none" w:sz="0" w:space="0" w:color="auto"/>
      </w:divBdr>
    </w:div>
    <w:div w:id="836386361">
      <w:bodyDiv w:val="1"/>
      <w:marLeft w:val="0"/>
      <w:marRight w:val="0"/>
      <w:marTop w:val="0"/>
      <w:marBottom w:val="0"/>
      <w:divBdr>
        <w:top w:val="none" w:sz="0" w:space="0" w:color="auto"/>
        <w:left w:val="none" w:sz="0" w:space="0" w:color="auto"/>
        <w:bottom w:val="none" w:sz="0" w:space="0" w:color="auto"/>
        <w:right w:val="none" w:sz="0" w:space="0" w:color="auto"/>
      </w:divBdr>
    </w:div>
    <w:div w:id="877165726">
      <w:bodyDiv w:val="1"/>
      <w:marLeft w:val="0"/>
      <w:marRight w:val="0"/>
      <w:marTop w:val="0"/>
      <w:marBottom w:val="0"/>
      <w:divBdr>
        <w:top w:val="none" w:sz="0" w:space="0" w:color="auto"/>
        <w:left w:val="none" w:sz="0" w:space="0" w:color="auto"/>
        <w:bottom w:val="none" w:sz="0" w:space="0" w:color="auto"/>
        <w:right w:val="none" w:sz="0" w:space="0" w:color="auto"/>
      </w:divBdr>
    </w:div>
    <w:div w:id="935134329">
      <w:bodyDiv w:val="1"/>
      <w:marLeft w:val="0"/>
      <w:marRight w:val="0"/>
      <w:marTop w:val="0"/>
      <w:marBottom w:val="0"/>
      <w:divBdr>
        <w:top w:val="none" w:sz="0" w:space="0" w:color="auto"/>
        <w:left w:val="none" w:sz="0" w:space="0" w:color="auto"/>
        <w:bottom w:val="none" w:sz="0" w:space="0" w:color="auto"/>
        <w:right w:val="none" w:sz="0" w:space="0" w:color="auto"/>
      </w:divBdr>
    </w:div>
    <w:div w:id="962157711">
      <w:bodyDiv w:val="1"/>
      <w:marLeft w:val="0"/>
      <w:marRight w:val="0"/>
      <w:marTop w:val="0"/>
      <w:marBottom w:val="0"/>
      <w:divBdr>
        <w:top w:val="none" w:sz="0" w:space="0" w:color="auto"/>
        <w:left w:val="none" w:sz="0" w:space="0" w:color="auto"/>
        <w:bottom w:val="none" w:sz="0" w:space="0" w:color="auto"/>
        <w:right w:val="none" w:sz="0" w:space="0" w:color="auto"/>
      </w:divBdr>
    </w:div>
    <w:div w:id="989213626">
      <w:bodyDiv w:val="1"/>
      <w:marLeft w:val="0"/>
      <w:marRight w:val="0"/>
      <w:marTop w:val="0"/>
      <w:marBottom w:val="0"/>
      <w:divBdr>
        <w:top w:val="none" w:sz="0" w:space="0" w:color="auto"/>
        <w:left w:val="none" w:sz="0" w:space="0" w:color="auto"/>
        <w:bottom w:val="none" w:sz="0" w:space="0" w:color="auto"/>
        <w:right w:val="none" w:sz="0" w:space="0" w:color="auto"/>
      </w:divBdr>
    </w:div>
    <w:div w:id="995301723">
      <w:bodyDiv w:val="1"/>
      <w:marLeft w:val="0"/>
      <w:marRight w:val="0"/>
      <w:marTop w:val="0"/>
      <w:marBottom w:val="0"/>
      <w:divBdr>
        <w:top w:val="none" w:sz="0" w:space="0" w:color="auto"/>
        <w:left w:val="none" w:sz="0" w:space="0" w:color="auto"/>
        <w:bottom w:val="none" w:sz="0" w:space="0" w:color="auto"/>
        <w:right w:val="none" w:sz="0" w:space="0" w:color="auto"/>
      </w:divBdr>
    </w:div>
    <w:div w:id="997228211">
      <w:bodyDiv w:val="1"/>
      <w:marLeft w:val="0"/>
      <w:marRight w:val="0"/>
      <w:marTop w:val="0"/>
      <w:marBottom w:val="0"/>
      <w:divBdr>
        <w:top w:val="none" w:sz="0" w:space="0" w:color="auto"/>
        <w:left w:val="none" w:sz="0" w:space="0" w:color="auto"/>
        <w:bottom w:val="none" w:sz="0" w:space="0" w:color="auto"/>
        <w:right w:val="none" w:sz="0" w:space="0" w:color="auto"/>
      </w:divBdr>
    </w:div>
    <w:div w:id="1003388332">
      <w:bodyDiv w:val="1"/>
      <w:marLeft w:val="0"/>
      <w:marRight w:val="0"/>
      <w:marTop w:val="0"/>
      <w:marBottom w:val="0"/>
      <w:divBdr>
        <w:top w:val="none" w:sz="0" w:space="0" w:color="auto"/>
        <w:left w:val="none" w:sz="0" w:space="0" w:color="auto"/>
        <w:bottom w:val="none" w:sz="0" w:space="0" w:color="auto"/>
        <w:right w:val="none" w:sz="0" w:space="0" w:color="auto"/>
      </w:divBdr>
    </w:div>
    <w:div w:id="1005743844">
      <w:bodyDiv w:val="1"/>
      <w:marLeft w:val="0"/>
      <w:marRight w:val="0"/>
      <w:marTop w:val="0"/>
      <w:marBottom w:val="0"/>
      <w:divBdr>
        <w:top w:val="none" w:sz="0" w:space="0" w:color="auto"/>
        <w:left w:val="none" w:sz="0" w:space="0" w:color="auto"/>
        <w:bottom w:val="none" w:sz="0" w:space="0" w:color="auto"/>
        <w:right w:val="none" w:sz="0" w:space="0" w:color="auto"/>
      </w:divBdr>
    </w:div>
    <w:div w:id="1097016964">
      <w:bodyDiv w:val="1"/>
      <w:marLeft w:val="0"/>
      <w:marRight w:val="0"/>
      <w:marTop w:val="0"/>
      <w:marBottom w:val="0"/>
      <w:divBdr>
        <w:top w:val="none" w:sz="0" w:space="0" w:color="auto"/>
        <w:left w:val="none" w:sz="0" w:space="0" w:color="auto"/>
        <w:bottom w:val="none" w:sz="0" w:space="0" w:color="auto"/>
        <w:right w:val="none" w:sz="0" w:space="0" w:color="auto"/>
      </w:divBdr>
    </w:div>
    <w:div w:id="1126849341">
      <w:bodyDiv w:val="1"/>
      <w:marLeft w:val="0"/>
      <w:marRight w:val="0"/>
      <w:marTop w:val="0"/>
      <w:marBottom w:val="0"/>
      <w:divBdr>
        <w:top w:val="none" w:sz="0" w:space="0" w:color="auto"/>
        <w:left w:val="none" w:sz="0" w:space="0" w:color="auto"/>
        <w:bottom w:val="none" w:sz="0" w:space="0" w:color="auto"/>
        <w:right w:val="none" w:sz="0" w:space="0" w:color="auto"/>
      </w:divBdr>
    </w:div>
    <w:div w:id="1135954170">
      <w:bodyDiv w:val="1"/>
      <w:marLeft w:val="0"/>
      <w:marRight w:val="0"/>
      <w:marTop w:val="0"/>
      <w:marBottom w:val="0"/>
      <w:divBdr>
        <w:top w:val="none" w:sz="0" w:space="0" w:color="auto"/>
        <w:left w:val="none" w:sz="0" w:space="0" w:color="auto"/>
        <w:bottom w:val="none" w:sz="0" w:space="0" w:color="auto"/>
        <w:right w:val="none" w:sz="0" w:space="0" w:color="auto"/>
      </w:divBdr>
    </w:div>
    <w:div w:id="1170801339">
      <w:bodyDiv w:val="1"/>
      <w:marLeft w:val="0"/>
      <w:marRight w:val="0"/>
      <w:marTop w:val="0"/>
      <w:marBottom w:val="0"/>
      <w:divBdr>
        <w:top w:val="none" w:sz="0" w:space="0" w:color="auto"/>
        <w:left w:val="none" w:sz="0" w:space="0" w:color="auto"/>
        <w:bottom w:val="none" w:sz="0" w:space="0" w:color="auto"/>
        <w:right w:val="none" w:sz="0" w:space="0" w:color="auto"/>
      </w:divBdr>
    </w:div>
    <w:div w:id="1224176093">
      <w:bodyDiv w:val="1"/>
      <w:marLeft w:val="0"/>
      <w:marRight w:val="0"/>
      <w:marTop w:val="0"/>
      <w:marBottom w:val="0"/>
      <w:divBdr>
        <w:top w:val="none" w:sz="0" w:space="0" w:color="auto"/>
        <w:left w:val="none" w:sz="0" w:space="0" w:color="auto"/>
        <w:bottom w:val="none" w:sz="0" w:space="0" w:color="auto"/>
        <w:right w:val="none" w:sz="0" w:space="0" w:color="auto"/>
      </w:divBdr>
    </w:div>
    <w:div w:id="1228035527">
      <w:bodyDiv w:val="1"/>
      <w:marLeft w:val="0"/>
      <w:marRight w:val="0"/>
      <w:marTop w:val="0"/>
      <w:marBottom w:val="0"/>
      <w:divBdr>
        <w:top w:val="none" w:sz="0" w:space="0" w:color="auto"/>
        <w:left w:val="none" w:sz="0" w:space="0" w:color="auto"/>
        <w:bottom w:val="none" w:sz="0" w:space="0" w:color="auto"/>
        <w:right w:val="none" w:sz="0" w:space="0" w:color="auto"/>
      </w:divBdr>
    </w:div>
    <w:div w:id="1247686783">
      <w:bodyDiv w:val="1"/>
      <w:marLeft w:val="0"/>
      <w:marRight w:val="0"/>
      <w:marTop w:val="0"/>
      <w:marBottom w:val="0"/>
      <w:divBdr>
        <w:top w:val="none" w:sz="0" w:space="0" w:color="auto"/>
        <w:left w:val="none" w:sz="0" w:space="0" w:color="auto"/>
        <w:bottom w:val="none" w:sz="0" w:space="0" w:color="auto"/>
        <w:right w:val="none" w:sz="0" w:space="0" w:color="auto"/>
      </w:divBdr>
    </w:div>
    <w:div w:id="1269046448">
      <w:bodyDiv w:val="1"/>
      <w:marLeft w:val="0"/>
      <w:marRight w:val="0"/>
      <w:marTop w:val="0"/>
      <w:marBottom w:val="0"/>
      <w:divBdr>
        <w:top w:val="none" w:sz="0" w:space="0" w:color="auto"/>
        <w:left w:val="none" w:sz="0" w:space="0" w:color="auto"/>
        <w:bottom w:val="none" w:sz="0" w:space="0" w:color="auto"/>
        <w:right w:val="none" w:sz="0" w:space="0" w:color="auto"/>
      </w:divBdr>
    </w:div>
    <w:div w:id="1281955441">
      <w:bodyDiv w:val="1"/>
      <w:marLeft w:val="0"/>
      <w:marRight w:val="0"/>
      <w:marTop w:val="0"/>
      <w:marBottom w:val="0"/>
      <w:divBdr>
        <w:top w:val="none" w:sz="0" w:space="0" w:color="auto"/>
        <w:left w:val="none" w:sz="0" w:space="0" w:color="auto"/>
        <w:bottom w:val="none" w:sz="0" w:space="0" w:color="auto"/>
        <w:right w:val="none" w:sz="0" w:space="0" w:color="auto"/>
      </w:divBdr>
    </w:div>
    <w:div w:id="1306667636">
      <w:bodyDiv w:val="1"/>
      <w:marLeft w:val="0"/>
      <w:marRight w:val="0"/>
      <w:marTop w:val="0"/>
      <w:marBottom w:val="0"/>
      <w:divBdr>
        <w:top w:val="none" w:sz="0" w:space="0" w:color="auto"/>
        <w:left w:val="none" w:sz="0" w:space="0" w:color="auto"/>
        <w:bottom w:val="none" w:sz="0" w:space="0" w:color="auto"/>
        <w:right w:val="none" w:sz="0" w:space="0" w:color="auto"/>
      </w:divBdr>
    </w:div>
    <w:div w:id="1340767430">
      <w:bodyDiv w:val="1"/>
      <w:marLeft w:val="0"/>
      <w:marRight w:val="0"/>
      <w:marTop w:val="0"/>
      <w:marBottom w:val="0"/>
      <w:divBdr>
        <w:top w:val="none" w:sz="0" w:space="0" w:color="auto"/>
        <w:left w:val="none" w:sz="0" w:space="0" w:color="auto"/>
        <w:bottom w:val="none" w:sz="0" w:space="0" w:color="auto"/>
        <w:right w:val="none" w:sz="0" w:space="0" w:color="auto"/>
      </w:divBdr>
    </w:div>
    <w:div w:id="1345549317">
      <w:bodyDiv w:val="1"/>
      <w:marLeft w:val="0"/>
      <w:marRight w:val="0"/>
      <w:marTop w:val="0"/>
      <w:marBottom w:val="0"/>
      <w:divBdr>
        <w:top w:val="none" w:sz="0" w:space="0" w:color="auto"/>
        <w:left w:val="none" w:sz="0" w:space="0" w:color="auto"/>
        <w:bottom w:val="none" w:sz="0" w:space="0" w:color="auto"/>
        <w:right w:val="none" w:sz="0" w:space="0" w:color="auto"/>
      </w:divBdr>
    </w:div>
    <w:div w:id="1359160435">
      <w:bodyDiv w:val="1"/>
      <w:marLeft w:val="0"/>
      <w:marRight w:val="0"/>
      <w:marTop w:val="0"/>
      <w:marBottom w:val="0"/>
      <w:divBdr>
        <w:top w:val="none" w:sz="0" w:space="0" w:color="auto"/>
        <w:left w:val="none" w:sz="0" w:space="0" w:color="auto"/>
        <w:bottom w:val="none" w:sz="0" w:space="0" w:color="auto"/>
        <w:right w:val="none" w:sz="0" w:space="0" w:color="auto"/>
      </w:divBdr>
    </w:div>
    <w:div w:id="1365256588">
      <w:bodyDiv w:val="1"/>
      <w:marLeft w:val="0"/>
      <w:marRight w:val="0"/>
      <w:marTop w:val="0"/>
      <w:marBottom w:val="0"/>
      <w:divBdr>
        <w:top w:val="none" w:sz="0" w:space="0" w:color="auto"/>
        <w:left w:val="none" w:sz="0" w:space="0" w:color="auto"/>
        <w:bottom w:val="none" w:sz="0" w:space="0" w:color="auto"/>
        <w:right w:val="none" w:sz="0" w:space="0" w:color="auto"/>
      </w:divBdr>
    </w:div>
    <w:div w:id="1376467127">
      <w:bodyDiv w:val="1"/>
      <w:marLeft w:val="0"/>
      <w:marRight w:val="0"/>
      <w:marTop w:val="0"/>
      <w:marBottom w:val="0"/>
      <w:divBdr>
        <w:top w:val="none" w:sz="0" w:space="0" w:color="auto"/>
        <w:left w:val="none" w:sz="0" w:space="0" w:color="auto"/>
        <w:bottom w:val="none" w:sz="0" w:space="0" w:color="auto"/>
        <w:right w:val="none" w:sz="0" w:space="0" w:color="auto"/>
      </w:divBdr>
    </w:div>
    <w:div w:id="1412502537">
      <w:bodyDiv w:val="1"/>
      <w:marLeft w:val="0"/>
      <w:marRight w:val="0"/>
      <w:marTop w:val="0"/>
      <w:marBottom w:val="0"/>
      <w:divBdr>
        <w:top w:val="none" w:sz="0" w:space="0" w:color="auto"/>
        <w:left w:val="none" w:sz="0" w:space="0" w:color="auto"/>
        <w:bottom w:val="none" w:sz="0" w:space="0" w:color="auto"/>
        <w:right w:val="none" w:sz="0" w:space="0" w:color="auto"/>
      </w:divBdr>
    </w:div>
    <w:div w:id="1423263650">
      <w:bodyDiv w:val="1"/>
      <w:marLeft w:val="0"/>
      <w:marRight w:val="0"/>
      <w:marTop w:val="0"/>
      <w:marBottom w:val="0"/>
      <w:divBdr>
        <w:top w:val="none" w:sz="0" w:space="0" w:color="auto"/>
        <w:left w:val="none" w:sz="0" w:space="0" w:color="auto"/>
        <w:bottom w:val="none" w:sz="0" w:space="0" w:color="auto"/>
        <w:right w:val="none" w:sz="0" w:space="0" w:color="auto"/>
      </w:divBdr>
    </w:div>
    <w:div w:id="1466464972">
      <w:bodyDiv w:val="1"/>
      <w:marLeft w:val="0"/>
      <w:marRight w:val="0"/>
      <w:marTop w:val="0"/>
      <w:marBottom w:val="0"/>
      <w:divBdr>
        <w:top w:val="none" w:sz="0" w:space="0" w:color="auto"/>
        <w:left w:val="none" w:sz="0" w:space="0" w:color="auto"/>
        <w:bottom w:val="none" w:sz="0" w:space="0" w:color="auto"/>
        <w:right w:val="none" w:sz="0" w:space="0" w:color="auto"/>
      </w:divBdr>
    </w:div>
    <w:div w:id="1497839032">
      <w:bodyDiv w:val="1"/>
      <w:marLeft w:val="0"/>
      <w:marRight w:val="0"/>
      <w:marTop w:val="0"/>
      <w:marBottom w:val="0"/>
      <w:divBdr>
        <w:top w:val="none" w:sz="0" w:space="0" w:color="auto"/>
        <w:left w:val="none" w:sz="0" w:space="0" w:color="auto"/>
        <w:bottom w:val="none" w:sz="0" w:space="0" w:color="auto"/>
        <w:right w:val="none" w:sz="0" w:space="0" w:color="auto"/>
      </w:divBdr>
    </w:div>
    <w:div w:id="1513839111">
      <w:bodyDiv w:val="1"/>
      <w:marLeft w:val="0"/>
      <w:marRight w:val="0"/>
      <w:marTop w:val="0"/>
      <w:marBottom w:val="0"/>
      <w:divBdr>
        <w:top w:val="none" w:sz="0" w:space="0" w:color="auto"/>
        <w:left w:val="none" w:sz="0" w:space="0" w:color="auto"/>
        <w:bottom w:val="none" w:sz="0" w:space="0" w:color="auto"/>
        <w:right w:val="none" w:sz="0" w:space="0" w:color="auto"/>
      </w:divBdr>
    </w:div>
    <w:div w:id="1520043105">
      <w:bodyDiv w:val="1"/>
      <w:marLeft w:val="0"/>
      <w:marRight w:val="0"/>
      <w:marTop w:val="0"/>
      <w:marBottom w:val="0"/>
      <w:divBdr>
        <w:top w:val="none" w:sz="0" w:space="0" w:color="auto"/>
        <w:left w:val="none" w:sz="0" w:space="0" w:color="auto"/>
        <w:bottom w:val="none" w:sz="0" w:space="0" w:color="auto"/>
        <w:right w:val="none" w:sz="0" w:space="0" w:color="auto"/>
      </w:divBdr>
    </w:div>
    <w:div w:id="1551455843">
      <w:bodyDiv w:val="1"/>
      <w:marLeft w:val="0"/>
      <w:marRight w:val="0"/>
      <w:marTop w:val="0"/>
      <w:marBottom w:val="0"/>
      <w:divBdr>
        <w:top w:val="none" w:sz="0" w:space="0" w:color="auto"/>
        <w:left w:val="none" w:sz="0" w:space="0" w:color="auto"/>
        <w:bottom w:val="none" w:sz="0" w:space="0" w:color="auto"/>
        <w:right w:val="none" w:sz="0" w:space="0" w:color="auto"/>
      </w:divBdr>
    </w:div>
    <w:div w:id="1559321052">
      <w:bodyDiv w:val="1"/>
      <w:marLeft w:val="0"/>
      <w:marRight w:val="0"/>
      <w:marTop w:val="0"/>
      <w:marBottom w:val="0"/>
      <w:divBdr>
        <w:top w:val="none" w:sz="0" w:space="0" w:color="auto"/>
        <w:left w:val="none" w:sz="0" w:space="0" w:color="auto"/>
        <w:bottom w:val="none" w:sz="0" w:space="0" w:color="auto"/>
        <w:right w:val="none" w:sz="0" w:space="0" w:color="auto"/>
      </w:divBdr>
    </w:div>
    <w:div w:id="1641614061">
      <w:bodyDiv w:val="1"/>
      <w:marLeft w:val="0"/>
      <w:marRight w:val="0"/>
      <w:marTop w:val="0"/>
      <w:marBottom w:val="0"/>
      <w:divBdr>
        <w:top w:val="none" w:sz="0" w:space="0" w:color="auto"/>
        <w:left w:val="none" w:sz="0" w:space="0" w:color="auto"/>
        <w:bottom w:val="none" w:sz="0" w:space="0" w:color="auto"/>
        <w:right w:val="none" w:sz="0" w:space="0" w:color="auto"/>
      </w:divBdr>
    </w:div>
    <w:div w:id="1696878514">
      <w:bodyDiv w:val="1"/>
      <w:marLeft w:val="0"/>
      <w:marRight w:val="0"/>
      <w:marTop w:val="0"/>
      <w:marBottom w:val="0"/>
      <w:divBdr>
        <w:top w:val="none" w:sz="0" w:space="0" w:color="auto"/>
        <w:left w:val="none" w:sz="0" w:space="0" w:color="auto"/>
        <w:bottom w:val="none" w:sz="0" w:space="0" w:color="auto"/>
        <w:right w:val="none" w:sz="0" w:space="0" w:color="auto"/>
      </w:divBdr>
    </w:div>
    <w:div w:id="1764915927">
      <w:bodyDiv w:val="1"/>
      <w:marLeft w:val="0"/>
      <w:marRight w:val="0"/>
      <w:marTop w:val="0"/>
      <w:marBottom w:val="0"/>
      <w:divBdr>
        <w:top w:val="none" w:sz="0" w:space="0" w:color="auto"/>
        <w:left w:val="none" w:sz="0" w:space="0" w:color="auto"/>
        <w:bottom w:val="none" w:sz="0" w:space="0" w:color="auto"/>
        <w:right w:val="none" w:sz="0" w:space="0" w:color="auto"/>
      </w:divBdr>
    </w:div>
    <w:div w:id="1807703110">
      <w:bodyDiv w:val="1"/>
      <w:marLeft w:val="0"/>
      <w:marRight w:val="0"/>
      <w:marTop w:val="0"/>
      <w:marBottom w:val="0"/>
      <w:divBdr>
        <w:top w:val="none" w:sz="0" w:space="0" w:color="auto"/>
        <w:left w:val="none" w:sz="0" w:space="0" w:color="auto"/>
        <w:bottom w:val="none" w:sz="0" w:space="0" w:color="auto"/>
        <w:right w:val="none" w:sz="0" w:space="0" w:color="auto"/>
      </w:divBdr>
    </w:div>
    <w:div w:id="1820919192">
      <w:bodyDiv w:val="1"/>
      <w:marLeft w:val="0"/>
      <w:marRight w:val="0"/>
      <w:marTop w:val="0"/>
      <w:marBottom w:val="0"/>
      <w:divBdr>
        <w:top w:val="none" w:sz="0" w:space="0" w:color="auto"/>
        <w:left w:val="none" w:sz="0" w:space="0" w:color="auto"/>
        <w:bottom w:val="none" w:sz="0" w:space="0" w:color="auto"/>
        <w:right w:val="none" w:sz="0" w:space="0" w:color="auto"/>
      </w:divBdr>
    </w:div>
    <w:div w:id="1863320211">
      <w:bodyDiv w:val="1"/>
      <w:marLeft w:val="0"/>
      <w:marRight w:val="0"/>
      <w:marTop w:val="0"/>
      <w:marBottom w:val="0"/>
      <w:divBdr>
        <w:top w:val="none" w:sz="0" w:space="0" w:color="auto"/>
        <w:left w:val="none" w:sz="0" w:space="0" w:color="auto"/>
        <w:bottom w:val="none" w:sz="0" w:space="0" w:color="auto"/>
        <w:right w:val="none" w:sz="0" w:space="0" w:color="auto"/>
      </w:divBdr>
    </w:div>
    <w:div w:id="1905094289">
      <w:bodyDiv w:val="1"/>
      <w:marLeft w:val="0"/>
      <w:marRight w:val="0"/>
      <w:marTop w:val="0"/>
      <w:marBottom w:val="0"/>
      <w:divBdr>
        <w:top w:val="none" w:sz="0" w:space="0" w:color="auto"/>
        <w:left w:val="none" w:sz="0" w:space="0" w:color="auto"/>
        <w:bottom w:val="none" w:sz="0" w:space="0" w:color="auto"/>
        <w:right w:val="none" w:sz="0" w:space="0" w:color="auto"/>
      </w:divBdr>
    </w:div>
    <w:div w:id="1907492906">
      <w:bodyDiv w:val="1"/>
      <w:marLeft w:val="0"/>
      <w:marRight w:val="0"/>
      <w:marTop w:val="0"/>
      <w:marBottom w:val="0"/>
      <w:divBdr>
        <w:top w:val="none" w:sz="0" w:space="0" w:color="auto"/>
        <w:left w:val="none" w:sz="0" w:space="0" w:color="auto"/>
        <w:bottom w:val="none" w:sz="0" w:space="0" w:color="auto"/>
        <w:right w:val="none" w:sz="0" w:space="0" w:color="auto"/>
      </w:divBdr>
    </w:div>
    <w:div w:id="1910001339">
      <w:bodyDiv w:val="1"/>
      <w:marLeft w:val="0"/>
      <w:marRight w:val="0"/>
      <w:marTop w:val="0"/>
      <w:marBottom w:val="0"/>
      <w:divBdr>
        <w:top w:val="none" w:sz="0" w:space="0" w:color="auto"/>
        <w:left w:val="none" w:sz="0" w:space="0" w:color="auto"/>
        <w:bottom w:val="none" w:sz="0" w:space="0" w:color="auto"/>
        <w:right w:val="none" w:sz="0" w:space="0" w:color="auto"/>
      </w:divBdr>
    </w:div>
    <w:div w:id="1916429143">
      <w:bodyDiv w:val="1"/>
      <w:marLeft w:val="0"/>
      <w:marRight w:val="0"/>
      <w:marTop w:val="0"/>
      <w:marBottom w:val="0"/>
      <w:divBdr>
        <w:top w:val="none" w:sz="0" w:space="0" w:color="auto"/>
        <w:left w:val="none" w:sz="0" w:space="0" w:color="auto"/>
        <w:bottom w:val="none" w:sz="0" w:space="0" w:color="auto"/>
        <w:right w:val="none" w:sz="0" w:space="0" w:color="auto"/>
      </w:divBdr>
    </w:div>
    <w:div w:id="1925994803">
      <w:bodyDiv w:val="1"/>
      <w:marLeft w:val="0"/>
      <w:marRight w:val="0"/>
      <w:marTop w:val="0"/>
      <w:marBottom w:val="0"/>
      <w:divBdr>
        <w:top w:val="none" w:sz="0" w:space="0" w:color="auto"/>
        <w:left w:val="none" w:sz="0" w:space="0" w:color="auto"/>
        <w:bottom w:val="none" w:sz="0" w:space="0" w:color="auto"/>
        <w:right w:val="none" w:sz="0" w:space="0" w:color="auto"/>
      </w:divBdr>
    </w:div>
    <w:div w:id="1953631170">
      <w:bodyDiv w:val="1"/>
      <w:marLeft w:val="0"/>
      <w:marRight w:val="0"/>
      <w:marTop w:val="0"/>
      <w:marBottom w:val="0"/>
      <w:divBdr>
        <w:top w:val="none" w:sz="0" w:space="0" w:color="auto"/>
        <w:left w:val="none" w:sz="0" w:space="0" w:color="auto"/>
        <w:bottom w:val="none" w:sz="0" w:space="0" w:color="auto"/>
        <w:right w:val="none" w:sz="0" w:space="0" w:color="auto"/>
      </w:divBdr>
    </w:div>
    <w:div w:id="1959989192">
      <w:bodyDiv w:val="1"/>
      <w:marLeft w:val="0"/>
      <w:marRight w:val="0"/>
      <w:marTop w:val="0"/>
      <w:marBottom w:val="0"/>
      <w:divBdr>
        <w:top w:val="none" w:sz="0" w:space="0" w:color="auto"/>
        <w:left w:val="none" w:sz="0" w:space="0" w:color="auto"/>
        <w:bottom w:val="none" w:sz="0" w:space="0" w:color="auto"/>
        <w:right w:val="none" w:sz="0" w:space="0" w:color="auto"/>
      </w:divBdr>
    </w:div>
    <w:div w:id="2017296065">
      <w:bodyDiv w:val="1"/>
      <w:marLeft w:val="0"/>
      <w:marRight w:val="0"/>
      <w:marTop w:val="0"/>
      <w:marBottom w:val="0"/>
      <w:divBdr>
        <w:top w:val="none" w:sz="0" w:space="0" w:color="auto"/>
        <w:left w:val="none" w:sz="0" w:space="0" w:color="auto"/>
        <w:bottom w:val="none" w:sz="0" w:space="0" w:color="auto"/>
        <w:right w:val="none" w:sz="0" w:space="0" w:color="auto"/>
      </w:divBdr>
    </w:div>
    <w:div w:id="2046517078">
      <w:bodyDiv w:val="1"/>
      <w:marLeft w:val="0"/>
      <w:marRight w:val="0"/>
      <w:marTop w:val="0"/>
      <w:marBottom w:val="0"/>
      <w:divBdr>
        <w:top w:val="none" w:sz="0" w:space="0" w:color="auto"/>
        <w:left w:val="none" w:sz="0" w:space="0" w:color="auto"/>
        <w:bottom w:val="none" w:sz="0" w:space="0" w:color="auto"/>
        <w:right w:val="none" w:sz="0" w:space="0" w:color="auto"/>
      </w:divBdr>
    </w:div>
    <w:div w:id="2070838985">
      <w:bodyDiv w:val="1"/>
      <w:marLeft w:val="0"/>
      <w:marRight w:val="0"/>
      <w:marTop w:val="0"/>
      <w:marBottom w:val="0"/>
      <w:divBdr>
        <w:top w:val="none" w:sz="0" w:space="0" w:color="auto"/>
        <w:left w:val="none" w:sz="0" w:space="0" w:color="auto"/>
        <w:bottom w:val="none" w:sz="0" w:space="0" w:color="auto"/>
        <w:right w:val="none" w:sz="0" w:space="0" w:color="auto"/>
      </w:divBdr>
    </w:div>
    <w:div w:id="2084060282">
      <w:bodyDiv w:val="1"/>
      <w:marLeft w:val="0"/>
      <w:marRight w:val="0"/>
      <w:marTop w:val="0"/>
      <w:marBottom w:val="0"/>
      <w:divBdr>
        <w:top w:val="none" w:sz="0" w:space="0" w:color="auto"/>
        <w:left w:val="none" w:sz="0" w:space="0" w:color="auto"/>
        <w:bottom w:val="none" w:sz="0" w:space="0" w:color="auto"/>
        <w:right w:val="none" w:sz="0" w:space="0" w:color="auto"/>
      </w:divBdr>
    </w:div>
    <w:div w:id="211474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ber.org/papers/w26949.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Cal20</b:Tag>
    <b:SourceType>InternetSite</b:SourceType>
    <b:Guid>{3F2DFCB8-CC1A-2D40-A3B8-0037A056F2E6}</b:Guid>
    <b:Title>California Orders Lockdown for State’s 40 Million Residents</b:Title>
    <b:InternetSiteTitle>Wall Street Journal</b:InternetSiteTitle>
    <b:URL>https://www.wsj.com/articles/china-reports-no-new-domestic-coronavirus-infections-for-the-first-time-since-outbreak-started-11584611233</b:URL>
    <b:Year>2020</b:Year>
    <b:Month>March</b:Month>
    <b:Day>19</b:Day>
    <b:Author>
      <b:Author>
        <b:NameList>
          <b:Person>
            <b:Last>Calfas</b:Last>
            <b:First>Jennifer</b:First>
          </b:Person>
          <b:Person>
            <b:Last>Stancati</b:Last>
            <b:First>Margherita</b:First>
          </b:Person>
          <b:Person>
            <b:Last>Yap</b:Last>
            <b:First>Chuin-Wei</b:First>
          </b:Person>
        </b:NameList>
      </b:Author>
    </b:Author>
    <b:RefOrder>14</b:RefOrder>
  </b:Source>
  <b:Source>
    <b:Tag>Wee19</b:Tag>
    <b:SourceType>JournalArticle</b:SourceType>
    <b:Guid>{1D5AFB08-7D7D-CC44-B8EA-8A3CFF2F0A80}</b:Guid>
    <b:Title>A comparison of industry classification schemes: A large sample study</b:Title>
    <b:Year>2013</b:Year>
    <b:Author>
      <b:Author>
        <b:NameList>
          <b:Person>
            <b:Last>Hrazdil</b:Last>
            <b:First>Karel</b:First>
          </b:Person>
          <b:Person>
            <b:Last>Trottier</b:Last>
            <b:First>Kim</b:First>
          </b:Person>
          <b:Person>
            <b:Last>Zhang</b:Last>
            <b:First>Ray</b:First>
          </b:Person>
        </b:NameList>
      </b:Author>
    </b:Author>
    <b:JournalName>Economic Letters</b:JournalName>
    <b:RefOrder>2</b:RefOrder>
  </b:Source>
  <b:Source>
    <b:Tag>Lis20</b:Tag>
    <b:SourceType>InternetSite</b:SourceType>
    <b:Guid>{FEFFFDBB-E8D9-604C-96E9-62CF943419C7}</b:Guid>
    <b:Title>List of S&amp;P 500 companies</b:Title>
    <b:Year>2020</b:Year>
    <b:InternetSiteTitle>Wikipedia</b:InternetSiteTitle>
    <b:URL>https://en.wikipedia.org/wiki/List_of_S%26P_500_companies</b:URL>
    <b:Month>5</b:Month>
    <b:Day>25</b:Day>
    <b:RefOrder>6</b:RefOrder>
  </b:Source>
  <b:Source>
    <b:Tag>SP520</b:Tag>
    <b:SourceType>InternetSite</b:SourceType>
    <b:Guid>{F75BE198-AC9E-3842-A5C3-00AA92C26B85}</b:Guid>
    <b:Title>S&amp;P 500</b:Title>
    <b:InternetSiteTitle>S&amp;P Dow Jones Indeces</b:InternetSiteTitle>
    <b:URL>https://us.spindices.com/indices/equity/sp-500</b:URL>
    <b:Year>2020</b:Year>
    <b:Month>5</b:Month>
    <b:RefOrder>5</b:RefOrder>
  </b:Source>
  <b:Source>
    <b:Tag>Fid19</b:Tag>
    <b:SourceType>Report</b:SourceType>
    <b:Guid>{D950DABF-AF38-9C43-A38D-8081A71DF589}</b:Guid>
    <b:Title>FIDELITY® 2019 RETIREMENT ANALYSIS: A RECORD NUMBER OF PEOPLE BOOST THEIR SAVINGS RATE IN Q2 AS AVERAGE ACCOUNT BALANCES CONTINUE TO INCREASE</b:Title>
    <b:Year>2019</b:Year>
    <b:Author>
      <b:Author>
        <b:Corporate>Fidelity Investments</b:Corporate>
      </b:Author>
    </b:Author>
    <b:Publisher>Fidelity Investments</b:Publisher>
    <b:City>Smithfield</b:City>
    <b:RefOrder>4</b:RefOrder>
  </b:Source>
  <b:Source>
    <b:Tag>Bau10</b:Tag>
    <b:SourceType>JournalArticle</b:SourceType>
    <b:Guid>{14B4B2D7-8052-044A-965A-897BDEF0DAEE}</b:Guid>
    <b:Title>Is Gold a Hedge or a Safe Haven? An Analysis of Stocks, Bonds and Gold</b:Title>
    <b:Publisher>Financial Review</b:Publisher>
    <b:Year>2010</b:Year>
    <b:Author>
      <b:Author>
        <b:NameList>
          <b:Person>
            <b:Last>Baur</b:Last>
            <b:First>Dirk</b:First>
            <b:Middle>G.</b:Middle>
          </b:Person>
          <b:Person>
            <b:Last>Lucey</b:Last>
            <b:Middle>M.</b:Middle>
            <b:First>Brian</b:First>
          </b:Person>
        </b:NameList>
      </b:Author>
    </b:Author>
    <b:JournalName>Financial Review</b:JournalName>
    <b:Pages>217-229</b:Pages>
    <b:RefOrder>13</b:RefOrder>
  </b:Source>
  <b:Source>
    <b:Tag>Alb20</b:Tag>
    <b:SourceType>Report</b:SourceType>
    <b:Guid>{F95438E4-85C6-4841-B7A9-4E34ED0A5A8B}</b:Guid>
    <b:Author>
      <b:Author>
        <b:NameList>
          <b:Person>
            <b:Last>Albulescu</b:Last>
            <b:First>Claudiu</b:First>
          </b:Person>
        </b:NameList>
      </b:Author>
    </b:Author>
    <b:Title>Coronavirus and Oil Price Crash</b:Title>
    <b:Year>2020</b:Year>
    <b:Publisher>University of Timisoara</b:Publisher>
    <b:RefOrder>9</b:RefOrder>
  </b:Source>
  <b:Source>
    <b:Tag>Jos20</b:Tag>
    <b:SourceType>InternetSite</b:SourceType>
    <b:Guid>{8C2F50B4-96B6-1641-A278-782476B2EA27}</b:Guid>
    <b:Title>Netflix is reducing streaming quality amid coronavirus. How will it affect viewing in Australia?</b:Title>
    <b:Year>2020</b:Year>
    <b:Author>
      <b:Author>
        <b:NameList>
          <b:Person>
            <b:Last>Taylor</b:Last>
            <b:First>Josh</b:First>
          </b:Person>
        </b:NameList>
      </b:Author>
    </b:Author>
    <b:InternetSiteTitle>The Guardian</b:InternetSiteTitle>
    <b:URL>https://www.theguardian.com/media/2020/mar/26/netflix-is-reducing-streaming-quality-amid-coronavirus-how-will-it-affect-viewing-in-australia</b:URL>
    <b:Month>March</b:Month>
    <b:Day>26</b:Day>
    <b:RefOrder>10</b:RefOrder>
  </b:Source>
  <b:Source>
    <b:Tag>Coi20</b:Tag>
    <b:SourceType>Report</b:SourceType>
    <b:Guid>{289CA722-8017-AE43-89AA-A56620DE6F36}</b:Guid>
    <b:Title>Labor Markets During the COVID-19 Crisis: A Preliminary View</b:Title>
    <b:Year>2020</b:Year>
    <b:Author>
      <b:Author>
        <b:NameList>
          <b:Person>
            <b:Last>Coibion</b:Last>
            <b:First>Oliver</b:First>
          </b:Person>
          <b:Person>
            <b:Last>Gorodnichenko</b:Last>
            <b:First>Yuriy</b:First>
          </b:Person>
          <b:Person>
            <b:Last>Weber</b:Last>
            <b:First>Michael</b:First>
          </b:Person>
        </b:NameList>
      </b:Author>
    </b:Author>
    <b:Publisher>National Bureau of Economic Research</b:Publisher>
    <b:RefOrder>11</b:RefOrder>
  </b:Source>
  <b:Source>
    <b:Tag>Gar20</b:Tag>
    <b:SourceType>InternetSite</b:SourceType>
    <b:Guid>{D039ADE3-0E6B-AD40-9D6B-2779E4014B57}</b:Guid>
    <b:Title>Map of when US states are ending lockdown</b:Title>
    <b:Year>2020</b:Year>
    <b:Author>
      <b:Author>
        <b:Corporate>Garnett</b:Corporate>
      </b:Author>
    </b:Author>
    <b:InternetSiteTitle>USA Today</b:InternetSiteTitle>
    <b:URL>https://www.usatoday.com/storytelling/coronavirus-reopening-america-map/</b:URL>
    <b:Month>May</b:Month>
    <b:Day>27</b:Day>
    <b:RefOrder>12</b:RefOrder>
  </b:Source>
  <b:Source>
    <b:Tag>Hay12</b:Tag>
    <b:SourceType>JournalArticle</b:SourceType>
    <b:Guid>{D4DEE80C-F4EB-A040-AA49-E667C0F5F9B7}</b:Guid>
    <b:Title>Communication matters: US monetary policy and commodity price volatility</b:Title>
    <b:Year>2012</b:Year>
    <b:JournalName>Economic Letters</b:JournalName>
    <b:Author>
      <b:Author>
        <b:NameList>
          <b:Person>
            <b:Last>Hayo</b:Last>
            <b:First>Bernd</b:First>
          </b:Person>
          <b:Person>
            <b:Last>Kutan</b:Last>
            <b:Middle>M.</b:Middle>
            <b:First>Ali</b:First>
          </b:Person>
          <b:Person>
            <b:Last>Neuenkirch</b:Last>
            <b:First>Mathias</b:First>
          </b:Person>
        </b:NameList>
      </b:Author>
    </b:Author>
    <b:RefOrder>8</b:RefOrder>
  </b:Source>
  <b:Source>
    <b:Tag>Vef93</b:Tag>
    <b:SourceType>JournalArticle</b:SourceType>
    <b:Guid>{B9F8CB38-5601-BE4D-9823-171F280514C0}</b:Guid>
    <b:Author>
      <b:Author>
        <b:NameList>
          <b:Person>
            <b:Last>Tarhan</b:Last>
            <b:First>Vefa</b:First>
          </b:Person>
        </b:NameList>
      </b:Author>
    </b:Author>
    <b:Title>Policy and volatility of asset returns</b:Title>
    <b:JournalName>Journal of Economics and Business</b:JournalName>
    <b:Year>1993</b:Year>
    <b:Pages>269-283</b:Pages>
    <b:RefOrder>3</b:RefOrder>
  </b:Source>
  <b:Source>
    <b:Tag>Cor15</b:Tag>
    <b:SourceType>InternetSite</b:SourceType>
    <b:Guid>{4360F79E-3E5C-8148-BB9B-39D6E040AB33}</b:Guid>
    <b:Title>What is beta guide</b:Title>
    <b:Year>2015</b:Year>
    <b:Author>
      <b:Author>
        <b:Corporate>Corporate Finance Institute</b:Corporate>
      </b:Author>
    </b:Author>
    <b:InternetSiteTitle>Corperate Finance Institute</b:InternetSiteTitle>
    <b:URL>https://corporatefinanceinstitute.com/resources/knowledge/valuation/what-is-beta-guide/</b:URL>
    <b:RefOrder>1</b:RefOrder>
  </b:Source>
  <b:Source>
    <b:Tag>USs20</b:Tag>
    <b:SourceType>DocumentFromInternetSite</b:SourceType>
    <b:Guid>{79E899D6-583A-114C-AA25-D458DA2C1186}</b:Guid>
    <b:Title>US states begin easing lockdowns as virus weakens in Asia   Read more at: https://economictimes.indiatimes.com/news/international/world-news/us-states-begin-easing-lockdowns-as-virus-weakens-in-asia/articleshow/75370662.cms?utm_source=contentofinterest&amp;ut</b:Title>
    <b:InternetSiteTitle>The Economic Times</b:InternetSiteTitle>
    <b:URL>https://economictimes.indiatimes.com/news/international/world-news/us-states-begin-easing-lockdowns-as-virus-weakens-in-asia/articleshow/75370662.cms</b:URL>
    <b:Year>2020</b:Year>
    <b:Month>April</b:Month>
    <b:Day>25</b:Day>
    <b:Author>
      <b:Author>
        <b:Corporate>Economic Times</b:Corporate>
      </b:Author>
    </b:Author>
    <b:RefOrder>15</b:RefOrder>
  </b:Source>
  <b:Source>
    <b:Tag>Gra14</b:Tag>
    <b:SourceType>DocumentFromInternetSite</b:SourceType>
    <b:Guid>{F3103D69-BEF0-1F4F-B9A4-0A5F9934D111}</b:Guid>
    <b:Author>
      <b:Author>
        <b:NameList>
          <b:Person>
            <b:Last>Grabowski</b:Last>
            <b:First>Roger</b:First>
            <b:Middle>J</b:Middle>
          </b:Person>
          <b:Person>
            <b:Last>Pratt</b:Last>
            <b:Middle>P</b:Middle>
            <b:First>Shannon</b:First>
          </b:Person>
        </b:NameList>
      </b:Author>
    </b:Author>
    <b:Title>Examples of Computing OLS Beta, Sum Beta, and Full‐information Beta Estimates</b:Title>
    <b:InternetSiteTitle>Wiley Online Library</b:InternetSiteTitle>
    <b:URL>https://onlinelibrary.wiley.com/doi/10.1002/9781118846780.ch11a</b:URL>
    <b:Year>2014</b:Year>
    <b:Month>March</b:Month>
    <b:RefOrder>7</b:RefOrder>
  </b:Source>
</b:Sources>
</file>

<file path=customXml/itemProps1.xml><?xml version="1.0" encoding="utf-8"?>
<ds:datastoreItem xmlns:ds="http://schemas.openxmlformats.org/officeDocument/2006/customXml" ds:itemID="{E9C8E31A-362D-2547-A352-22E8B4A2F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 Hendrikse</dc:creator>
  <cp:keywords/>
  <dc:description/>
  <cp:lastModifiedBy>Arie Hendrikse</cp:lastModifiedBy>
  <cp:revision>6</cp:revision>
  <cp:lastPrinted>2020-05-31T13:39:00Z</cp:lastPrinted>
  <dcterms:created xsi:type="dcterms:W3CDTF">2020-05-31T13:39:00Z</dcterms:created>
  <dcterms:modified xsi:type="dcterms:W3CDTF">2020-06-17T23:40:00Z</dcterms:modified>
</cp:coreProperties>
</file>