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A63"/>
          <w:sz w:val="40"/>
        </w:rPr>
        <w:t>MODEL CARD</w:t>
      </w:r>
    </w:p>
    <w:p>
      <w:pPr>
        <w:jc w:val="center"/>
      </w:pPr>
      <w:r>
        <w:rPr>
          <w:rFonts w:ascii="Arial" w:hAnsi="Arial"/>
          <w:b/>
          <w:sz w:val="28"/>
        </w:rPr>
        <w:t>GP-UCB Sequential Bayesian Black-Box Optimisation</w:t>
      </w:r>
    </w:p>
    <w:p>
      <w:pPr>
        <w:jc w:val="center"/>
      </w:pPr>
      <w:r>
        <w:rPr>
          <w:i/>
          <w:sz w:val="19"/>
        </w:rPr>
        <w:t>Version 1.0 | Capstone project | Eight functions | Ten sequential query rounds</w:t>
      </w:r>
    </w:p>
    <w:p>
      <w:pPr>
        <w:pStyle w:val="Heading1"/>
        <w:spacing w:before="160" w:after="60"/>
      </w:pPr>
      <w:r>
        <w:rPr>
          <w:b/>
        </w:rPr>
        <w:t>1. Overview</w:t>
      </w:r>
    </w:p>
    <w:p>
      <w:pPr>
        <w:spacing w:after="60"/>
        <w:ind w:left="259" w:hanging="259"/>
      </w:pPr>
      <w:r>
        <w:rPr>
          <w:b/>
        </w:rPr>
        <w:t xml:space="preserve">Model name: </w:t>
      </w:r>
      <w:r>
        <w:t>GP-UCB Sequential Black-Box Optimiser</w:t>
      </w:r>
    </w:p>
    <w:p>
      <w:pPr>
        <w:spacing w:after="60"/>
        <w:ind w:left="259" w:hanging="259"/>
      </w:pPr>
      <w:r>
        <w:rPr>
          <w:b/>
        </w:rPr>
        <w:t xml:space="preserve">Type: </w:t>
      </w:r>
      <w:r>
        <w:t>Surrogate-based Bayesian optimisation using Gaussian Process (GP) regression and an Upper Confidence Bound (UCB) acquisition function.</w:t>
      </w:r>
    </w:p>
    <w:p>
      <w:pPr>
        <w:spacing w:after="60"/>
        <w:ind w:left="259" w:hanging="259"/>
      </w:pPr>
      <w:r>
        <w:rPr>
          <w:b/>
        </w:rPr>
        <w:t xml:space="preserve">Version: </w:t>
      </w:r>
      <w:r>
        <w:t>1.0, representing the ten-round capstone implementation.</w:t>
      </w:r>
    </w:p>
    <w:p>
      <w:pPr>
        <w:spacing w:after="60"/>
        <w:ind w:left="259" w:hanging="259"/>
      </w:pPr>
      <w:r>
        <w:rPr>
          <w:b/>
        </w:rPr>
        <w:t xml:space="preserve">Task: </w:t>
      </w:r>
      <w:r>
        <w:t>Maximise eight unknown black-box objective functions. The number of input variables ranges from 2 to 8.</w:t>
      </w:r>
    </w:p>
    <w:p>
      <w:pPr>
        <w:spacing w:after="60"/>
        <w:ind w:left="259" w:hanging="259"/>
      </w:pPr>
      <w:r>
        <w:rPr>
          <w:b/>
        </w:rPr>
        <w:t xml:space="preserve">Core model: </w:t>
      </w:r>
      <w:r>
        <w:t>An anisotropic Matern GP surrogate. Posterior mean and posterior uncertainty guide sequential sampling.</w:t>
      </w:r>
    </w:p>
    <w:p>
      <w:pPr>
        <w:spacing w:after="60"/>
        <w:ind w:left="259" w:hanging="259"/>
      </w:pPr>
      <w:r>
        <w:rPr>
          <w:b/>
        </w:rPr>
        <w:t xml:space="preserve">Implementation: </w:t>
      </w:r>
      <w:r>
        <w:t>Python and scikit-learn, with function-specific GP hyperparameters and diagnostics where required.</w:t>
      </w:r>
    </w:p>
    <w:p>
      <w:pPr>
        <w:pStyle w:val="Heading1"/>
        <w:spacing w:before="160" w:after="60"/>
      </w:pPr>
      <w:r>
        <w:rPr>
          <w:b/>
        </w:rPr>
        <w:t>2. Intended use</w:t>
      </w:r>
    </w:p>
    <w:p>
      <w:pPr>
        <w:spacing w:after="60"/>
        <w:ind w:left="259" w:hanging="259"/>
      </w:pPr>
      <w:r>
        <w:rPr>
          <w:b/>
        </w:rPr>
        <w:t xml:space="preserve">Primary task: </w:t>
      </w:r>
      <w:r>
        <w:t>Sequential optimisation when objective-function evaluations are unknown, expensive, or limited.</w:t>
      </w:r>
    </w:p>
    <w:p>
      <w:pPr>
        <w:spacing w:after="60"/>
        <w:ind w:left="259" w:hanging="259"/>
      </w:pPr>
      <w:r>
        <w:rPr>
          <w:b/>
        </w:rPr>
        <w:t xml:space="preserve">Suitable uses: </w:t>
      </w:r>
      <w:r>
        <w:t>Educational and research BBO experiments, surrogate-assisted optimisation, analysis of exploration-exploitation behaviour, and reproducible comparison of predicted and realised objective values.</w:t>
      </w:r>
    </w:p>
    <w:p>
      <w:pPr>
        <w:spacing w:after="60"/>
        <w:ind w:left="259" w:hanging="259"/>
      </w:pPr>
      <w:r>
        <w:rPr>
          <w:b/>
        </w:rPr>
        <w:t xml:space="preserve">Target users: </w:t>
      </w:r>
      <w:r>
        <w:t>Students, researchers, and practitioners studying Bayesian optimisation and expensive black-box optimisation.</w:t>
      </w:r>
    </w:p>
    <w:p>
      <w:pPr>
        <w:spacing w:after="60"/>
        <w:ind w:left="259" w:hanging="259"/>
      </w:pPr>
      <w:r>
        <w:rPr>
          <w:b/>
        </w:rPr>
        <w:t xml:space="preserve">Uses to avoid: </w:t>
      </w:r>
      <w:r>
        <w:t>The approach should not be used to claim proven global optimality. It should not be used for safety-critical or production decisions without independent validation, or where the function behaviour clearly violates the surrogate assumptions without further adaptation.</w:t>
      </w:r>
    </w:p>
    <w:p>
      <w:pPr>
        <w:pStyle w:val="Heading1"/>
        <w:spacing w:before="160" w:after="60"/>
      </w:pPr>
      <w:r>
        <w:rPr>
          <w:b/>
        </w:rPr>
        <w:t>3. Details: strategy and evolution across ten rounds</w:t>
      </w:r>
    </w:p>
    <w:p>
      <w:pPr>
        <w:spacing w:after="60"/>
        <w:ind w:left="259" w:hanging="259"/>
      </w:pPr>
      <w:r>
        <w:rPr>
          <w:b/>
        </w:rPr>
        <w:t xml:space="preserve">Initialisation: </w:t>
      </w:r>
      <w:r>
        <w:t>Each function begins with supplied input-output observations. New real evaluations are appended sequentially after each weekly query.</w:t>
      </w:r>
    </w:p>
    <w:p>
      <w:pPr>
        <w:spacing w:after="60"/>
        <w:ind w:left="259" w:hanging="259"/>
      </w:pPr>
      <w:r>
        <w:rPr>
          <w:b/>
        </w:rPr>
        <w:t xml:space="preserve">Surrogate: </w:t>
      </w:r>
      <w:r>
        <w:t>A GP is fitted to all observations available at that round. Objective values are standardised before fitting. A Matern kernel is used to allow relatively local and non-smooth behaviour, with separate length scales by input dimension.</w:t>
      </w:r>
    </w:p>
    <w:p>
      <w:pPr>
        <w:spacing w:after="60"/>
        <w:ind w:left="259" w:hanging="259"/>
      </w:pPr>
      <w:r>
        <w:rPr>
          <w:b/>
        </w:rPr>
        <w:t xml:space="preserve">Acquisition: </w:t>
      </w:r>
      <w:r>
        <w:t>For maximisation, the working rule is UCB(x) = mu(x) + kappa*sigma(x), with kappa = 1.96. The posterior mean supports exploitation while posterior uncertainty supports exploration.</w:t>
      </w:r>
    </w:p>
    <w:p>
      <w:pPr>
        <w:spacing w:after="60"/>
        <w:ind w:left="259" w:hanging="259"/>
      </w:pPr>
      <w:r>
        <w:rPr>
          <w:b/>
        </w:rPr>
        <w:t xml:space="preserve">Candidate selection: </w:t>
      </w:r>
      <w:r>
        <w:t>Posterior mean and uncertainty are evaluated over candidate points in the normalised [0,1] input domain. Previously evaluated or near-duplicate candidates are excluded before the maximum acquisition value is selected.</w:t>
      </w:r>
    </w:p>
    <w:p>
      <w:pPr>
        <w:spacing w:after="60"/>
        <w:ind w:left="259" w:hanging="259"/>
      </w:pPr>
      <w:r>
        <w:rPr>
          <w:b/>
        </w:rPr>
        <w:t xml:space="preserve">Sequential update: </w:t>
      </w:r>
      <w:r>
        <w:t>After the real objective value is returned, the new observation is added, the GP is refitted, and the next query is generated. This process was repeated through Round 10.</w:t>
      </w:r>
    </w:p>
    <w:p>
      <w:pPr>
        <w:spacing w:after="60"/>
        <w:ind w:left="259" w:hanging="259"/>
      </w:pPr>
      <w:r>
        <w:rPr>
          <w:b/>
        </w:rPr>
        <w:t xml:space="preserve">Evolution: </w:t>
      </w:r>
      <w:r>
        <w:t>The same GP-UCB framework was retained for the eight functions, but diagnostics were introduced when a function behaved differently. This avoided changing the strategy only because a single prediction looked poor.</w:t>
      </w:r>
    </w:p>
    <w:p>
      <w:pPr>
        <w:spacing w:after="60"/>
        <w:ind w:left="259" w:hanging="259"/>
      </w:pPr>
      <w:r>
        <w:rPr>
          <w:b/>
        </w:rPr>
        <w:t xml:space="preserve">Function 1 refinement: </w:t>
      </w:r>
      <w:r>
        <w:t>F1 contained an extreme response scale: most observations were numerically near zero while one initial observation was about -3.606e-3. Diagnostics showed that raw percentage error was misleading and that the GP uncertainty intervals still covered the observations. For Round 10, a signed-log target transformation, sign(y)*log10(1 + abs(y)/epsilon), with epsilon = 1e-8, was applied before standardisation. The resulting Round-10 query was approximately (0.9600, 0.7033), with a predicted mean of about -3.87e-12 on the original objective scale.</w:t>
      </w:r>
    </w:p>
    <w:p>
      <w:pPr>
        <w:pStyle w:val="Heading1"/>
        <w:spacing w:before="160" w:after="60"/>
      </w:pPr>
      <w:r>
        <w:rPr>
          <w:b/>
        </w:rPr>
        <w:t>4. Performance</w:t>
      </w:r>
    </w:p>
    <w:p>
      <w:pPr>
        <w:spacing w:after="60"/>
        <w:ind w:left="259" w:hanging="259"/>
      </w:pPr>
      <w:r>
        <w:rPr>
          <w:b/>
        </w:rPr>
        <w:t xml:space="preserve">Metrics used: </w:t>
      </w:r>
      <w:r>
        <w:t>Best-observed objective and improvement across rounds are the principal optimisation metrics. Posterior standard deviation, predictive-interval coverage, and prediction residuals are used as diagnostics. Percentage error is avoided when the real objective is effectively zero.</w:t>
      </w:r>
    </w:p>
    <w:p>
      <w:pPr>
        <w:spacing w:after="60"/>
        <w:ind w:left="259" w:hanging="259"/>
      </w:pPr>
      <w:r>
        <w:rPr>
          <w:b/>
        </w:rPr>
        <w:t xml:space="preserve">F1: </w:t>
      </w:r>
      <w:r>
        <w:t>Most realised values were extremely close to zero. The nine historical observations examined were inside the nominal 95% GP predictive interval. The signed-log transformation produced a Round-10 predicted mean much closer to the observed near-zero response scale.</w:t>
      </w:r>
    </w:p>
    <w:p>
      <w:pPr>
        <w:spacing w:after="60"/>
        <w:ind w:left="259" w:hanging="259"/>
      </w:pPr>
      <w:r>
        <w:rPr>
          <w:b/>
        </w:rPr>
        <w:t xml:space="preserve">F2: </w:t>
      </w:r>
      <w:r>
        <w:t>Across completed rounds, realised objectives were approximately 0.064 to 0.697, while the recorded GP means were generally about 0.27 to 0.65.</w:t>
      </w:r>
    </w:p>
    <w:p>
      <w:pPr>
        <w:spacing w:after="60"/>
        <w:ind w:left="259" w:hanging="259"/>
      </w:pPr>
      <w:r>
        <w:rPr>
          <w:b/>
        </w:rPr>
        <w:t xml:space="preserve">F3-F4: </w:t>
      </w:r>
      <w:r>
        <w:t>The weekly records show changing posterior uncertainty and realised performance, supporting a continued exploration-exploitation strategy rather than pure exploitation.</w:t>
      </w:r>
    </w:p>
    <w:p>
      <w:pPr>
        <w:spacing w:after="60"/>
        <w:ind w:left="259" w:hanging="259"/>
      </w:pPr>
      <w:r>
        <w:rPr>
          <w:b/>
        </w:rPr>
        <w:t xml:space="preserve">F5: </w:t>
      </w:r>
      <w:r>
        <w:t>The function exhibited very large variation in objective magnitude, including completed-round values above 2,900. This makes response scale and surrogate calibration particularly important.</w:t>
      </w:r>
    </w:p>
    <w:p>
      <w:pPr>
        <w:spacing w:after="60"/>
        <w:ind w:left="259" w:hanging="259"/>
      </w:pPr>
      <w:r>
        <w:rPr>
          <w:b/>
        </w:rPr>
        <w:t xml:space="preserve">F6-F8: </w:t>
      </w:r>
      <w:r>
        <w:t>The higher-dimensional problems are increasingly data-limited. F7 produced completed-round values above 2.0, while F8 remained approximately in the 9-10 range. Ten sequential queries still provide sparse coverage in six- and eight-dimensional domains.</w:t>
      </w:r>
    </w:p>
    <w:p>
      <w:pPr>
        <w:spacing w:after="60"/>
        <w:ind w:left="259" w:hanging="259"/>
      </w:pPr>
      <w:r>
        <w:rPr>
          <w:b/>
        </w:rPr>
        <w:t xml:space="preserve">Round 10 status: </w:t>
      </w:r>
      <w:r>
        <w:t>The tenth query has been generated for all eight functions. In the supplied weekly summary, the corresponding real Round-10 objective values are still pending, so final Round-10 performance cannot yet be assessed.</w:t>
      </w:r>
    </w:p>
    <w:p>
      <w:pPr>
        <w:pStyle w:val="Heading1"/>
        <w:spacing w:before="160" w:after="60"/>
      </w:pPr>
      <w:r>
        <w:rPr>
          <w:b/>
        </w:rPr>
        <w:t>5. Assumptions and limitations</w:t>
      </w:r>
    </w:p>
    <w:p>
      <w:pPr>
        <w:spacing w:after="60"/>
        <w:ind w:left="259" w:hanging="259"/>
      </w:pPr>
      <w:r>
        <w:rPr>
          <w:b/>
        </w:rPr>
        <w:t xml:space="preserve">Smoothness assumption: </w:t>
      </w:r>
      <w:r>
        <w:t>The GP assumes that nearby input points contain useful information about one another and that the Matern covariance structure can represent enough of the unknown function to guide sampling.</w:t>
      </w:r>
    </w:p>
    <w:p>
      <w:pPr>
        <w:spacing w:after="60"/>
        <w:ind w:left="259" w:hanging="259"/>
      </w:pPr>
      <w:r>
        <w:rPr>
          <w:b/>
        </w:rPr>
        <w:t xml:space="preserve">Uncertainty assumption: </w:t>
      </w:r>
      <w:r>
        <w:t>UCB assumes that posterior uncertainty is informative. Good predictive-interval coverage does not necessarily mean that the posterior mean is highly accurate.</w:t>
      </w:r>
    </w:p>
    <w:p>
      <w:pPr>
        <w:spacing w:after="60"/>
        <w:ind w:left="259" w:hanging="259"/>
      </w:pPr>
      <w:r>
        <w:rPr>
          <w:b/>
        </w:rPr>
        <w:t xml:space="preserve">Evaluation budget: </w:t>
      </w:r>
      <w:r>
        <w:t>Ten sequential queries are sparse relative to the continuous search spaces, especially for F6-F8 with 5 to 8 variables.</w:t>
      </w:r>
    </w:p>
    <w:p>
      <w:pPr>
        <w:spacing w:after="60"/>
        <w:ind w:left="259" w:hanging="259"/>
      </w:pPr>
      <w:r>
        <w:rPr>
          <w:b/>
        </w:rPr>
        <w:t xml:space="preserve">Sampling bias: </w:t>
      </w:r>
      <w:r>
        <w:t>UCB intentionally concentrates evaluations in regions predicted to be promising or uncertain. The accumulated data therefore do not uniformly cover the complete search domain.</w:t>
      </w:r>
    </w:p>
    <w:p>
      <w:pPr>
        <w:spacing w:after="60"/>
        <w:ind w:left="259" w:hanging="259"/>
      </w:pPr>
      <w:r>
        <w:rPr>
          <w:b/>
        </w:rPr>
        <w:t xml:space="preserve">Failure modes: </w:t>
      </w:r>
      <w:r>
        <w:t>Very narrow optima, discontinuities, inappropriate output scaling, non-stationary behaviour, or poorly calibrated uncertainty can misdirect the surrogate and acquisition rule.</w:t>
      </w:r>
    </w:p>
    <w:p>
      <w:pPr>
        <w:spacing w:after="60"/>
        <w:ind w:left="259" w:hanging="259"/>
      </w:pPr>
      <w:r>
        <w:rPr>
          <w:b/>
        </w:rPr>
        <w:t xml:space="preserve">Global optimality: </w:t>
      </w:r>
      <w:r>
        <w:t>The best observed value is the best found under the available query budget; it is not a certificate of a global optimum.</w:t>
      </w:r>
    </w:p>
    <w:p>
      <w:pPr>
        <w:pStyle w:val="Heading1"/>
        <w:spacing w:before="160" w:after="60"/>
      </w:pPr>
      <w:r>
        <w:rPr>
          <w:b/>
        </w:rPr>
        <w:t>6. Ethical considerations, transparency and reproducibility</w:t>
      </w:r>
    </w:p>
    <w:p>
      <w:pPr>
        <w:spacing w:after="60"/>
        <w:ind w:left="259" w:hanging="259"/>
      </w:pPr>
      <w:r>
        <w:rPr>
          <w:b/>
        </w:rPr>
        <w:t xml:space="preserve">Transparency: </w:t>
      </w:r>
      <w:r>
        <w:t>Each query can be traced to the observations available at that round, GP specification, posterior predictions, acquisition rule, and candidate-selection procedure.</w:t>
      </w:r>
    </w:p>
    <w:p>
      <w:pPr>
        <w:spacing w:after="60"/>
        <w:ind w:left="259" w:hanging="259"/>
      </w:pPr>
      <w:r>
        <w:rPr>
          <w:b/>
        </w:rPr>
        <w:t xml:space="preserve">Reproducibility: </w:t>
      </w:r>
      <w:r>
        <w:t>A complete release should include the initial observations, weekly query and response data, preprocessing rules, kernel definitions and bounds, kappa, random seeds, candidate-generation logic, code, figures, and software dependencies.</w:t>
      </w:r>
    </w:p>
    <w:p>
      <w:pPr>
        <w:spacing w:after="60"/>
        <w:ind w:left="259" w:hanging="259"/>
      </w:pPr>
      <w:r>
        <w:rPr>
          <w:b/>
        </w:rPr>
        <w:t xml:space="preserve">Adaptation: </w:t>
      </w:r>
      <w:r>
        <w:t>Function-specific changes should be explicitly documented. The F1 signed-log transformation is therefore recorded as a methodological change motivated by the observed response-scale pathology.</w:t>
      </w:r>
    </w:p>
    <w:p>
      <w:pPr>
        <w:spacing w:after="60"/>
        <w:ind w:left="259" w:hanging="259"/>
      </w:pPr>
      <w:r>
        <w:rPr>
          <w:b/>
        </w:rPr>
        <w:t xml:space="preserve">Risk communication: </w:t>
      </w:r>
      <w:r>
        <w:t>Surrogate predictions should not be presented as exact representations of the unknown functions. Uncertainty, sparse sampling, and pending evaluations should be reported together with point predictions.</w:t>
      </w:r>
    </w:p>
    <w:p>
      <w:pPr>
        <w:spacing w:after="60"/>
        <w:ind w:left="259" w:hanging="259"/>
      </w:pPr>
      <w:r>
        <w:rPr>
          <w:b/>
        </w:rPr>
        <w:t xml:space="preserve">Privacy and fairness: </w:t>
      </w:r>
      <w:r>
        <w:t>The capstone data consist of numerical black-box inputs and outputs rather than personal attributes. Demographic fairness and personal-data privacy are therefore not direct evaluation dimensions of this dataset.</w:t>
      </w:r>
    </w:p>
    <w:p>
      <w:pPr>
        <w:pStyle w:val="Heading1"/>
        <w:spacing w:before="160" w:after="60"/>
      </w:pPr>
      <w:r>
        <w:rPr>
          <w:b/>
        </w:rPr>
        <w:t>7. Decision logic, strengths and documentation sufficiency</w:t>
      </w:r>
    </w:p>
    <w:p>
      <w:pPr>
        <w:spacing w:after="60"/>
        <w:ind w:left="259" w:hanging="259"/>
      </w:pPr>
      <w:r>
        <w:rPr>
          <w:b/>
        </w:rPr>
        <w:t xml:space="preserve">Decision logic: </w:t>
      </w:r>
      <w:r>
        <w:t>At each iteration, the optimiser uses all observations accumulated so far, estimates posterior mean and uncertainty over candidate locations, and selects the point with the highest UCB value after excluding near-duplicate samples.</w:t>
      </w:r>
    </w:p>
    <w:p>
      <w:pPr>
        <w:spacing w:after="60"/>
        <w:ind w:left="259" w:hanging="259"/>
      </w:pPr>
      <w:r>
        <w:rPr>
          <w:b/>
        </w:rPr>
        <w:t xml:space="preserve">Strengths: </w:t>
      </w:r>
      <w:r>
        <w:t>The approach is sample-efficient, explicitly represents uncertainty, provides an interpretable exploration-exploitation mechanism, supports function-specific diagnostics, and creates an auditable sequential record.</w:t>
      </w:r>
    </w:p>
    <w:p>
      <w:pPr>
        <w:spacing w:after="60"/>
        <w:ind w:left="259" w:hanging="259"/>
      </w:pPr>
      <w:r>
        <w:rPr>
          <w:b/>
        </w:rPr>
        <w:t xml:space="preserve">Why this level of detail is sufficient: </w:t>
      </w:r>
      <w:r>
        <w:t>The card documents the approach identity, intended use, ten-round decision process, performance evidence, assumptions, limitations, and reproducibility requirements. Lower-level implementation details are better maintained in the repository code and README so that the model card remains readable.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BBO Capstone Model Card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