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80"/>
      </w:pPr>
      <w:r>
        <w:rPr>
          <w:rFonts w:ascii="Arial" w:hAnsi="Arial" w:eastAsia="Arial"/>
          <w:b/>
          <w:color w:val="000000"/>
          <w:sz w:val="24"/>
        </w:rPr>
        <w:t>ADR-0001: Cotizaciones selladas y confirmación en una sola transacción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54"/>
        <w:gridCol w:w="1622"/>
        <w:gridCol w:w="1488"/>
        <w:gridCol w:w="5173"/>
      </w:tblGrid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Estado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Fecha</w:t>
            </w:r>
          </w:p>
        </w:tc>
        <w:tc>
          <w:tcPr>
            <w:tcW w:type="dxa" w:w="1488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Decisores</w:t>
            </w:r>
          </w:p>
        </w:tc>
        <w:tc>
          <w:tcPr>
            <w:tcW w:type="dxa" w:w="5173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Confianza</w:t>
            </w:r>
          </w:p>
        </w:tc>
      </w:tr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aceptado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2026-10-15</w:t>
            </w:r>
          </w:p>
        </w:tc>
        <w:tc>
          <w:tcPr>
            <w:tcW w:type="dxa" w:w="148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Tech Lead</w:t>
            </w:r>
          </w:p>
        </w:tc>
        <w:tc>
          <w:tcPr>
            <w:tcW w:type="dxa" w:w="5173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Alta. Media en el impuesto del obsequio</w:t>
            </w:r>
          </w:p>
        </w:tc>
      </w:tr>
    </w:tbl>
    <w:p>
      <w:pPr>
        <w:spacing w:before="120"/>
      </w:pPr>
      <w:r>
        <w:rPr>
          <w:rFonts w:ascii="Arial" w:hAnsi="Arial" w:eastAsia="Arial"/>
          <w:b w:val="0"/>
          <w:color w:val="000000"/>
          <w:sz w:val="24"/>
        </w:rPr>
        <w:t>En tres releases se perdieron pedidos confirmados. Hay que garantizar total confirmado = cotizado, dinero exacto, que un 201 sea un pedido guardado y que los efectos en push y ERP no se pierdan ni se apliquen dos veces.</w:t>
      </w:r>
    </w:p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Decisiones y alternativas descartadas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8"/>
        <w:gridCol w:w="3134"/>
        <w:gridCol w:w="3077"/>
      </w:tblGrid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Decisión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Descartado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Por qué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Cotización sellada de solo inserción. El pedido la referencia sin montos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Copiar el desglose. Recalcular al confirmar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Las copias divergen. Los precios cambian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BigDecimal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redondeado por línea, sin redondear totales. Combos antes que escalas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long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en unidades mínimas. Redondear el total. Escalas primero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Incómodo con tasas. Descuadra la factura. Doble descuento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Una transacción ACID en PostgreSQL, bloqueos clave → cotización → cupo. El 201 tras el commit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Almacén en memoria. Escritura asíncrona o saga. Claves en caché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Sin bloqueos reales. El defecto "confirmado pero inexistente". No atómica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Outbox transaccional con lease y backoff. Push y ERP deduplican por 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>event_id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Publicar tras el commit. Commit en dos fases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Pierde eventos. Push y ERP no entran en ella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Monolito hexagonal, SQL explícito, repositorios separados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Microservicios. JPA. Monorepo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Una transacción. JPA oculta bloqueos. Evolucionan aparte</w:t>
            </w:r>
          </w:p>
        </w:tc>
      </w:tr>
    </w:tbl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No implementado, a propósito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Autenticación:</w:t>
      </w:r>
      <w:r>
        <w:rPr>
          <w:rFonts w:ascii="Arial" w:hAnsi="Arial" w:eastAsia="Arial"/>
          <w:b w:val="0"/>
          <w:color w:val="000000"/>
          <w:sz w:val="24"/>
        </w:rPr>
        <w:t xml:space="preserve"> fuera de alcance. Un gateway inyectaría tenant y cliente.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Push y ERP reales:</w:t>
      </w:r>
      <w:r>
        <w:rPr>
          <w:rFonts w:ascii="Arial" w:hAnsi="Arial" w:eastAsia="Arial"/>
          <w:b w:val="0"/>
          <w:color w:val="000000"/>
          <w:sz w:val="24"/>
        </w:rPr>
        <w:t xml:space="preserve"> los fakes detrás de puertos prueban las garantías.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No se pidieron:</w:t>
      </w:r>
      <w:r>
        <w:rPr>
          <w:rFonts w:ascii="Arial" w:hAnsi="Arial" w:eastAsia="Arial"/>
          <w:b w:val="0"/>
          <w:color w:val="000000"/>
          <w:sz w:val="24"/>
        </w:rPr>
        <w:t xml:space="preserve"> revocación (la mitigación del riesgo), cancelación, liberación de cupo, catálogo, categorías de impuesto, historial de precios, OpenAPI, despliegue, CI y SonarQube (README).</w:t>
      </w:r>
    </w:p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Qué revisaría en un code review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 xml:space="preserve">Nada de </w:t>
      </w:r>
      <w:r>
        <w:rPr>
          <w:rFonts w:ascii="Arial" w:hAnsi="Arial" w:eastAsia="Arial"/>
          <w:b w:val="0"/>
          <w:color w:val="000000"/>
          <w:sz w:val="24"/>
        </w:rPr>
        <w:t>float</w:t>
      </w:r>
      <w:r>
        <w:rPr>
          <w:rFonts w:ascii="Arial" w:hAnsi="Arial" w:eastAsia="Arial"/>
          <w:b w:val="0"/>
          <w:color w:val="000000"/>
          <w:sz w:val="24"/>
        </w:rPr>
        <w:t xml:space="preserve"> ni </w:t>
      </w:r>
      <w:r>
        <w:rPr>
          <w:rFonts w:ascii="Arial" w:hAnsi="Arial" w:eastAsia="Arial"/>
          <w:b w:val="0"/>
          <w:color w:val="000000"/>
          <w:sz w:val="24"/>
        </w:rPr>
        <w:t>double</w:t>
      </w:r>
      <w:r>
        <w:rPr>
          <w:rFonts w:ascii="Arial" w:hAnsi="Arial" w:eastAsia="Arial"/>
          <w:b w:val="0"/>
          <w:color w:val="000000"/>
          <w:sz w:val="24"/>
        </w:rPr>
        <w:t xml:space="preserve">. Dinero con </w:t>
      </w:r>
      <w:r>
        <w:rPr>
          <w:rFonts w:ascii="Arial" w:hAnsi="Arial" w:eastAsia="Arial"/>
          <w:b w:val="0"/>
          <w:color w:val="000000"/>
          <w:sz w:val="24"/>
        </w:rPr>
        <w:t>compareTo</w:t>
      </w:r>
      <w:r>
        <w:rPr>
          <w:rFonts w:ascii="Arial" w:hAnsi="Arial" w:eastAsia="Arial"/>
          <w:b w:val="0"/>
          <w:color w:val="000000"/>
          <w:sz w:val="24"/>
        </w:rPr>
        <w:t>. Ningún UPDATE de cotizaciones.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@Transactional</w:t>
      </w:r>
      <w:r>
        <w:rPr>
          <w:rFonts w:ascii="Arial" w:hAnsi="Arial" w:eastAsia="Arial"/>
          <w:b w:val="0"/>
          <w:color w:val="000000"/>
          <w:sz w:val="24"/>
        </w:rPr>
        <w:t xml:space="preserve"> solo en casos de uso, sin autoinvocación ni llamadas remotas.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Bloqueos clave → cotización → cupo. El 201 tras el commit. Ningún fallo cacheado.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El relay envía sin transacción abierta, y solo quien tiene el lease marca el resultado.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Cada palanca con un golden test visto fallar. Textos de usuario solo en i18n.</w:t>
      </w:r>
    </w:p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Riesgo y mitigación</w:t>
      </w:r>
    </w:p>
    <w:p>
      <w:r>
        <w:rPr>
          <w:rFonts w:ascii="Arial" w:hAnsi="Arial" w:eastAsia="Arial"/>
          <w:b/>
          <w:color w:val="000000"/>
          <w:sz w:val="24"/>
        </w:rPr>
        <w:t>Riesgo:</w:t>
      </w:r>
      <w:r>
        <w:rPr>
          <w:rFonts w:ascii="Arial" w:hAnsi="Arial" w:eastAsia="Arial"/>
          <w:b w:val="0"/>
          <w:color w:val="000000"/>
          <w:sz w:val="24"/>
        </w:rPr>
        <w:t xml:space="preserve"> una cotización sellada respeta un precio erróneo hasta vencer. </w:t>
      </w:r>
      <w:r>
        <w:rPr>
          <w:rFonts w:ascii="Arial" w:hAnsi="Arial" w:eastAsia="Arial"/>
          <w:b/>
          <w:color w:val="000000"/>
          <w:sz w:val="24"/>
        </w:rPr>
        <w:t>Mitigación:</w:t>
      </w:r>
      <w:r>
        <w:rPr>
          <w:rFonts w:ascii="Arial" w:hAnsi="Arial" w:eastAsia="Arial"/>
          <w:b w:val="0"/>
          <w:color w:val="000000"/>
          <w:sz w:val="24"/>
        </w:rPr>
        <w:t xml:space="preserve"> un TTL de 15 minutos por país; luego, revocación (OPEN → REVOKED, 409). </w:t>
      </w:r>
      <w:r>
        <w:rPr>
          <w:rFonts w:ascii="Arial" w:hAnsi="Arial" w:eastAsia="Arial"/>
          <w:b/>
          <w:color w:val="000000"/>
          <w:sz w:val="24"/>
        </w:rPr>
        <w:t>Revisar</w:t>
      </w:r>
      <w:r>
        <w:rPr>
          <w:rFonts w:ascii="Arial" w:hAnsi="Arial" w:eastAsia="Arial"/>
          <w:b w:val="0"/>
          <w:color w:val="000000"/>
          <w:sz w:val="24"/>
        </w:rPr>
        <w:t xml:space="preserve"> si un incidente afecta a más de 100 cotizaciones o el TTL supera una hora.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olor w:val="000000"/>
        <w:sz w:val="24"/>
      </w:rPr>
      <w:t xml:space="preserve">Fuente: orderflow-engine-api/docs/adr/0001-order-pricing-and-confirmation.es.md · pág. </w:t>
    </w:r>
    <w:r>
      <w:rPr>
        <w:rFonts w:ascii="Arial" w:hAnsi="Arial" w:eastAsia="Arial"/>
        <w:b w:val="0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Cotizaciones selladas y confirmación en una sola transacción</dc:title>
  <dc:subject/>
  <dc:creator>Jesús Ariel González Bonilla</dc:creator>
  <cp:keywords/>
  <dc:description/>
  <cp:lastModifiedBy>Jesús Ariel González Bonilla</cp:lastModifiedBy>
  <cp:revision>1</cp:revision>
  <dcterms:created xsi:type="dcterms:W3CDTF">2013-12-23T23:15:00Z</dcterms:created>
  <dcterms:modified xsi:type="dcterms:W3CDTF">2013-12-23T23:15:00Z</dcterms:modified>
  <cp:category/>
</cp:coreProperties>
</file>