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eastAsia="Arial"/>
          <w:b/>
          <w:color w:val="000000"/>
          <w:sz w:val="24"/>
        </w:rPr>
        <w:t>Orderflow Engine — Solution walkthrough</w:t>
      </w:r>
    </w:p>
    <w:p>
      <w:pPr>
        <w:keepNext/>
        <w:spacing w:after="40"/>
        <w:jc w:val="center"/>
      </w:pPr>
      <w:r>
        <w:rPr>
          <w:rFonts w:ascii="Arial" w:hAnsi="Arial" w:eastAsia="Arial"/>
          <w:b w:val="0"/>
          <w:color w:val="000000"/>
          <w:sz w:val="24"/>
        </w:rPr>
        <w:t>Jesús Ariel González Bonilla</w:t>
      </w:r>
    </w:p>
    <w:p>
      <w:pPr>
        <w:keepNext/>
        <w:spacing w:after="240"/>
        <w:jc w:val="center"/>
      </w:pPr>
      <w:r>
        <w:rPr>
          <w:rFonts w:ascii="Arial" w:hAnsi="Arial" w:eastAsia="Arial"/>
          <w:b w:val="0"/>
          <w:color w:val="000000"/>
          <w:sz w:val="24"/>
        </w:rPr>
        <w:t>2026-10-17</w:t>
      </w:r>
    </w:p>
    <w:p>
      <w:r>
        <w:rPr>
          <w:rFonts w:ascii="Arial" w:hAnsi="Arial" w:eastAsia="Arial"/>
          <w:b/>
          <w:color w:val="000000"/>
          <w:sz w:val="24"/>
        </w:rPr>
        <w:t>Question this document answers:</w:t>
      </w:r>
      <w:r>
        <w:rPr>
          <w:rFonts w:ascii="Arial" w:hAnsi="Arial" w:eastAsia="Arial"/>
          <w:b w:val="0"/>
          <w:color w:val="000000"/>
          <w:sz w:val="24"/>
        </w:rPr>
        <w:t xml:space="preserve"> how was the assignment solved, step by step, and which engineering decisions were taken along the way?</w:t>
      </w:r>
    </w:p>
    <w:p>
      <w:r>
        <w:rPr>
          <w:rFonts w:ascii="Arial" w:hAnsi="Arial" w:eastAsia="Arial"/>
          <w:b w:val="0"/>
          <w:color w:val="000000"/>
          <w:sz w:val="24"/>
        </w:rPr>
        <w:t xml:space="preserve">This walkthrough is written for the evaluator. It follows the work in the order it happened: reading the assignment, writing the specification, planning, building the pricing engine and the order confirmation, proving them, and delivering. Every number in it comes from a repository file or from the command named next to it. The verified state lives in one place, </w:t>
      </w:r>
      <w:r>
        <w:rPr>
          <w:rFonts w:ascii="Arial" w:hAnsi="Arial" w:eastAsia="Arial"/>
          <w:b w:val="0"/>
          <w:color w:val="000000"/>
          <w:sz w:val="24"/>
        </w:rPr>
        <w:t>orderflow-engine-docs/handoff/HANDOFF.md</w:t>
      </w:r>
      <w:r>
        <w:rPr>
          <w:rFonts w:ascii="Arial" w:hAnsi="Arial" w:eastAsia="Arial"/>
          <w:b w:val="0"/>
          <w:color w:val="000000"/>
          <w:sz w:val="24"/>
        </w:rPr>
        <w:t xml:space="preserve"> §3, and this document quotes it.</w:t>
      </w:r>
    </w:p>
    <w:p>
      <w:pPr>
        <w:pStyle w:val="Heading2"/>
        <w:keepNext/>
        <w:spacing w:before="160" w:after="80"/>
      </w:pPr>
      <w:r>
        <w:rPr>
          <w:rFonts w:ascii="Arial" w:hAnsi="Arial" w:eastAsia="Arial"/>
          <w:b/>
          <w:color w:val="000000"/>
          <w:sz w:val="24"/>
        </w:rPr>
        <w:t>1. The assignment in one page</w:t>
      </w:r>
    </w:p>
    <w:p>
      <w:r>
        <w:rPr>
          <w:rFonts w:ascii="Arial" w:hAnsi="Arial" w:eastAsia="Arial"/>
          <w:b w:val="0"/>
          <w:color w:val="000000"/>
          <w:sz w:val="24"/>
        </w:rPr>
        <w:t>The assignment (</w:t>
      </w:r>
      <w:r>
        <w:rPr>
          <w:rFonts w:ascii="Arial" w:hAnsi="Arial" w:eastAsia="Arial"/>
          <w:b w:val="0"/>
          <w:color w:val="000000"/>
          <w:sz w:val="24"/>
        </w:rPr>
        <w:t>orderflow-engine-docs/assignment/</w:t>
      </w:r>
      <w:r>
        <w:rPr>
          <w:rFonts w:ascii="Arial" w:hAnsi="Arial" w:eastAsia="Arial"/>
          <w:b w:val="0"/>
          <w:color w:val="000000"/>
          <w:sz w:val="24"/>
        </w:rPr>
        <w:t>) describes a B2B marketplace where shopkeepers buy from beverage distributors. One multi-tenant platform serves several countries (Colombia, Ecuador, Guatemala, Peru) and several brands. An order goes through catalog, cart, checkout (the quote), confirmation and history. Five commercial levers act on the price and can coexist in one order: tier discounts, combos, gifts, taxes and credit. The window is five days, and the language is Go, Java (Spring Boot or WebFlux) or NestJS.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04"/>
        <w:gridCol w:w="5298"/>
        <w:gridCol w:w="1836"/>
      </w:tblGrid>
      <w:tr>
        <w:tc>
          <w:tcPr>
            <w:tcW w:type="dxa" w:w="2504"/>
          </w:tcPr>
          <w:p>
            <w:pPr>
              <w:spacing w:after="0"/>
            </w:pPr>
            <w:r>
              <w:rPr>
                <w:rFonts w:ascii="Arial" w:hAnsi="Arial" w:eastAsia="Arial"/>
                <w:b/>
                <w:color w:val="000000"/>
                <w:sz w:val="24"/>
              </w:rPr>
              <w:t>Part</w:t>
            </w:r>
          </w:p>
        </w:tc>
        <w:tc>
          <w:tcPr>
            <w:tcW w:type="dxa" w:w="5298"/>
          </w:tcPr>
          <w:p>
            <w:pPr>
              <w:spacing w:after="0"/>
            </w:pPr>
            <w:r>
              <w:rPr>
                <w:rFonts w:ascii="Arial" w:hAnsi="Arial" w:eastAsia="Arial"/>
                <w:b/>
                <w:color w:val="000000"/>
                <w:sz w:val="24"/>
              </w:rPr>
              <w:t>What it asks</w:t>
            </w:r>
          </w:p>
        </w:tc>
        <w:tc>
          <w:tcPr>
            <w:tcW w:type="dxa" w:w="1836"/>
          </w:tcPr>
          <w:p>
            <w:pPr>
              <w:spacing w:after="0"/>
            </w:pPr>
            <w:r>
              <w:rPr>
                <w:rFonts w:ascii="Arial" w:hAnsi="Arial" w:eastAsia="Arial"/>
                <w:b/>
                <w:color w:val="000000"/>
                <w:sz w:val="24"/>
              </w:rPr>
              <w:t>Where this document answers it</w:t>
            </w:r>
          </w:p>
        </w:tc>
      </w:tr>
      <w:tr>
        <w:tc>
          <w:tcPr>
            <w:tcW w:type="dxa" w:w="2504"/>
          </w:tcPr>
          <w:p>
            <w:pPr>
              <w:spacing w:after="0"/>
            </w:pPr>
            <w:r>
              <w:rPr>
                <w:rFonts w:ascii="Arial" w:hAnsi="Arial" w:eastAsia="Arial"/>
                <w:b w:val="0"/>
                <w:color w:val="000000"/>
                <w:sz w:val="24"/>
              </w:rPr>
              <w:t>A1. Pricing engine</w:t>
            </w:r>
          </w:p>
        </w:tc>
        <w:tc>
          <w:tcPr>
            <w:tcW w:type="dxa" w:w="5298"/>
          </w:tcPr>
          <w:p>
            <w:pPr>
              <w:spacing w:after="0"/>
            </w:pPr>
            <w:r>
              <w:rPr>
                <w:rFonts w:ascii="Arial" w:hAnsi="Arial" w:eastAsia="Arial"/>
                <w:b w:val="0"/>
                <w:color w:val="000000"/>
                <w:sz w:val="24"/>
              </w:rPr>
              <w:t>An endpoint or use case that takes a cart and returns the breakdown per line and totals: gross subtotal, discounts with their origin, gifts with their quantity, taxable base, taxes and total. The levers coexist, and their order must be defined and justified. A credit order must say whether it fits the available credit</w:t>
            </w:r>
          </w:p>
        </w:tc>
        <w:tc>
          <w:tcPr>
            <w:tcW w:type="dxa" w:w="1836"/>
          </w:tcPr>
          <w:p>
            <w:pPr>
              <w:spacing w:after="0"/>
            </w:pPr>
            <w:r>
              <w:rPr>
                <w:rFonts w:ascii="Arial" w:hAnsi="Arial" w:eastAsia="Arial"/>
                <w:b w:val="0"/>
                <w:color w:val="000000"/>
                <w:sz w:val="24"/>
              </w:rPr>
              <w:t>§5</w:t>
            </w:r>
          </w:p>
        </w:tc>
      </w:tr>
      <w:tr>
        <w:tc>
          <w:tcPr>
            <w:tcW w:type="dxa" w:w="2504"/>
          </w:tcPr>
          <w:p>
            <w:pPr>
              <w:spacing w:after="0"/>
            </w:pPr>
            <w:r>
              <w:rPr>
                <w:rFonts w:ascii="Arial" w:hAnsi="Arial" w:eastAsia="Arial"/>
                <w:b w:val="0"/>
                <w:color w:val="000000"/>
                <w:sz w:val="24"/>
              </w:rPr>
              <w:t>A1. Non-functional core</w:t>
            </w:r>
          </w:p>
        </w:tc>
        <w:tc>
          <w:tcPr>
            <w:tcW w:type="dxa" w:w="5298"/>
          </w:tcPr>
          <w:p>
            <w:pPr>
              <w:spacing w:after="0"/>
            </w:pPr>
            <w:r>
              <w:rPr>
                <w:rFonts w:ascii="Arial" w:hAnsi="Arial" w:eastAsia="Arial"/>
                <w:b w:val="0"/>
                <w:color w:val="000000"/>
                <w:sz w:val="24"/>
              </w:rPr>
              <w:t>The quoted total and the confirmed total must be identical, even if prices or levers change in between. No floating point for money, with an explicit type, decimal scale, rounding rule and rounding points. Currency, scale and tax rates cannot be hard-coded</w:t>
            </w:r>
          </w:p>
        </w:tc>
        <w:tc>
          <w:tcPr>
            <w:tcW w:type="dxa" w:w="1836"/>
          </w:tcPr>
          <w:p>
            <w:pPr>
              <w:spacing w:after="0"/>
            </w:pPr>
            <w:r>
              <w:rPr>
                <w:rFonts w:ascii="Arial" w:hAnsi="Arial" w:eastAsia="Arial"/>
                <w:b w:val="0"/>
                <w:color w:val="000000"/>
                <w:sz w:val="24"/>
              </w:rPr>
              <w:t>§5, §6.1</w:t>
            </w:r>
          </w:p>
        </w:tc>
      </w:tr>
      <w:tr>
        <w:tc>
          <w:tcPr>
            <w:tcW w:type="dxa" w:w="2504"/>
          </w:tcPr>
          <w:p>
            <w:pPr>
              <w:spacing w:after="0"/>
            </w:pPr>
            <w:r>
              <w:rPr>
                <w:rFonts w:ascii="Arial" w:hAnsi="Arial" w:eastAsia="Arial"/>
                <w:b w:val="0"/>
                <w:color w:val="000000"/>
                <w:sz w:val="24"/>
              </w:rPr>
              <w:t>A1. Golden tests</w:t>
            </w:r>
          </w:p>
        </w:tc>
        <w:tc>
          <w:tcPr>
            <w:tcW w:type="dxa" w:w="5298"/>
          </w:tcPr>
          <w:p>
            <w:pPr>
              <w:spacing w:after="0"/>
            </w:pPr>
            <w:r>
              <w:rPr>
                <w:rFonts w:ascii="Arial" w:hAnsi="Arial" w:eastAsia="Arial"/>
                <w:b w:val="0"/>
                <w:color w:val="000000"/>
                <w:sz w:val="24"/>
              </w:rPr>
              <w:t>Six required cases: a discount in two brackets; a combo whose products do not appear as a loose discount; a gift with its quantity; a combo with taxes; a credit order over the limit; quote and confirm give the same total</w:t>
            </w:r>
          </w:p>
        </w:tc>
        <w:tc>
          <w:tcPr>
            <w:tcW w:type="dxa" w:w="1836"/>
          </w:tcPr>
          <w:p>
            <w:pPr>
              <w:spacing w:after="0"/>
            </w:pPr>
            <w:r>
              <w:rPr>
                <w:rFonts w:ascii="Arial" w:hAnsi="Arial" w:eastAsia="Arial"/>
                <w:b w:val="0"/>
                <w:color w:val="000000"/>
                <w:sz w:val="24"/>
              </w:rPr>
              <w:t>§5.5</w:t>
            </w:r>
          </w:p>
        </w:tc>
      </w:tr>
      <w:tr>
        <w:tc>
          <w:tcPr>
            <w:tcW w:type="dxa" w:w="2504"/>
          </w:tcPr>
          <w:p>
            <w:pPr>
              <w:spacing w:after="0"/>
            </w:pPr>
            <w:r>
              <w:rPr>
                <w:rFonts w:ascii="Arial" w:hAnsi="Arial" w:eastAsia="Arial"/>
                <w:b w:val="0"/>
                <w:color w:val="000000"/>
                <w:sz w:val="24"/>
              </w:rPr>
              <w:t>A2. Order confirmation</w:t>
            </w:r>
          </w:p>
        </w:tc>
        <w:tc>
          <w:tcPr>
            <w:tcW w:type="dxa" w:w="5298"/>
          </w:tcPr>
          <w:p>
            <w:pPr>
              <w:spacing w:after="0"/>
            </w:pPr>
            <w:r>
              <w:rPr>
                <w:rFonts w:ascii="Arial" w:hAnsi="Arial" w:eastAsia="Arial"/>
                <w:b w:val="0"/>
                <w:color w:val="000000"/>
                <w:sz w:val="24"/>
              </w:rPr>
              <w:t xml:space="preserve">Orders were confirmed, an order number was returned, and later the order was missing from the history, in three different releases. </w:t>
            </w:r>
            <w:r>
              <w:rPr>
                <w:rFonts w:ascii="Arial" w:hAnsi="Arial" w:eastAsia="Arial"/>
                <w:b w:val="0"/>
                <w:color w:val="000000"/>
                <w:sz w:val="24"/>
              </w:rPr>
              <w:t>POST /orders</w:t>
            </w:r>
            <w:r>
              <w:rPr>
                <w:rFonts w:ascii="Arial" w:hAnsi="Arial" w:eastAsia="Arial"/>
                <w:b w:val="0"/>
                <w:color w:val="000000"/>
                <w:sz w:val="24"/>
              </w:rPr>
              <w:t xml:space="preserve"> takes an idempotency key, so retries never duplicate an order or consume credit twice. A 201 means the order exists and can be read. Push and ERP effects are never lost or duplicated, also when the external system is down. The consistency model and what it sacrifices are documented</w:t>
            </w:r>
          </w:p>
        </w:tc>
        <w:tc>
          <w:tcPr>
            <w:tcW w:type="dxa" w:w="1836"/>
          </w:tcPr>
          <w:p>
            <w:pPr>
              <w:spacing w:after="0"/>
            </w:pPr>
            <w:r>
              <w:rPr>
                <w:rFonts w:ascii="Arial" w:hAnsi="Arial" w:eastAsia="Arial"/>
                <w:b w:val="0"/>
                <w:color w:val="000000"/>
                <w:sz w:val="24"/>
              </w:rPr>
              <w:t>§6</w:t>
            </w:r>
          </w:p>
        </w:tc>
      </w:tr>
      <w:tr>
        <w:tc>
          <w:tcPr>
            <w:tcW w:type="dxa" w:w="2504"/>
          </w:tcPr>
          <w:p>
            <w:pPr>
              <w:spacing w:after="0"/>
            </w:pPr>
            <w:r>
              <w:rPr>
                <w:rFonts w:ascii="Arial" w:hAnsi="Arial" w:eastAsia="Arial"/>
                <w:b w:val="0"/>
                <w:color w:val="000000"/>
                <w:sz w:val="24"/>
              </w:rPr>
              <w:t>A3. ADR</w:t>
            </w:r>
          </w:p>
        </w:tc>
        <w:tc>
          <w:tcPr>
            <w:tcW w:type="dxa" w:w="5298"/>
          </w:tcPr>
          <w:p>
            <w:pPr>
              <w:spacing w:after="0"/>
            </w:pPr>
            <w:r>
              <w:rPr>
                <w:rFonts w:ascii="Arial" w:hAnsi="Arial" w:eastAsia="Arial"/>
                <w:b w:val="0"/>
                <w:color w:val="000000"/>
                <w:sz w:val="24"/>
              </w:rPr>
              <w:t>At most one page: decisions and discarded alternatives, what was not implemented on purpose, what to check in a code review, and one risk with its mitigation</w:t>
            </w:r>
          </w:p>
        </w:tc>
        <w:tc>
          <w:tcPr>
            <w:tcW w:type="dxa" w:w="1836"/>
          </w:tcPr>
          <w:p>
            <w:pPr>
              <w:spacing w:after="0"/>
            </w:pPr>
            <w:r>
              <w:rPr>
                <w:rFonts w:ascii="Arial" w:hAnsi="Arial" w:eastAsia="Arial"/>
                <w:b w:val="0"/>
                <w:color w:val="000000"/>
                <w:sz w:val="24"/>
              </w:rPr>
              <w:t>§7</w:t>
            </w:r>
          </w:p>
        </w:tc>
      </w:tr>
      <w:tr>
        <w:tc>
          <w:tcPr>
            <w:tcW w:type="dxa" w:w="2504"/>
          </w:tcPr>
          <w:p>
            <w:pPr>
              <w:spacing w:after="0"/>
            </w:pPr>
            <w:r>
              <w:rPr>
                <w:rFonts w:ascii="Arial" w:hAnsi="Arial" w:eastAsia="Arial"/>
                <w:b w:val="0"/>
                <w:color w:val="000000"/>
                <w:sz w:val="24"/>
              </w:rPr>
              <w:t>Delivery</w:t>
            </w:r>
          </w:p>
        </w:tc>
        <w:tc>
          <w:tcPr>
            <w:tcW w:type="dxa" w:w="5298"/>
          </w:tcPr>
          <w:p>
            <w:pPr>
              <w:spacing w:after="0"/>
            </w:pPr>
            <w:r>
              <w:rPr>
                <w:rFonts w:ascii="Arial" w:hAnsi="Arial" w:eastAsia="Arial"/>
                <w:b w:val="0"/>
                <w:color w:val="000000"/>
                <w:sz w:val="24"/>
              </w:rPr>
              <w:t>A Git repository with the code and tests, a single command to run them, a README with how to run, the lever order, the rounding policy and the consistency model, the ADR, and a readable commit history</w:t>
            </w:r>
          </w:p>
        </w:tc>
        <w:tc>
          <w:tcPr>
            <w:tcW w:type="dxa" w:w="1836"/>
          </w:tcPr>
          <w:p>
            <w:pPr>
              <w:spacing w:after="0"/>
            </w:pPr>
            <w:r>
              <w:rPr>
                <w:rFonts w:ascii="Arial" w:hAnsi="Arial" w:eastAsia="Arial"/>
                <w:b w:val="0"/>
                <w:color w:val="000000"/>
                <w:sz w:val="24"/>
              </w:rPr>
              <w:t>§11, §14</w:t>
            </w:r>
          </w:p>
        </w:tc>
      </w:tr>
      <w:tr>
        <w:tc>
          <w:tcPr>
            <w:tcW w:type="dxa" w:w="2504"/>
          </w:tcPr>
          <w:p>
            <w:pPr>
              <w:spacing w:after="0"/>
            </w:pPr>
            <w:r>
              <w:rPr>
                <w:rFonts w:ascii="Arial" w:hAnsi="Arial" w:eastAsia="Arial"/>
                <w:b w:val="0"/>
                <w:color w:val="000000"/>
                <w:sz w:val="24"/>
              </w:rPr>
              <w:t>Optional front</w:t>
            </w:r>
          </w:p>
        </w:tc>
        <w:tc>
          <w:tcPr>
            <w:tcW w:type="dxa" w:w="5298"/>
          </w:tcPr>
          <w:p>
            <w:pPr>
              <w:spacing w:after="0"/>
            </w:pPr>
            <w:r>
              <w:rPr>
                <w:rFonts w:ascii="Arial" w:hAnsi="Arial" w:eastAsia="Arial"/>
                <w:b w:val="0"/>
                <w:color w:val="000000"/>
                <w:sz w:val="24"/>
              </w:rPr>
              <w:t>One order-summary screen in Angular or Flutter, at most one hour of work. Three defects must not happen: truncated text, controls hidden by the system bar or the keyboard, and images of one grid scaled differently. A bonus for explaining how to prevent them at component level</w:t>
            </w:r>
          </w:p>
        </w:tc>
        <w:tc>
          <w:tcPr>
            <w:tcW w:type="dxa" w:w="1836"/>
          </w:tcPr>
          <w:p>
            <w:pPr>
              <w:spacing w:after="0"/>
            </w:pPr>
            <w:r>
              <w:rPr>
                <w:rFonts w:ascii="Arial" w:hAnsi="Arial" w:eastAsia="Arial"/>
                <w:b w:val="0"/>
                <w:color w:val="000000"/>
                <w:sz w:val="24"/>
              </w:rPr>
              <w:t>§8</w:t>
            </w:r>
          </w:p>
        </w:tc>
      </w:tr>
    </w:tbl>
    <w:p>
      <w:pPr>
        <w:spacing w:before="120"/>
      </w:pPr>
      <w:r>
        <w:rPr>
          <w:rFonts w:ascii="Arial" w:hAnsi="Arial" w:eastAsia="Arial"/>
          <w:b w:val="0"/>
          <w:color w:val="000000"/>
          <w:sz w:val="24"/>
        </w:rPr>
        <w:t>The assignment itself calls the non-functional requirements of A1 the heart of the exercise. The design started there: a sealed quote for "quoted equals confirmed", a decimal money type with per-line rounding, and country data instead of constants.</w:t>
      </w:r>
    </w:p>
    <w:p>
      <w:pPr>
        <w:pStyle w:val="Heading2"/>
        <w:keepNext/>
        <w:spacing w:before="160" w:after="80"/>
      </w:pPr>
      <w:r>
        <w:rPr>
          <w:rFonts w:ascii="Arial" w:hAnsi="Arial" w:eastAsia="Arial"/>
          <w:b/>
          <w:color w:val="000000"/>
          <w:sz w:val="24"/>
        </w:rPr>
        <w:t>2. Reading the problem: ambiguities and assumptions</w:t>
      </w:r>
    </w:p>
    <w:p>
      <w:r>
        <w:rPr>
          <w:rFonts w:ascii="Arial" w:hAnsi="Arial" w:eastAsia="Arial"/>
          <w:b w:val="0"/>
          <w:color w:val="000000"/>
          <w:sz w:val="24"/>
        </w:rPr>
        <w:t xml:space="preserve">Before any code, the assignment was read sentence by sentence. Each sentence that allowed two readings became an assumption with a stable ID in </w:t>
      </w:r>
      <w:r>
        <w:rPr>
          <w:rFonts w:ascii="Arial" w:hAnsi="Arial" w:eastAsia="Arial"/>
          <w:b w:val="0"/>
          <w:color w:val="000000"/>
          <w:sz w:val="24"/>
        </w:rPr>
        <w:t>orderflow-engine-docs/spec/SPEC.md</w:t>
      </w:r>
      <w:r>
        <w:rPr>
          <w:rFonts w:ascii="Arial" w:hAnsi="Arial" w:eastAsia="Arial"/>
          <w:b w:val="0"/>
          <w:color w:val="000000"/>
          <w:sz w:val="24"/>
        </w:rPr>
        <w:t xml:space="preserve"> §13, and each assumption is enforced by a business rule (BR-xx) and a test.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9"/>
        <w:gridCol w:w="2533"/>
        <w:gridCol w:w="2638"/>
        <w:gridCol w:w="3568"/>
      </w:tblGrid>
      <w:tr>
        <w:tc>
          <w:tcPr>
            <w:tcW w:type="dxa" w:w="899"/>
          </w:tcPr>
          <w:p>
            <w:pPr>
              <w:spacing w:after="0"/>
            </w:pPr>
            <w:r>
              <w:rPr>
                <w:rFonts w:ascii="Arial" w:hAnsi="Arial" w:eastAsia="Arial"/>
                <w:b/>
                <w:color w:val="000000"/>
                <w:sz w:val="24"/>
              </w:rPr>
              <w:t>ID</w:t>
            </w:r>
          </w:p>
        </w:tc>
        <w:tc>
          <w:tcPr>
            <w:tcW w:type="dxa" w:w="2533"/>
          </w:tcPr>
          <w:p>
            <w:pPr>
              <w:spacing w:after="0"/>
            </w:pPr>
            <w:r>
              <w:rPr>
                <w:rFonts w:ascii="Arial" w:hAnsi="Arial" w:eastAsia="Arial"/>
                <w:b/>
                <w:color w:val="000000"/>
                <w:sz w:val="24"/>
              </w:rPr>
              <w:t>Ambiguity in the assignment</w:t>
            </w:r>
          </w:p>
        </w:tc>
        <w:tc>
          <w:tcPr>
            <w:tcW w:type="dxa" w:w="2638"/>
          </w:tcPr>
          <w:p>
            <w:pPr>
              <w:spacing w:after="0"/>
            </w:pPr>
            <w:r>
              <w:rPr>
                <w:rFonts w:ascii="Arial" w:hAnsi="Arial" w:eastAsia="Arial"/>
                <w:b/>
                <w:color w:val="000000"/>
                <w:sz w:val="24"/>
              </w:rPr>
              <w:t>Assumption taken</w:t>
            </w:r>
          </w:p>
        </w:tc>
        <w:tc>
          <w:tcPr>
            <w:tcW w:type="dxa" w:w="3568"/>
          </w:tcPr>
          <w:p>
            <w:pPr>
              <w:spacing w:after="0"/>
            </w:pPr>
            <w:r>
              <w:rPr>
                <w:rFonts w:ascii="Arial" w:hAnsi="Arial" w:eastAsia="Arial"/>
                <w:b/>
                <w:color w:val="000000"/>
                <w:sz w:val="24"/>
              </w:rPr>
              <w:t>Why</w:t>
            </w:r>
          </w:p>
        </w:tc>
      </w:tr>
      <w:tr>
        <w:tc>
          <w:tcPr>
            <w:tcW w:type="dxa" w:w="899"/>
          </w:tcPr>
          <w:p>
            <w:pPr>
              <w:spacing w:after="0"/>
            </w:pPr>
            <w:r>
              <w:rPr>
                <w:rFonts w:ascii="Arial" w:hAnsi="Arial" w:eastAsia="Arial"/>
                <w:b w:val="0"/>
                <w:color w:val="000000"/>
                <w:sz w:val="24"/>
              </w:rPr>
              <w:t>A-01</w:t>
            </w:r>
          </w:p>
        </w:tc>
        <w:tc>
          <w:tcPr>
            <w:tcW w:type="dxa" w:w="2533"/>
          </w:tcPr>
          <w:p>
            <w:pPr>
              <w:spacing w:after="0"/>
            </w:pPr>
            <w:r>
              <w:rPr>
                <w:rFonts w:ascii="Arial" w:hAnsi="Arial" w:eastAsia="Arial"/>
                <w:b w:val="0"/>
                <w:color w:val="000000"/>
                <w:sz w:val="24"/>
              </w:rPr>
              <w:t>Tier discounts are "acumulativas por tramos" (cumulative by brackets)</w:t>
            </w:r>
          </w:p>
        </w:tc>
        <w:tc>
          <w:tcPr>
            <w:tcW w:type="dxa" w:w="2638"/>
          </w:tcPr>
          <w:p>
            <w:pPr>
              <w:spacing w:after="0"/>
            </w:pPr>
            <w:r>
              <w:rPr>
                <w:rFonts w:ascii="Arial" w:hAnsi="Arial" w:eastAsia="Arial"/>
                <w:b w:val="0"/>
                <w:color w:val="000000"/>
                <w:sz w:val="24"/>
              </w:rPr>
              <w:t>Marginal brackets: each percentage applies only to the units inside its bracket, and percentages never stack</w:t>
            </w:r>
          </w:p>
        </w:tc>
        <w:tc>
          <w:tcPr>
            <w:tcW w:type="dxa" w:w="3568"/>
          </w:tcPr>
          <w:p>
            <w:pPr>
              <w:spacing w:after="0"/>
            </w:pPr>
            <w:r>
              <w:rPr>
                <w:rFonts w:ascii="Arial" w:hAnsi="Arial" w:eastAsia="Arial"/>
                <w:b w:val="0"/>
                <w:color w:val="000000"/>
                <w:sz w:val="24"/>
              </w:rPr>
              <w:t>The brackets accumulate segment by segment, as tax brackets do. Golden test 1 pins this reading with exact numbers</w:t>
            </w:r>
          </w:p>
        </w:tc>
      </w:tr>
      <w:tr>
        <w:tc>
          <w:tcPr>
            <w:tcW w:type="dxa" w:w="899"/>
          </w:tcPr>
          <w:p>
            <w:pPr>
              <w:spacing w:after="0"/>
            </w:pPr>
            <w:r>
              <w:rPr>
                <w:rFonts w:ascii="Arial" w:hAnsi="Arial" w:eastAsia="Arial"/>
                <w:b w:val="0"/>
                <w:color w:val="000000"/>
                <w:sz w:val="24"/>
              </w:rPr>
              <w:t>A-02</w:t>
            </w:r>
          </w:p>
        </w:tc>
        <w:tc>
          <w:tcPr>
            <w:tcW w:type="dxa" w:w="2533"/>
          </w:tcPr>
          <w:p>
            <w:pPr>
              <w:spacing w:after="0"/>
            </w:pPr>
            <w:r>
              <w:rPr>
                <w:rFonts w:ascii="Arial" w:hAnsi="Arial" w:eastAsia="Arial"/>
                <w:b w:val="0"/>
                <w:color w:val="000000"/>
                <w:sz w:val="24"/>
              </w:rPr>
              <w:t>A SKU can be covered by a SKU rule and by a family rule at the same time</w:t>
            </w:r>
          </w:p>
        </w:tc>
        <w:tc>
          <w:tcPr>
            <w:tcW w:type="dxa" w:w="2638"/>
          </w:tcPr>
          <w:p>
            <w:pPr>
              <w:spacing w:after="0"/>
            </w:pPr>
            <w:r>
              <w:rPr>
                <w:rFonts w:ascii="Arial" w:hAnsi="Arial" w:eastAsia="Arial"/>
                <w:b w:val="0"/>
                <w:color w:val="000000"/>
                <w:sz w:val="24"/>
              </w:rPr>
              <w:t>A SKU rule removes that SKU from family rules</w:t>
            </w:r>
          </w:p>
        </w:tc>
        <w:tc>
          <w:tcPr>
            <w:tcW w:type="dxa" w:w="3568"/>
          </w:tcPr>
          <w:p>
            <w:pPr>
              <w:spacing w:after="0"/>
            </w:pPr>
            <w:r>
              <w:rPr>
                <w:rFonts w:ascii="Arial" w:hAnsi="Arial" w:eastAsia="Arial"/>
                <w:b w:val="0"/>
                <w:color w:val="000000"/>
                <w:sz w:val="24"/>
              </w:rPr>
              <w:t>The specific rule wins, and no unit gets two tier discounts (</w:t>
            </w:r>
            <w:r>
              <w:rPr>
                <w:rFonts w:ascii="Arial" w:hAnsi="Arial" w:eastAsia="Arial"/>
                <w:b w:val="0"/>
                <w:color w:val="000000"/>
                <w:sz w:val="24"/>
              </w:rPr>
              <w:t>TierPrecedenceTest</w:t>
            </w:r>
            <w:r>
              <w:rPr>
                <w:rFonts w:ascii="Arial" w:hAnsi="Arial" w:eastAsia="Arial"/>
                <w:b w:val="0"/>
                <w:color w:val="000000"/>
                <w:sz w:val="24"/>
              </w:rPr>
              <w:t>)</w:t>
            </w:r>
          </w:p>
        </w:tc>
      </w:tr>
      <w:tr>
        <w:tc>
          <w:tcPr>
            <w:tcW w:type="dxa" w:w="899"/>
          </w:tcPr>
          <w:p>
            <w:pPr>
              <w:spacing w:after="0"/>
            </w:pPr>
            <w:r>
              <w:rPr>
                <w:rFonts w:ascii="Arial" w:hAnsi="Arial" w:eastAsia="Arial"/>
                <w:b w:val="0"/>
                <w:color w:val="000000"/>
                <w:sz w:val="24"/>
              </w:rPr>
              <w:t>A-03</w:t>
            </w:r>
          </w:p>
        </w:tc>
        <w:tc>
          <w:tcPr>
            <w:tcW w:type="dxa" w:w="2533"/>
          </w:tcPr>
          <w:p>
            <w:pPr>
              <w:spacing w:after="0"/>
            </w:pPr>
            <w:r>
              <w:rPr>
                <w:rFonts w:ascii="Arial" w:hAnsi="Arial" w:eastAsia="Arial"/>
                <w:b w:val="0"/>
                <w:color w:val="000000"/>
                <w:sz w:val="24"/>
              </w:rPr>
              <w:t>The order in which units of a family fill the brackets</w:t>
            </w:r>
          </w:p>
        </w:tc>
        <w:tc>
          <w:tcPr>
            <w:tcW w:type="dxa" w:w="2638"/>
          </w:tcPr>
          <w:p>
            <w:pPr>
              <w:spacing w:after="0"/>
            </w:pPr>
            <w:r>
              <w:rPr>
                <w:rFonts w:ascii="Arial" w:hAnsi="Arial" w:eastAsia="Arial"/>
                <w:b w:val="0"/>
                <w:color w:val="000000"/>
                <w:sz w:val="24"/>
              </w:rPr>
              <w:t>Normalized SKU order</w:t>
            </w:r>
          </w:p>
        </w:tc>
        <w:tc>
          <w:tcPr>
            <w:tcW w:type="dxa" w:w="3568"/>
          </w:tcPr>
          <w:p>
            <w:pPr>
              <w:spacing w:after="0"/>
            </w:pPr>
            <w:r>
              <w:rPr>
                <w:rFonts w:ascii="Arial" w:hAnsi="Arial" w:eastAsia="Arial"/>
                <w:b w:val="0"/>
                <w:color w:val="000000"/>
                <w:sz w:val="24"/>
              </w:rPr>
              <w:t>The same cart always prices the same, whatever the order of its lines (BR-00)</w:t>
            </w:r>
          </w:p>
        </w:tc>
      </w:tr>
      <w:tr>
        <w:tc>
          <w:tcPr>
            <w:tcW w:type="dxa" w:w="899"/>
          </w:tcPr>
          <w:p>
            <w:pPr>
              <w:spacing w:after="0"/>
            </w:pPr>
            <w:r>
              <w:rPr>
                <w:rFonts w:ascii="Arial" w:hAnsi="Arial" w:eastAsia="Arial"/>
                <w:b w:val="0"/>
                <w:color w:val="000000"/>
                <w:sz w:val="24"/>
              </w:rPr>
              <w:t>A-04</w:t>
            </w:r>
          </w:p>
        </w:tc>
        <w:tc>
          <w:tcPr>
            <w:tcW w:type="dxa" w:w="2533"/>
          </w:tcPr>
          <w:p>
            <w:pPr>
              <w:spacing w:after="0"/>
            </w:pPr>
            <w:r>
              <w:rPr>
                <w:rFonts w:ascii="Arial" w:hAnsi="Arial" w:eastAsia="Arial"/>
                <w:b w:val="0"/>
                <w:color w:val="000000"/>
                <w:sz w:val="24"/>
              </w:rPr>
              <w:t>Whether combo units and gift units count toward tiers</w:t>
            </w:r>
          </w:p>
        </w:tc>
        <w:tc>
          <w:tcPr>
            <w:tcW w:type="dxa" w:w="2638"/>
          </w:tcPr>
          <w:p>
            <w:pPr>
              <w:spacing w:after="0"/>
            </w:pPr>
            <w:r>
              <w:rPr>
                <w:rFonts w:ascii="Arial" w:hAnsi="Arial" w:eastAsia="Arial"/>
                <w:b w:val="0"/>
                <w:color w:val="000000"/>
                <w:sz w:val="24"/>
              </w:rPr>
              <w:t>They are excluded from thresholds and tier discounts</w:t>
            </w:r>
          </w:p>
        </w:tc>
        <w:tc>
          <w:tcPr>
            <w:tcW w:type="dxa" w:w="3568"/>
          </w:tcPr>
          <w:p>
            <w:pPr>
              <w:spacing w:after="0"/>
            </w:pPr>
            <w:r>
              <w:rPr>
                <w:rFonts w:ascii="Arial" w:hAnsi="Arial" w:eastAsia="Arial"/>
                <w:b w:val="0"/>
                <w:color w:val="000000"/>
                <w:sz w:val="24"/>
              </w:rPr>
              <w:t>No double dipping: a unit priced by a combo is not discounted again (golden test 2)</w:t>
            </w:r>
          </w:p>
        </w:tc>
      </w:tr>
      <w:tr>
        <w:tc>
          <w:tcPr>
            <w:tcW w:type="dxa" w:w="899"/>
          </w:tcPr>
          <w:p>
            <w:pPr>
              <w:spacing w:after="0"/>
            </w:pPr>
            <w:r>
              <w:rPr>
                <w:rFonts w:ascii="Arial" w:hAnsi="Arial" w:eastAsia="Arial"/>
                <w:b w:val="0"/>
                <w:color w:val="000000"/>
                <w:sz w:val="24"/>
              </w:rPr>
              <w:t>A-05</w:t>
            </w:r>
          </w:p>
        </w:tc>
        <w:tc>
          <w:tcPr>
            <w:tcW w:type="dxa" w:w="2533"/>
          </w:tcPr>
          <w:p>
            <w:pPr>
              <w:spacing w:after="0"/>
            </w:pPr>
            <w:r>
              <w:rPr>
                <w:rFonts w:ascii="Arial" w:hAnsi="Arial" w:eastAsia="Arial"/>
                <w:b w:val="0"/>
                <w:color w:val="000000"/>
                <w:sz w:val="24"/>
              </w:rPr>
              <w:t>How long a quote is valid</w:t>
            </w:r>
          </w:p>
        </w:tc>
        <w:tc>
          <w:tcPr>
            <w:tcW w:type="dxa" w:w="2638"/>
          </w:tcPr>
          <w:p>
            <w:pPr>
              <w:spacing w:after="0"/>
            </w:pPr>
            <w:r>
              <w:rPr>
                <w:rFonts w:ascii="Arial" w:hAnsi="Arial" w:eastAsia="Arial"/>
                <w:b w:val="0"/>
                <w:color w:val="000000"/>
                <w:sz w:val="24"/>
              </w:rPr>
              <w:t>15 minutes by default, set per country as data</w:t>
            </w:r>
          </w:p>
        </w:tc>
        <w:tc>
          <w:tcPr>
            <w:tcW w:type="dxa" w:w="3568"/>
          </w:tcPr>
          <w:p>
            <w:pPr>
              <w:spacing w:after="0"/>
            </w:pPr>
            <w:r>
              <w:rPr>
                <w:rFonts w:ascii="Arial" w:hAnsi="Arial" w:eastAsia="Arial"/>
                <w:b w:val="0"/>
                <w:color w:val="000000"/>
                <w:sz w:val="24"/>
              </w:rPr>
              <w:t>It bounds how long a sealed price is honored, the risk of the ADR</w:t>
            </w:r>
          </w:p>
        </w:tc>
      </w:tr>
      <w:tr>
        <w:tc>
          <w:tcPr>
            <w:tcW w:type="dxa" w:w="899"/>
          </w:tcPr>
          <w:p>
            <w:pPr>
              <w:spacing w:after="0"/>
            </w:pPr>
            <w:r>
              <w:rPr>
                <w:rFonts w:ascii="Arial" w:hAnsi="Arial" w:eastAsia="Arial"/>
                <w:b w:val="0"/>
                <w:color w:val="000000"/>
                <w:sz w:val="24"/>
              </w:rPr>
              <w:t>A-06</w:t>
            </w:r>
          </w:p>
        </w:tc>
        <w:tc>
          <w:tcPr>
            <w:tcW w:type="dxa" w:w="2533"/>
          </w:tcPr>
          <w:p>
            <w:pPr>
              <w:spacing w:after="0"/>
            </w:pPr>
            <w:r>
              <w:rPr>
                <w:rFonts w:ascii="Arial" w:hAnsi="Arial" w:eastAsia="Arial"/>
                <w:b w:val="0"/>
                <w:color w:val="000000"/>
                <w:sz w:val="24"/>
              </w:rPr>
              <w:t>Who the caller is: the assignment says nothing about authentication</w:t>
            </w:r>
          </w:p>
        </w:tc>
        <w:tc>
          <w:tcPr>
            <w:tcW w:type="dxa" w:w="2638"/>
          </w:tcPr>
          <w:p>
            <w:pPr>
              <w:spacing w:after="0"/>
            </w:pPr>
            <w:r>
              <w:rPr>
                <w:rFonts w:ascii="Arial" w:hAnsi="Arial" w:eastAsia="Arial"/>
                <w:b w:val="0"/>
                <w:color w:val="000000"/>
                <w:sz w:val="24"/>
              </w:rPr>
              <w:t xml:space="preserve">Authentication is out of scope. Tenant and customer come from the </w:t>
            </w:r>
            <w:r>
              <w:rPr>
                <w:rFonts w:ascii="Arial" w:hAnsi="Arial" w:eastAsia="Arial"/>
                <w:b w:val="0"/>
                <w:color w:val="000000"/>
                <w:sz w:val="24"/>
              </w:rPr>
              <w:t>X-Tenant-Id</w:t>
            </w:r>
            <w:r>
              <w:rPr>
                <w:rFonts w:ascii="Arial" w:hAnsi="Arial" w:eastAsia="Arial"/>
                <w:b w:val="0"/>
                <w:color w:val="000000"/>
                <w:sz w:val="24"/>
              </w:rPr>
              <w:t xml:space="preserve"> and </w:t>
            </w:r>
            <w:r>
              <w:rPr>
                <w:rFonts w:ascii="Arial" w:hAnsi="Arial" w:eastAsia="Arial"/>
                <w:b w:val="0"/>
                <w:color w:val="000000"/>
                <w:sz w:val="24"/>
              </w:rPr>
              <w:t>X-Customer-Id</w:t>
            </w:r>
            <w:r>
              <w:rPr>
                <w:rFonts w:ascii="Arial" w:hAnsi="Arial" w:eastAsia="Arial"/>
                <w:b w:val="0"/>
                <w:color w:val="000000"/>
                <w:sz w:val="24"/>
              </w:rPr>
              <w:t xml:space="preserve"> headers</w:t>
            </w:r>
          </w:p>
        </w:tc>
        <w:tc>
          <w:tcPr>
            <w:tcW w:type="dxa" w:w="3568"/>
          </w:tcPr>
          <w:p>
            <w:pPr>
              <w:spacing w:after="0"/>
            </w:pPr>
            <w:r>
              <w:rPr>
                <w:rFonts w:ascii="Arial" w:hAnsi="Arial" w:eastAsia="Arial"/>
                <w:b w:val="0"/>
                <w:color w:val="000000"/>
                <w:sz w:val="24"/>
              </w:rPr>
              <w:t>A gateway would inject them. The web client's store picker stands in for a login</w:t>
            </w:r>
          </w:p>
        </w:tc>
      </w:tr>
      <w:tr>
        <w:tc>
          <w:tcPr>
            <w:tcW w:type="dxa" w:w="899"/>
          </w:tcPr>
          <w:p>
            <w:pPr>
              <w:spacing w:after="0"/>
            </w:pPr>
            <w:r>
              <w:rPr>
                <w:rFonts w:ascii="Arial" w:hAnsi="Arial" w:eastAsia="Arial"/>
                <w:b w:val="0"/>
                <w:color w:val="000000"/>
                <w:sz w:val="24"/>
              </w:rPr>
              <w:t>A-07</w:t>
            </w:r>
          </w:p>
        </w:tc>
        <w:tc>
          <w:tcPr>
            <w:tcW w:type="dxa" w:w="2533"/>
          </w:tcPr>
          <w:p>
            <w:pPr>
              <w:spacing w:after="0"/>
            </w:pPr>
            <w:r>
              <w:rPr>
                <w:rFonts w:ascii="Arial" w:hAnsi="Arial" w:eastAsia="Arial"/>
                <w:b w:val="0"/>
                <w:color w:val="000000"/>
                <w:sz w:val="24"/>
              </w:rPr>
              <w:t>How a combo appears in the breakdown</w:t>
            </w:r>
          </w:p>
        </w:tc>
        <w:tc>
          <w:tcPr>
            <w:tcW w:type="dxa" w:w="2638"/>
          </w:tcPr>
          <w:p>
            <w:pPr>
              <w:spacing w:after="0"/>
            </w:pPr>
            <w:r>
              <w:rPr>
                <w:rFonts w:ascii="Arial" w:hAnsi="Arial" w:eastAsia="Arial"/>
                <w:b w:val="0"/>
                <w:color w:val="000000"/>
                <w:sz w:val="24"/>
              </w:rPr>
              <w:t>One grouped discount entry per combo. Line allocations exist only to derive each line's taxable base</w:t>
            </w:r>
          </w:p>
        </w:tc>
        <w:tc>
          <w:tcPr>
            <w:tcW w:type="dxa" w:w="3568"/>
          </w:tcPr>
          <w:p>
            <w:pPr>
              <w:spacing w:after="0"/>
            </w:pPr>
            <w:r>
              <w:rPr>
                <w:rFonts w:ascii="Arial" w:hAnsi="Arial" w:eastAsia="Arial"/>
                <w:b w:val="0"/>
                <w:color w:val="000000"/>
                <w:sz w:val="24"/>
              </w:rPr>
              <w:t>Golden test 2 forbids showing the combo's products as loose discounts, and tax still needs a base per line</w:t>
            </w:r>
          </w:p>
        </w:tc>
      </w:tr>
      <w:tr>
        <w:tc>
          <w:tcPr>
            <w:tcW w:type="dxa" w:w="899"/>
          </w:tcPr>
          <w:p>
            <w:pPr>
              <w:spacing w:after="0"/>
            </w:pPr>
            <w:r>
              <w:rPr>
                <w:rFonts w:ascii="Arial" w:hAnsi="Arial" w:eastAsia="Arial"/>
                <w:b w:val="0"/>
                <w:color w:val="000000"/>
                <w:sz w:val="24"/>
              </w:rPr>
              <w:t>A-08</w:t>
            </w:r>
          </w:p>
        </w:tc>
        <w:tc>
          <w:tcPr>
            <w:tcW w:type="dxa" w:w="2533"/>
          </w:tcPr>
          <w:p>
            <w:pPr>
              <w:spacing w:after="0"/>
            </w:pPr>
            <w:r>
              <w:rPr>
                <w:rFonts w:ascii="Arial" w:hAnsi="Arial" w:eastAsia="Arial"/>
                <w:b w:val="0"/>
                <w:color w:val="000000"/>
                <w:sz w:val="24"/>
              </w:rPr>
              <w:t>Whether credit is reserved when the quote is made</w:t>
            </w:r>
          </w:p>
        </w:tc>
        <w:tc>
          <w:tcPr>
            <w:tcW w:type="dxa" w:w="2638"/>
          </w:tcPr>
          <w:p>
            <w:pPr>
              <w:spacing w:after="0"/>
            </w:pPr>
            <w:r>
              <w:rPr>
                <w:rFonts w:ascii="Arial" w:hAnsi="Arial" w:eastAsia="Arial"/>
                <w:b w:val="0"/>
                <w:color w:val="000000"/>
                <w:sz w:val="24"/>
              </w:rPr>
              <w:t>No. At quote time the check is advisory</w:t>
            </w:r>
          </w:p>
        </w:tc>
        <w:tc>
          <w:tcPr>
            <w:tcW w:type="dxa" w:w="3568"/>
          </w:tcPr>
          <w:p>
            <w:pPr>
              <w:spacing w:after="0"/>
            </w:pPr>
            <w:r>
              <w:rPr>
                <w:rFonts w:ascii="Arial" w:hAnsi="Arial" w:eastAsia="Arial"/>
                <w:b w:val="0"/>
                <w:color w:val="000000"/>
                <w:sz w:val="24"/>
              </w:rPr>
              <w:t>The binding check runs once, inside the confirmation transaction. Two open quotes that both fit are settled there: one confirms, the other gets 409</w:t>
            </w:r>
          </w:p>
        </w:tc>
      </w:tr>
      <w:tr>
        <w:tc>
          <w:tcPr>
            <w:tcW w:type="dxa" w:w="899"/>
          </w:tcPr>
          <w:p>
            <w:pPr>
              <w:spacing w:after="0"/>
            </w:pPr>
            <w:r>
              <w:rPr>
                <w:rFonts w:ascii="Arial" w:hAnsi="Arial" w:eastAsia="Arial"/>
                <w:b w:val="0"/>
                <w:color w:val="000000"/>
                <w:sz w:val="24"/>
              </w:rPr>
              <w:t>A-09</w:t>
            </w:r>
          </w:p>
        </w:tc>
        <w:tc>
          <w:tcPr>
            <w:tcW w:type="dxa" w:w="2533"/>
          </w:tcPr>
          <w:p>
            <w:pPr>
              <w:spacing w:after="0"/>
            </w:pPr>
            <w:r>
              <w:rPr>
                <w:rFonts w:ascii="Arial" w:hAnsi="Arial" w:eastAsia="Arial"/>
                <w:b w:val="0"/>
                <w:color w:val="000000"/>
                <w:sz w:val="24"/>
              </w:rPr>
              <w:t>Cancellation and credit release</w:t>
            </w:r>
          </w:p>
        </w:tc>
        <w:tc>
          <w:tcPr>
            <w:tcW w:type="dxa" w:w="2638"/>
          </w:tcPr>
          <w:p>
            <w:pPr>
              <w:spacing w:after="0"/>
            </w:pPr>
            <w:r>
              <w:rPr>
                <w:rFonts w:ascii="Arial" w:hAnsi="Arial" w:eastAsia="Arial"/>
                <w:b w:val="0"/>
                <w:color w:val="000000"/>
                <w:sz w:val="24"/>
              </w:rPr>
              <w:t>Out of scope</w:t>
            </w:r>
          </w:p>
        </w:tc>
        <w:tc>
          <w:tcPr>
            <w:tcW w:type="dxa" w:w="3568"/>
          </w:tcPr>
          <w:p>
            <w:pPr>
              <w:spacing w:after="0"/>
            </w:pPr>
            <w:r>
              <w:rPr>
                <w:rFonts w:ascii="Arial" w:hAnsi="Arial" w:eastAsia="Arial"/>
                <w:b w:val="0"/>
                <w:color w:val="000000"/>
                <w:sz w:val="24"/>
              </w:rPr>
              <w:t>The assignment does not ask for them</w:t>
            </w:r>
          </w:p>
        </w:tc>
      </w:tr>
      <w:tr>
        <w:tc>
          <w:tcPr>
            <w:tcW w:type="dxa" w:w="899"/>
          </w:tcPr>
          <w:p>
            <w:pPr>
              <w:spacing w:after="0"/>
            </w:pPr>
            <w:r>
              <w:rPr>
                <w:rFonts w:ascii="Arial" w:hAnsi="Arial" w:eastAsia="Arial"/>
                <w:b w:val="0"/>
                <w:color w:val="000000"/>
                <w:sz w:val="24"/>
              </w:rPr>
              <w:t>A-10</w:t>
            </w:r>
          </w:p>
        </w:tc>
        <w:tc>
          <w:tcPr>
            <w:tcW w:type="dxa" w:w="2533"/>
          </w:tcPr>
          <w:p>
            <w:pPr>
              <w:spacing w:after="0"/>
            </w:pPr>
            <w:r>
              <w:rPr>
                <w:rFonts w:ascii="Arial" w:hAnsi="Arial" w:eastAsia="Arial"/>
                <w:b w:val="0"/>
                <w:color w:val="000000"/>
                <w:sz w:val="24"/>
              </w:rPr>
              <w:t>What "a purchase condition" for a gift means</w:t>
            </w:r>
          </w:p>
        </w:tc>
        <w:tc>
          <w:tcPr>
            <w:tcW w:type="dxa" w:w="2638"/>
          </w:tcPr>
          <w:p>
            <w:pPr>
              <w:spacing w:after="0"/>
            </w:pPr>
            <w:r>
              <w:rPr>
                <w:rFonts w:ascii="Arial" w:hAnsi="Arial" w:eastAsia="Arial"/>
                <w:b w:val="0"/>
                <w:color w:val="000000"/>
                <w:sz w:val="24"/>
              </w:rPr>
              <w:t>A minimum paid quantity of a SKU or family, or a minimum gross subtotal before discounts. A gift line is always separate from a paid line</w:t>
            </w:r>
          </w:p>
        </w:tc>
        <w:tc>
          <w:tcPr>
            <w:tcW w:type="dxa" w:w="3568"/>
          </w:tcPr>
          <w:p>
            <w:pPr>
              <w:spacing w:after="0"/>
            </w:pPr>
            <w:r>
              <w:rPr>
                <w:rFonts w:ascii="Arial" w:hAnsi="Arial" w:eastAsia="Arial"/>
                <w:b w:val="0"/>
                <w:color w:val="000000"/>
                <w:sz w:val="24"/>
              </w:rPr>
              <w:t>A gift is triggered by what is bought and never changes what is paid for product</w:t>
            </w:r>
          </w:p>
        </w:tc>
      </w:tr>
    </w:tbl>
    <w:p>
      <w:pPr>
        <w:spacing w:before="120"/>
      </w:pPr>
      <w:r>
        <w:rPr>
          <w:rFonts w:ascii="Arial" w:hAnsi="Arial" w:eastAsia="Arial"/>
          <w:b w:val="0"/>
          <w:color w:val="000000"/>
          <w:sz w:val="24"/>
        </w:rPr>
        <w:t>Some questions are asked of the candidate directly. Each answer is a rule of the specification: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89"/>
        <w:gridCol w:w="5251"/>
        <w:gridCol w:w="1298"/>
      </w:tblGrid>
      <w:tr>
        <w:tc>
          <w:tcPr>
            <w:tcW w:type="dxa" w:w="3089"/>
          </w:tcPr>
          <w:p>
            <w:pPr>
              <w:spacing w:after="0"/>
            </w:pPr>
            <w:r>
              <w:rPr>
                <w:rFonts w:ascii="Arial" w:hAnsi="Arial" w:eastAsia="Arial"/>
                <w:b/>
                <w:color w:val="000000"/>
                <w:sz w:val="24"/>
              </w:rPr>
              <w:t>Question in the assignment</w:t>
            </w:r>
          </w:p>
        </w:tc>
        <w:tc>
          <w:tcPr>
            <w:tcW w:type="dxa" w:w="5251"/>
          </w:tcPr>
          <w:p>
            <w:pPr>
              <w:spacing w:after="0"/>
            </w:pPr>
            <w:r>
              <w:rPr>
                <w:rFonts w:ascii="Arial" w:hAnsi="Arial" w:eastAsia="Arial"/>
                <w:b/>
                <w:color w:val="000000"/>
                <w:sz w:val="24"/>
              </w:rPr>
              <w:t>Answer</w:t>
            </w:r>
          </w:p>
        </w:tc>
        <w:tc>
          <w:tcPr>
            <w:tcW w:type="dxa" w:w="1298"/>
          </w:tcPr>
          <w:p>
            <w:pPr>
              <w:spacing w:after="0"/>
            </w:pPr>
            <w:r>
              <w:rPr>
                <w:rFonts w:ascii="Arial" w:hAnsi="Arial" w:eastAsia="Arial"/>
                <w:b/>
                <w:color w:val="000000"/>
                <w:sz w:val="24"/>
              </w:rPr>
              <w:t>Where</w:t>
            </w:r>
          </w:p>
        </w:tc>
      </w:tr>
      <w:tr>
        <w:tc>
          <w:tcPr>
            <w:tcW w:type="dxa" w:w="3089"/>
          </w:tcPr>
          <w:p>
            <w:pPr>
              <w:spacing w:after="0"/>
            </w:pPr>
            <w:r>
              <w:rPr>
                <w:rFonts w:ascii="Arial" w:hAnsi="Arial" w:eastAsia="Arial"/>
                <w:b w:val="0"/>
                <w:color w:val="000000"/>
                <w:sz w:val="24"/>
              </w:rPr>
              <w:t>Which money type, scale and rounding rule?</w:t>
            </w:r>
          </w:p>
        </w:tc>
        <w:tc>
          <w:tcPr>
            <w:tcW w:type="dxa" w:w="5251"/>
          </w:tcPr>
          <w:p>
            <w:pPr>
              <w:spacing w:after="0"/>
            </w:pPr>
            <w:r>
              <w:rPr>
                <w:rFonts w:ascii="Arial" w:hAnsi="Arial" w:eastAsia="Arial"/>
                <w:b w:val="0"/>
                <w:color w:val="000000"/>
                <w:sz w:val="24"/>
              </w:rPr>
              <w:t>Money</w:t>
            </w:r>
            <w:r>
              <w:rPr>
                <w:rFonts w:ascii="Arial" w:hAnsi="Arial" w:eastAsia="Arial"/>
                <w:b w:val="0"/>
                <w:color w:val="000000"/>
                <w:sz w:val="24"/>
              </w:rPr>
              <w:t xml:space="preserve"> holding a </w:t>
            </w:r>
            <w:r>
              <w:rPr>
                <w:rFonts w:ascii="Arial" w:hAnsi="Arial" w:eastAsia="Arial"/>
                <w:b w:val="0"/>
                <w:color w:val="000000"/>
                <w:sz w:val="24"/>
              </w:rPr>
              <w:t>BigDecimal</w:t>
            </w:r>
            <w:r>
              <w:rPr>
                <w:rFonts w:ascii="Arial" w:hAnsi="Arial" w:eastAsia="Arial"/>
                <w:b w:val="0"/>
                <w:color w:val="000000"/>
                <w:sz w:val="24"/>
              </w:rPr>
              <w:t xml:space="preserve"> and a currency policy; scale and rounding mode from country data; </w:t>
            </w:r>
            <w:r>
              <w:rPr>
                <w:rFonts w:ascii="Arial" w:hAnsi="Arial" w:eastAsia="Arial"/>
                <w:b w:val="0"/>
                <w:color w:val="000000"/>
                <w:sz w:val="24"/>
              </w:rPr>
              <w:t>HALF_UP</w:t>
            </w:r>
            <w:r>
              <w:rPr>
                <w:rFonts w:ascii="Arial" w:hAnsi="Arial" w:eastAsia="Arial"/>
                <w:b w:val="0"/>
                <w:color w:val="000000"/>
                <w:sz w:val="24"/>
              </w:rPr>
              <w:t xml:space="preserve"> in the four seeded countries</w:t>
            </w:r>
          </w:p>
        </w:tc>
        <w:tc>
          <w:tcPr>
            <w:tcW w:type="dxa" w:w="1298"/>
          </w:tcPr>
          <w:p>
            <w:pPr>
              <w:spacing w:after="0"/>
            </w:pPr>
            <w:r>
              <w:rPr>
                <w:rFonts w:ascii="Arial" w:hAnsi="Arial" w:eastAsia="Arial"/>
                <w:b w:val="0"/>
                <w:color w:val="000000"/>
                <w:sz w:val="24"/>
              </w:rPr>
              <w:t>SPEC §4</w:t>
            </w:r>
          </w:p>
        </w:tc>
      </w:tr>
      <w:tr>
        <w:tc>
          <w:tcPr>
            <w:tcW w:type="dxa" w:w="3089"/>
          </w:tcPr>
          <w:p>
            <w:pPr>
              <w:spacing w:after="0"/>
            </w:pPr>
            <w:r>
              <w:rPr>
                <w:rFonts w:ascii="Arial" w:hAnsi="Arial" w:eastAsia="Arial"/>
                <w:b w:val="0"/>
                <w:color w:val="000000"/>
                <w:sz w:val="24"/>
              </w:rPr>
              <w:t>Round per line, per total or per tax?</w:t>
            </w:r>
          </w:p>
        </w:tc>
        <w:tc>
          <w:tcPr>
            <w:tcW w:type="dxa" w:w="5251"/>
          </w:tcPr>
          <w:p>
            <w:pPr>
              <w:spacing w:after="0"/>
            </w:pPr>
            <w:r>
              <w:rPr>
                <w:rFonts w:ascii="Arial" w:hAnsi="Arial" w:eastAsia="Arial"/>
                <w:b w:val="0"/>
                <w:color w:val="000000"/>
                <w:sz w:val="24"/>
              </w:rPr>
              <w:t>Per line only. Totals are sums of rounded lines and are never rounded again</w:t>
            </w:r>
          </w:p>
        </w:tc>
        <w:tc>
          <w:tcPr>
            <w:tcW w:type="dxa" w:w="1298"/>
          </w:tcPr>
          <w:p>
            <w:pPr>
              <w:spacing w:after="0"/>
            </w:pPr>
            <w:r>
              <w:rPr>
                <w:rFonts w:ascii="Arial" w:hAnsi="Arial" w:eastAsia="Arial"/>
                <w:b w:val="0"/>
                <w:color w:val="000000"/>
                <w:sz w:val="24"/>
              </w:rPr>
              <w:t>SPEC §4</w:t>
            </w:r>
          </w:p>
        </w:tc>
      </w:tr>
      <w:tr>
        <w:tc>
          <w:tcPr>
            <w:tcW w:type="dxa" w:w="3089"/>
          </w:tcPr>
          <w:p>
            <w:pPr>
              <w:spacing w:after="0"/>
            </w:pPr>
            <w:r>
              <w:rPr>
                <w:rFonts w:ascii="Arial" w:hAnsi="Arial" w:eastAsia="Arial"/>
                <w:b w:val="0"/>
                <w:color w:val="000000"/>
                <w:sz w:val="24"/>
              </w:rPr>
              <w:t>What does the gift's tax implication mean?</w:t>
            </w:r>
          </w:p>
        </w:tc>
        <w:tc>
          <w:tcPr>
            <w:tcW w:type="dxa" w:w="5251"/>
          </w:tcPr>
          <w:p>
            <w:pPr>
              <w:spacing w:after="0"/>
            </w:pPr>
            <w:r>
              <w:rPr>
                <w:rFonts w:ascii="Arial" w:hAnsi="Arial" w:eastAsia="Arial"/>
                <w:b w:val="0"/>
                <w:color w:val="000000"/>
                <w:sz w:val="24"/>
              </w:rPr>
              <w:t xml:space="preserve">The country's gift tax policy decides: </w:t>
            </w:r>
            <w:r>
              <w:rPr>
                <w:rFonts w:ascii="Arial" w:hAnsi="Arial" w:eastAsia="Arial"/>
                <w:b w:val="0"/>
                <w:color w:val="000000"/>
                <w:sz w:val="24"/>
              </w:rPr>
              <w:t>EXEMPT</w:t>
            </w:r>
            <w:r>
              <w:rPr>
                <w:rFonts w:ascii="Arial" w:hAnsi="Arial" w:eastAsia="Arial"/>
                <w:b w:val="0"/>
                <w:color w:val="000000"/>
                <w:sz w:val="24"/>
              </w:rPr>
              <w:t xml:space="preserve"> or </w:t>
            </w:r>
            <w:r>
              <w:rPr>
                <w:rFonts w:ascii="Arial" w:hAnsi="Arial" w:eastAsia="Arial"/>
                <w:b w:val="0"/>
                <w:color w:val="000000"/>
                <w:sz w:val="24"/>
              </w:rPr>
              <w:t>TAXED</w:t>
            </w:r>
            <w:r>
              <w:rPr>
                <w:rFonts w:ascii="Arial" w:hAnsi="Arial" w:eastAsia="Arial"/>
                <w:b w:val="0"/>
                <w:color w:val="000000"/>
                <w:sz w:val="24"/>
              </w:rPr>
              <w:t xml:space="preserve"> on the gift's reference value</w:t>
            </w:r>
          </w:p>
        </w:tc>
        <w:tc>
          <w:tcPr>
            <w:tcW w:type="dxa" w:w="1298"/>
          </w:tcPr>
          <w:p>
            <w:pPr>
              <w:spacing w:after="0"/>
            </w:pPr>
            <w:r>
              <w:rPr>
                <w:rFonts w:ascii="Arial" w:hAnsi="Arial" w:eastAsia="Arial"/>
                <w:b w:val="0"/>
                <w:color w:val="000000"/>
                <w:sz w:val="24"/>
              </w:rPr>
              <w:t>SPEC BR-04</w:t>
            </w:r>
          </w:p>
        </w:tc>
      </w:tr>
      <w:tr>
        <w:tc>
          <w:tcPr>
            <w:tcW w:type="dxa" w:w="3089"/>
          </w:tcPr>
          <w:p>
            <w:pPr>
              <w:spacing w:after="0"/>
            </w:pPr>
            <w:r>
              <w:rPr>
                <w:rFonts w:ascii="Arial" w:hAnsi="Arial" w:eastAsia="Arial"/>
                <w:b w:val="0"/>
                <w:color w:val="000000"/>
                <w:sz w:val="24"/>
              </w:rPr>
              <w:t>What does a 201 guarantee?</w:t>
            </w:r>
          </w:p>
        </w:tc>
        <w:tc>
          <w:tcPr>
            <w:tcW w:type="dxa" w:w="5251"/>
          </w:tcPr>
          <w:p>
            <w:pPr>
              <w:spacing w:after="0"/>
            </w:pPr>
            <w:r>
              <w:rPr>
                <w:rFonts w:ascii="Arial" w:hAnsi="Arial" w:eastAsia="Arial"/>
                <w:b w:val="0"/>
                <w:color w:val="000000"/>
                <w:sz w:val="24"/>
              </w:rPr>
              <w:t>The order row is committed and readable before the 201 is serialized (invariant I-201)</w:t>
            </w:r>
          </w:p>
        </w:tc>
        <w:tc>
          <w:tcPr>
            <w:tcW w:type="dxa" w:w="1298"/>
          </w:tcPr>
          <w:p>
            <w:pPr>
              <w:spacing w:after="0"/>
            </w:pPr>
            <w:r>
              <w:rPr>
                <w:rFonts w:ascii="Arial" w:hAnsi="Arial" w:eastAsia="Arial"/>
                <w:b w:val="0"/>
                <w:color w:val="000000"/>
                <w:sz w:val="24"/>
              </w:rPr>
              <w:t>SPEC §7.2</w:t>
            </w:r>
          </w:p>
        </w:tc>
      </w:tr>
      <w:tr>
        <w:tc>
          <w:tcPr>
            <w:tcW w:type="dxa" w:w="3089"/>
          </w:tcPr>
          <w:p>
            <w:pPr>
              <w:spacing w:after="0"/>
            </w:pPr>
            <w:r>
              <w:rPr>
                <w:rFonts w:ascii="Arial" w:hAnsi="Arial" w:eastAsia="Arial"/>
                <w:b w:val="0"/>
                <w:color w:val="000000"/>
                <w:sz w:val="24"/>
              </w:rPr>
              <w:t>Which consistency model, and what is sacrificed?</w:t>
            </w:r>
          </w:p>
        </w:tc>
        <w:tc>
          <w:tcPr>
            <w:tcW w:type="dxa" w:w="5251"/>
          </w:tcPr>
          <w:p>
            <w:pPr>
              <w:spacing w:after="0"/>
            </w:pPr>
            <w:r>
              <w:rPr>
                <w:rFonts w:ascii="Arial" w:hAnsi="Arial" w:eastAsia="Arial"/>
                <w:b w:val="0"/>
                <w:color w:val="000000"/>
                <w:sz w:val="24"/>
              </w:rPr>
              <w:t>Strong for order, credit, key and outbox in one database; eventual for push and ERP</w:t>
            </w:r>
          </w:p>
        </w:tc>
        <w:tc>
          <w:tcPr>
            <w:tcW w:type="dxa" w:w="1298"/>
          </w:tcPr>
          <w:p>
            <w:pPr>
              <w:spacing w:after="0"/>
            </w:pPr>
            <w:r>
              <w:rPr>
                <w:rFonts w:ascii="Arial" w:hAnsi="Arial" w:eastAsia="Arial"/>
                <w:b w:val="0"/>
                <w:color w:val="000000"/>
                <w:sz w:val="24"/>
              </w:rPr>
              <w:t>SPEC §7.5</w:t>
            </w:r>
          </w:p>
        </w:tc>
      </w:tr>
    </w:tbl>
    <w:p>
      <w:pPr>
        <w:pStyle w:val="Heading2"/>
        <w:keepNext/>
        <w:spacing w:before="160" w:after="80"/>
      </w:pPr>
      <w:r>
        <w:rPr>
          <w:rFonts w:ascii="Arial" w:hAnsi="Arial" w:eastAsia="Arial"/>
          <w:b/>
          <w:color w:val="000000"/>
          <w:sz w:val="24"/>
        </w:rPr>
        <w:t>3. Specification first</w:t>
      </w:r>
    </w:p>
    <w:p>
      <w:r>
        <w:rPr>
          <w:rFonts w:ascii="Arial" w:hAnsi="Arial" w:eastAsia="Arial"/>
          <w:b w:val="0"/>
          <w:color w:val="000000"/>
          <w:sz w:val="24"/>
        </w:rPr>
        <w:t>The specification was written and merged before the first line of service code. The first pull requests of the documentation repository on 2026-10-14 are the constitution and the specification, then the plan, tasks and contract, then the data model and architecture. The service code started on 2026-10-15.</w:t>
      </w:r>
    </w:p>
    <w:p>
      <w:pPr>
        <w:pStyle w:val="Heading3"/>
        <w:keepNext/>
        <w:spacing w:before="160" w:after="80"/>
      </w:pPr>
      <w:r>
        <w:rPr>
          <w:rFonts w:ascii="Arial" w:hAnsi="Arial" w:eastAsia="Arial"/>
          <w:b/>
          <w:color w:val="000000"/>
          <w:sz w:val="24"/>
        </w:rPr>
        <w:t>3.1 The constitution</w:t>
      </w:r>
    </w:p>
    <w:p>
      <w:r>
        <w:rPr>
          <w:rFonts w:ascii="Arial" w:hAnsi="Arial" w:eastAsia="Arial"/>
          <w:b w:val="0"/>
          <w:color w:val="000000"/>
          <w:sz w:val="24"/>
        </w:rPr>
        <w:t>orderflow-engine-docs/spec/constitution.md</w:t>
      </w:r>
      <w:r>
        <w:rPr>
          <w:rFonts w:ascii="Arial" w:hAnsi="Arial" w:eastAsia="Arial"/>
          <w:b w:val="0"/>
          <w:color w:val="000000"/>
          <w:sz w:val="24"/>
        </w:rPr>
        <w:t xml:space="preserve"> holds 15 non-negotiable principles. Each one names how it is verified, because "a principle without a verification is a wish". The ones that shaped the solution most: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2"/>
        <w:gridCol w:w="4150"/>
        <w:gridCol w:w="3986"/>
      </w:tblGrid>
      <w:tr>
        <w:tc>
          <w:tcPr>
            <w:tcW w:type="dxa" w:w="1502"/>
          </w:tcPr>
          <w:p>
            <w:pPr>
              <w:spacing w:after="0"/>
            </w:pPr>
            <w:r>
              <w:rPr>
                <w:rFonts w:ascii="Arial" w:hAnsi="Arial" w:eastAsia="Arial"/>
                <w:b/>
                <w:color w:val="000000"/>
                <w:sz w:val="24"/>
              </w:rPr>
              <w:t>Article</w:t>
            </w:r>
          </w:p>
        </w:tc>
        <w:tc>
          <w:tcPr>
            <w:tcW w:type="dxa" w:w="4150"/>
          </w:tcPr>
          <w:p>
            <w:pPr>
              <w:spacing w:after="0"/>
            </w:pPr>
            <w:r>
              <w:rPr>
                <w:rFonts w:ascii="Arial" w:hAnsi="Arial" w:eastAsia="Arial"/>
                <w:b/>
                <w:color w:val="000000"/>
                <w:sz w:val="24"/>
              </w:rPr>
              <w:t>Principle</w:t>
            </w:r>
          </w:p>
        </w:tc>
        <w:tc>
          <w:tcPr>
            <w:tcW w:type="dxa" w:w="3986"/>
          </w:tcPr>
          <w:p>
            <w:pPr>
              <w:spacing w:after="0"/>
            </w:pPr>
            <w:r>
              <w:rPr>
                <w:rFonts w:ascii="Arial" w:hAnsi="Arial" w:eastAsia="Arial"/>
                <w:b/>
                <w:color w:val="000000"/>
                <w:sz w:val="24"/>
              </w:rPr>
              <w:t>Verified by</w:t>
            </w:r>
          </w:p>
        </w:tc>
      </w:tr>
      <w:tr>
        <w:tc>
          <w:tcPr>
            <w:tcW w:type="dxa" w:w="1502"/>
          </w:tcPr>
          <w:p>
            <w:pPr>
              <w:spacing w:after="0"/>
            </w:pPr>
            <w:r>
              <w:rPr>
                <w:rFonts w:ascii="Arial" w:hAnsi="Arial" w:eastAsia="Arial"/>
                <w:b w:val="0"/>
                <w:color w:val="000000"/>
                <w:sz w:val="24"/>
              </w:rPr>
              <w:t>P-01</w:t>
            </w:r>
          </w:p>
        </w:tc>
        <w:tc>
          <w:tcPr>
            <w:tcW w:type="dxa" w:w="4150"/>
          </w:tcPr>
          <w:p>
            <w:pPr>
              <w:spacing w:after="0"/>
            </w:pPr>
            <w:r>
              <w:rPr>
                <w:rFonts w:ascii="Arial" w:hAnsi="Arial" w:eastAsia="Arial"/>
                <w:b w:val="0"/>
                <w:color w:val="000000"/>
                <w:sz w:val="24"/>
              </w:rPr>
              <w:t>Money is never a binary floating-point number</w:t>
            </w:r>
          </w:p>
        </w:tc>
        <w:tc>
          <w:tcPr>
            <w:tcW w:type="dxa" w:w="3986"/>
          </w:tcPr>
          <w:p>
            <w:pPr>
              <w:spacing w:after="0"/>
            </w:pPr>
            <w:r>
              <w:rPr>
                <w:rFonts w:ascii="Arial" w:hAnsi="Arial" w:eastAsia="Arial"/>
                <w:b w:val="0"/>
                <w:color w:val="000000"/>
                <w:sz w:val="24"/>
              </w:rPr>
              <w:t>DomainPurityArchTest</w:t>
            </w:r>
            <w:r>
              <w:rPr>
                <w:rFonts w:ascii="Arial" w:hAnsi="Arial" w:eastAsia="Arial"/>
                <w:b w:val="0"/>
                <w:color w:val="000000"/>
                <w:sz w:val="24"/>
              </w:rPr>
              <w:t xml:space="preserve">, </w:t>
            </w:r>
            <w:r>
              <w:rPr>
                <w:rFonts w:ascii="Arial" w:hAnsi="Arial" w:eastAsia="Arial"/>
                <w:b w:val="0"/>
                <w:color w:val="000000"/>
                <w:sz w:val="24"/>
              </w:rPr>
              <w:t>MoneyTest</w:t>
            </w:r>
          </w:p>
        </w:tc>
      </w:tr>
      <w:tr>
        <w:tc>
          <w:tcPr>
            <w:tcW w:type="dxa" w:w="1502"/>
          </w:tcPr>
          <w:p>
            <w:pPr>
              <w:spacing w:after="0"/>
            </w:pPr>
            <w:r>
              <w:rPr>
                <w:rFonts w:ascii="Arial" w:hAnsi="Arial" w:eastAsia="Arial"/>
                <w:b w:val="0"/>
                <w:color w:val="000000"/>
                <w:sz w:val="24"/>
              </w:rPr>
              <w:t>P-02</w:t>
            </w:r>
          </w:p>
        </w:tc>
        <w:tc>
          <w:tcPr>
            <w:tcW w:type="dxa" w:w="4150"/>
          </w:tcPr>
          <w:p>
            <w:pPr>
              <w:spacing w:after="0"/>
            </w:pPr>
            <w:r>
              <w:rPr>
                <w:rFonts w:ascii="Arial" w:hAnsi="Arial" w:eastAsia="Arial"/>
                <w:b w:val="0"/>
                <w:color w:val="000000"/>
                <w:sz w:val="24"/>
              </w:rPr>
              <w:t>The quoted total is the confirmed total: the order references the sealed quote and stores no amount</w:t>
            </w:r>
          </w:p>
        </w:tc>
        <w:tc>
          <w:tcPr>
            <w:tcW w:type="dxa" w:w="3986"/>
          </w:tcPr>
          <w:p>
            <w:pPr>
              <w:spacing w:after="0"/>
            </w:pPr>
            <w:r>
              <w:rPr>
                <w:rFonts w:ascii="Arial" w:hAnsi="Arial" w:eastAsia="Arial"/>
                <w:b w:val="0"/>
                <w:color w:val="000000"/>
                <w:sz w:val="24"/>
              </w:rPr>
              <w:t>QuoteConfirmRegressionIT</w:t>
            </w:r>
            <w:r>
              <w:rPr>
                <w:rFonts w:ascii="Arial" w:hAnsi="Arial" w:eastAsia="Arial"/>
                <w:b w:val="0"/>
                <w:color w:val="000000"/>
                <w:sz w:val="24"/>
              </w:rPr>
              <w:t xml:space="preserve"> (golden test 6)</w:t>
            </w:r>
          </w:p>
        </w:tc>
      </w:tr>
      <w:tr>
        <w:tc>
          <w:tcPr>
            <w:tcW w:type="dxa" w:w="1502"/>
          </w:tcPr>
          <w:p>
            <w:pPr>
              <w:spacing w:after="0"/>
            </w:pPr>
            <w:r>
              <w:rPr>
                <w:rFonts w:ascii="Arial" w:hAnsi="Arial" w:eastAsia="Arial"/>
                <w:b w:val="0"/>
                <w:color w:val="000000"/>
                <w:sz w:val="24"/>
              </w:rPr>
              <w:t>P-03</w:t>
            </w:r>
          </w:p>
        </w:tc>
        <w:tc>
          <w:tcPr>
            <w:tcW w:type="dxa" w:w="4150"/>
          </w:tcPr>
          <w:p>
            <w:pPr>
              <w:spacing w:after="0"/>
            </w:pPr>
            <w:r>
              <w:rPr>
                <w:rFonts w:ascii="Arial" w:hAnsi="Arial" w:eastAsia="Arial"/>
                <w:b w:val="0"/>
                <w:color w:val="000000"/>
                <w:sz w:val="24"/>
              </w:rPr>
              <w:t>A 201 is sent only after the commit of the transaction that created the order</w:t>
            </w:r>
          </w:p>
        </w:tc>
        <w:tc>
          <w:tcPr>
            <w:tcW w:type="dxa" w:w="3986"/>
          </w:tcPr>
          <w:p>
            <w:pPr>
              <w:spacing w:after="0"/>
            </w:pPr>
            <w:r>
              <w:rPr>
                <w:rFonts w:ascii="Arial" w:hAnsi="Arial" w:eastAsia="Arial"/>
                <w:b w:val="0"/>
                <w:color w:val="000000"/>
                <w:sz w:val="24"/>
              </w:rPr>
              <w:t>ConfirmOrderCommitOrderingIT</w:t>
            </w:r>
            <w:r>
              <w:rPr>
                <w:rFonts w:ascii="Arial" w:hAnsi="Arial" w:eastAsia="Arial"/>
                <w:b w:val="0"/>
                <w:color w:val="000000"/>
                <w:sz w:val="24"/>
              </w:rPr>
              <w:t xml:space="preserve">, </w:t>
            </w:r>
            <w:r>
              <w:rPr>
                <w:rFonts w:ascii="Arial" w:hAnsi="Arial" w:eastAsia="Arial"/>
                <w:b w:val="0"/>
                <w:color w:val="000000"/>
                <w:sz w:val="24"/>
              </w:rPr>
              <w:t>OrderReadYourWritesIT</w:t>
            </w:r>
          </w:p>
        </w:tc>
      </w:tr>
      <w:tr>
        <w:tc>
          <w:tcPr>
            <w:tcW w:type="dxa" w:w="1502"/>
          </w:tcPr>
          <w:p>
            <w:pPr>
              <w:spacing w:after="0"/>
            </w:pPr>
            <w:r>
              <w:rPr>
                <w:rFonts w:ascii="Arial" w:hAnsi="Arial" w:eastAsia="Arial"/>
                <w:b w:val="0"/>
                <w:color w:val="000000"/>
                <w:sz w:val="24"/>
              </w:rPr>
              <w:t>P-04</w:t>
            </w:r>
          </w:p>
        </w:tc>
        <w:tc>
          <w:tcPr>
            <w:tcW w:type="dxa" w:w="4150"/>
          </w:tcPr>
          <w:p>
            <w:pPr>
              <w:spacing w:after="0"/>
            </w:pPr>
            <w:r>
              <w:rPr>
                <w:rFonts w:ascii="Arial" w:hAnsi="Arial" w:eastAsia="Arial"/>
                <w:b w:val="0"/>
                <w:color w:val="000000"/>
                <w:sz w:val="24"/>
              </w:rPr>
              <w:t>Every external effect goes through the outbox, written in the order transaction</w:t>
            </w:r>
          </w:p>
        </w:tc>
        <w:tc>
          <w:tcPr>
            <w:tcW w:type="dxa" w:w="3986"/>
          </w:tcPr>
          <w:p>
            <w:pPr>
              <w:spacing w:after="0"/>
            </w:pPr>
            <w:r>
              <w:rPr>
                <w:rFonts w:ascii="Arial" w:hAnsi="Arial" w:eastAsia="Arial"/>
                <w:b w:val="0"/>
                <w:color w:val="000000"/>
                <w:sz w:val="24"/>
              </w:rPr>
              <w:t>OutboxWriteIT</w:t>
            </w:r>
            <w:r>
              <w:rPr>
                <w:rFonts w:ascii="Arial" w:hAnsi="Arial" w:eastAsia="Arial"/>
                <w:b w:val="0"/>
                <w:color w:val="000000"/>
                <w:sz w:val="24"/>
              </w:rPr>
              <w:t xml:space="preserve">, </w:t>
            </w:r>
            <w:r>
              <w:rPr>
                <w:rFonts w:ascii="Arial" w:hAnsi="Arial" w:eastAsia="Arial"/>
                <w:b w:val="0"/>
                <w:color w:val="000000"/>
                <w:sz w:val="24"/>
              </w:rPr>
              <w:t>OutboxRelayIT</w:t>
            </w:r>
          </w:p>
        </w:tc>
      </w:tr>
      <w:tr>
        <w:tc>
          <w:tcPr>
            <w:tcW w:type="dxa" w:w="1502"/>
          </w:tcPr>
          <w:p>
            <w:pPr>
              <w:spacing w:after="0"/>
            </w:pPr>
            <w:r>
              <w:rPr>
                <w:rFonts w:ascii="Arial" w:hAnsi="Arial" w:eastAsia="Arial"/>
                <w:b w:val="0"/>
                <w:color w:val="000000"/>
                <w:sz w:val="24"/>
              </w:rPr>
              <w:t>P-05</w:t>
            </w:r>
          </w:p>
        </w:tc>
        <w:tc>
          <w:tcPr>
            <w:tcW w:type="dxa" w:w="4150"/>
          </w:tcPr>
          <w:p>
            <w:pPr>
              <w:spacing w:after="0"/>
            </w:pPr>
            <w:r>
              <w:rPr>
                <w:rFonts w:ascii="Arial" w:hAnsi="Arial" w:eastAsia="Arial"/>
                <w:b w:val="0"/>
                <w:color w:val="000000"/>
                <w:sz w:val="24"/>
              </w:rPr>
              <w:t>No remote call inside a database transaction</w:t>
            </w:r>
          </w:p>
        </w:tc>
        <w:tc>
          <w:tcPr>
            <w:tcW w:type="dxa" w:w="3986"/>
          </w:tcPr>
          <w:p>
            <w:pPr>
              <w:spacing w:after="0"/>
            </w:pPr>
            <w:r>
              <w:rPr>
                <w:rFonts w:ascii="Arial" w:hAnsi="Arial" w:eastAsia="Arial"/>
                <w:b w:val="0"/>
                <w:color w:val="000000"/>
                <w:sz w:val="24"/>
              </w:rPr>
              <w:t>TransactionBoundaryArchTest</w:t>
            </w:r>
          </w:p>
        </w:tc>
      </w:tr>
      <w:tr>
        <w:tc>
          <w:tcPr>
            <w:tcW w:type="dxa" w:w="1502"/>
          </w:tcPr>
          <w:p>
            <w:pPr>
              <w:spacing w:after="0"/>
            </w:pPr>
            <w:r>
              <w:rPr>
                <w:rFonts w:ascii="Arial" w:hAnsi="Arial" w:eastAsia="Arial"/>
                <w:b w:val="0"/>
                <w:color w:val="000000"/>
                <w:sz w:val="24"/>
              </w:rPr>
              <w:t>P-06</w:t>
            </w:r>
          </w:p>
        </w:tc>
        <w:tc>
          <w:tcPr>
            <w:tcW w:type="dxa" w:w="4150"/>
          </w:tcPr>
          <w:p>
            <w:pPr>
              <w:spacing w:after="0"/>
            </w:pPr>
            <w:r>
              <w:rPr>
                <w:rFonts w:ascii="Arial" w:hAnsi="Arial" w:eastAsia="Arial"/>
                <w:b w:val="0"/>
                <w:color w:val="000000"/>
                <w:sz w:val="24"/>
              </w:rPr>
              <w:t>The pricing domain is pure: no Spring, JDBC, HTTP or clock</w:t>
            </w:r>
          </w:p>
        </w:tc>
        <w:tc>
          <w:tcPr>
            <w:tcW w:type="dxa" w:w="3986"/>
          </w:tcPr>
          <w:p>
            <w:pPr>
              <w:spacing w:after="0"/>
            </w:pPr>
            <w:r>
              <w:rPr>
                <w:rFonts w:ascii="Arial" w:hAnsi="Arial" w:eastAsia="Arial"/>
                <w:b w:val="0"/>
                <w:color w:val="000000"/>
                <w:sz w:val="24"/>
              </w:rPr>
              <w:t>DomainPurityArchTest</w:t>
            </w:r>
            <w:r>
              <w:rPr>
                <w:rFonts w:ascii="Arial" w:hAnsi="Arial" w:eastAsia="Arial"/>
                <w:b w:val="0"/>
                <w:color w:val="000000"/>
                <w:sz w:val="24"/>
              </w:rPr>
              <w:t>, the golden tests</w:t>
            </w:r>
          </w:p>
        </w:tc>
      </w:tr>
      <w:tr>
        <w:tc>
          <w:tcPr>
            <w:tcW w:type="dxa" w:w="1502"/>
          </w:tcPr>
          <w:p>
            <w:pPr>
              <w:spacing w:after="0"/>
            </w:pPr>
            <w:r>
              <w:rPr>
                <w:rFonts w:ascii="Arial" w:hAnsi="Arial" w:eastAsia="Arial"/>
                <w:b w:val="0"/>
                <w:color w:val="000000"/>
                <w:sz w:val="24"/>
              </w:rPr>
              <w:t>P-07</w:t>
            </w:r>
          </w:p>
        </w:tc>
        <w:tc>
          <w:tcPr>
            <w:tcW w:type="dxa" w:w="4150"/>
          </w:tcPr>
          <w:p>
            <w:pPr>
              <w:spacing w:after="0"/>
            </w:pPr>
            <w:r>
              <w:rPr>
                <w:rFonts w:ascii="Arial" w:hAnsi="Arial" w:eastAsia="Arial"/>
                <w:b w:val="0"/>
                <w:color w:val="000000"/>
                <w:sz w:val="24"/>
              </w:rPr>
              <w:t>No country data in code</w:t>
            </w:r>
          </w:p>
        </w:tc>
        <w:tc>
          <w:tcPr>
            <w:tcW w:type="dxa" w:w="3986"/>
          </w:tcPr>
          <w:p>
            <w:pPr>
              <w:spacing w:after="0"/>
            </w:pPr>
            <w:r>
              <w:rPr>
                <w:rFonts w:ascii="Arial" w:hAnsi="Arial" w:eastAsia="Arial"/>
                <w:b w:val="0"/>
                <w:color w:val="000000"/>
                <w:sz w:val="24"/>
              </w:rPr>
              <w:t>GoldenPricingTest#multiCountry</w:t>
            </w:r>
            <w:r>
              <w:rPr>
                <w:rFonts w:ascii="Arial" w:hAnsi="Arial" w:eastAsia="Arial"/>
                <w:b w:val="0"/>
                <w:color w:val="000000"/>
                <w:sz w:val="24"/>
              </w:rPr>
              <w:t>, Liquibase seeds</w:t>
            </w:r>
          </w:p>
        </w:tc>
      </w:tr>
      <w:tr>
        <w:tc>
          <w:tcPr>
            <w:tcW w:type="dxa" w:w="1502"/>
          </w:tcPr>
          <w:p>
            <w:pPr>
              <w:spacing w:after="0"/>
            </w:pPr>
            <w:r>
              <w:rPr>
                <w:rFonts w:ascii="Arial" w:hAnsi="Arial" w:eastAsia="Arial"/>
                <w:b w:val="0"/>
                <w:color w:val="000000"/>
                <w:sz w:val="24"/>
              </w:rPr>
              <w:t>P-08</w:t>
            </w:r>
          </w:p>
        </w:tc>
        <w:tc>
          <w:tcPr>
            <w:tcW w:type="dxa" w:w="4150"/>
          </w:tcPr>
          <w:p>
            <w:pPr>
              <w:spacing w:after="0"/>
            </w:pPr>
            <w:r>
              <w:rPr>
                <w:rFonts w:ascii="Arial" w:hAnsi="Arial" w:eastAsia="Arial"/>
                <w:b w:val="0"/>
                <w:color w:val="000000"/>
                <w:sz w:val="24"/>
              </w:rPr>
              <w:t>Every business rule has a test that has been seen failing</w:t>
            </w:r>
          </w:p>
        </w:tc>
        <w:tc>
          <w:tcPr>
            <w:tcW w:type="dxa" w:w="3986"/>
          </w:tcPr>
          <w:p>
            <w:pPr>
              <w:spacing w:after="0"/>
            </w:pPr>
            <w:r>
              <w:rPr>
                <w:rFonts w:ascii="Arial" w:hAnsi="Arial" w:eastAsia="Arial"/>
                <w:b w:val="0"/>
                <w:color w:val="000000"/>
                <w:sz w:val="24"/>
              </w:rPr>
              <w:t>The task cycle (§10), PIT score of at least 80%</w:t>
            </w:r>
          </w:p>
        </w:tc>
      </w:tr>
      <w:tr>
        <w:tc>
          <w:tcPr>
            <w:tcW w:type="dxa" w:w="1502"/>
          </w:tcPr>
          <w:p>
            <w:pPr>
              <w:spacing w:after="0"/>
            </w:pPr>
            <w:r>
              <w:rPr>
                <w:rFonts w:ascii="Arial" w:hAnsi="Arial" w:eastAsia="Arial"/>
                <w:b w:val="0"/>
                <w:color w:val="000000"/>
                <w:sz w:val="24"/>
              </w:rPr>
              <w:t>P-12</w:t>
            </w:r>
          </w:p>
        </w:tc>
        <w:tc>
          <w:tcPr>
            <w:tcW w:type="dxa" w:w="4150"/>
          </w:tcPr>
          <w:p>
            <w:pPr>
              <w:spacing w:after="0"/>
            </w:pPr>
            <w:r>
              <w:rPr>
                <w:rFonts w:ascii="Arial" w:hAnsi="Arial" w:eastAsia="Arial"/>
                <w:b w:val="0"/>
                <w:color w:val="000000"/>
                <w:sz w:val="24"/>
              </w:rPr>
              <w:t>No claim without evidence</w:t>
            </w:r>
          </w:p>
        </w:tc>
        <w:tc>
          <w:tcPr>
            <w:tcW w:type="dxa" w:w="3986"/>
          </w:tcPr>
          <w:p>
            <w:pPr>
              <w:spacing w:after="0"/>
            </w:pPr>
            <w:r>
              <w:rPr>
                <w:rFonts w:ascii="Arial" w:hAnsi="Arial" w:eastAsia="Arial"/>
                <w:b w:val="0"/>
                <w:color w:val="000000"/>
                <w:sz w:val="24"/>
              </w:rPr>
              <w:t>HANDOFF.md</w:t>
            </w:r>
            <w:r>
              <w:rPr>
                <w:rFonts w:ascii="Arial" w:hAnsi="Arial" w:eastAsia="Arial"/>
                <w:b w:val="0"/>
                <w:color w:val="000000"/>
                <w:sz w:val="24"/>
              </w:rPr>
              <w:t xml:space="preserve"> §3</w:t>
            </w:r>
          </w:p>
        </w:tc>
      </w:tr>
      <w:tr>
        <w:tc>
          <w:tcPr>
            <w:tcW w:type="dxa" w:w="1502"/>
          </w:tcPr>
          <w:p>
            <w:pPr>
              <w:spacing w:after="0"/>
            </w:pPr>
            <w:r>
              <w:rPr>
                <w:rFonts w:ascii="Arial" w:hAnsi="Arial" w:eastAsia="Arial"/>
                <w:b w:val="0"/>
                <w:color w:val="000000"/>
                <w:sz w:val="24"/>
              </w:rPr>
              <w:t>P-15</w:t>
            </w:r>
          </w:p>
        </w:tc>
        <w:tc>
          <w:tcPr>
            <w:tcW w:type="dxa" w:w="4150"/>
          </w:tcPr>
          <w:p>
            <w:pPr>
              <w:spacing w:after="0"/>
            </w:pPr>
            <w:r>
              <w:rPr>
                <w:rFonts w:ascii="Arial" w:hAnsi="Arial" w:eastAsia="Arial"/>
                <w:b w:val="0"/>
                <w:color w:val="000000"/>
                <w:sz w:val="24"/>
              </w:rPr>
              <w:t xml:space="preserve">A smaller scope never lowers the standard: no </w:t>
            </w:r>
            <w:r>
              <w:rPr>
                <w:rFonts w:ascii="Arial" w:hAnsi="Arial" w:eastAsia="Arial"/>
                <w:b w:val="0"/>
                <w:color w:val="000000"/>
                <w:sz w:val="24"/>
              </w:rPr>
              <w:t>TODO</w:t>
            </w:r>
            <w:r>
              <w:rPr>
                <w:rFonts w:ascii="Arial" w:hAnsi="Arial" w:eastAsia="Arial"/>
                <w:b w:val="0"/>
                <w:color w:val="000000"/>
                <w:sz w:val="24"/>
              </w:rPr>
              <w:t>, placeholder or dead code</w:t>
            </w:r>
          </w:p>
        </w:tc>
        <w:tc>
          <w:tcPr>
            <w:tcW w:type="dxa" w:w="3986"/>
          </w:tcPr>
          <w:p>
            <w:pPr>
              <w:spacing w:after="0"/>
            </w:pPr>
            <w:r>
              <w:rPr>
                <w:rFonts w:ascii="Arial" w:hAnsi="Arial" w:eastAsia="Arial"/>
                <w:b w:val="0"/>
                <w:color w:val="000000"/>
                <w:sz w:val="24"/>
              </w:rPr>
              <w:t>check-docs</w:t>
            </w:r>
            <w:r>
              <w:rPr>
                <w:rFonts w:ascii="Arial" w:hAnsi="Arial" w:eastAsia="Arial"/>
                <w:b w:val="0"/>
                <w:color w:val="000000"/>
                <w:sz w:val="24"/>
              </w:rPr>
              <w:t>, review</w:t>
            </w:r>
          </w:p>
        </w:tc>
      </w:tr>
    </w:tbl>
    <w:p>
      <w:pPr>
        <w:spacing w:before="120"/>
      </w:pPr>
      <w:r>
        <w:rPr>
          <w:rFonts w:ascii="Arial" w:hAnsi="Arial" w:eastAsia="Arial"/>
          <w:b w:val="0"/>
          <w:color w:val="000000"/>
          <w:sz w:val="24"/>
        </w:rPr>
        <w:t>The other articles fix the language split (English for engineering, Spanish by default for users), the bilingual delivery documents, governed documentation, comments that explain why, and repository READMEs that answer five questions.</w:t>
      </w:r>
    </w:p>
    <w:p>
      <w:pPr>
        <w:pStyle w:val="Heading3"/>
        <w:keepNext/>
        <w:spacing w:before="160" w:after="80"/>
      </w:pPr>
      <w:r>
        <w:rPr>
          <w:rFonts w:ascii="Arial" w:hAnsi="Arial" w:eastAsia="Arial"/>
          <w:b/>
          <w:color w:val="000000"/>
          <w:sz w:val="24"/>
        </w:rPr>
        <w:t>3.2 SPEC, business rules and acceptance criteria</w:t>
      </w:r>
    </w:p>
    <w:p>
      <w:r>
        <w:rPr>
          <w:rFonts w:ascii="Arial" w:hAnsi="Arial" w:eastAsia="Arial"/>
          <w:b w:val="0"/>
          <w:color w:val="000000"/>
          <w:sz w:val="24"/>
        </w:rPr>
        <w:t>orderflow-engine-docs/spec/SPEC.md</w:t>
      </w:r>
      <w:r>
        <w:rPr>
          <w:rFonts w:ascii="Arial" w:hAnsi="Arial" w:eastAsia="Arial"/>
          <w:b w:val="0"/>
          <w:color w:val="000000"/>
          <w:sz w:val="24"/>
        </w:rPr>
        <w:t xml:space="preserve"> opens with four guarantees, each with its mechanism: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45"/>
        <w:gridCol w:w="4148"/>
        <w:gridCol w:w="4745"/>
      </w:tblGrid>
      <w:tr>
        <w:tc>
          <w:tcPr>
            <w:tcW w:type="dxa" w:w="745"/>
          </w:tcPr>
          <w:p>
            <w:pPr>
              <w:spacing w:after="0"/>
            </w:pPr>
            <w:r>
              <w:rPr>
                <w:rFonts w:ascii="Arial" w:hAnsi="Arial" w:eastAsia="Arial"/>
                <w:b/>
                <w:color w:val="000000"/>
                <w:sz w:val="24"/>
              </w:rPr>
              <w:t>#</w:t>
            </w:r>
          </w:p>
        </w:tc>
        <w:tc>
          <w:tcPr>
            <w:tcW w:type="dxa" w:w="4148"/>
          </w:tcPr>
          <w:p>
            <w:pPr>
              <w:spacing w:after="0"/>
            </w:pPr>
            <w:r>
              <w:rPr>
                <w:rFonts w:ascii="Arial" w:hAnsi="Arial" w:eastAsia="Arial"/>
                <w:b/>
                <w:color w:val="000000"/>
                <w:sz w:val="24"/>
              </w:rPr>
              <w:t>Guarantee</w:t>
            </w:r>
          </w:p>
        </w:tc>
        <w:tc>
          <w:tcPr>
            <w:tcW w:type="dxa" w:w="4745"/>
          </w:tcPr>
          <w:p>
            <w:pPr>
              <w:spacing w:after="0"/>
            </w:pPr>
            <w:r>
              <w:rPr>
                <w:rFonts w:ascii="Arial" w:hAnsi="Arial" w:eastAsia="Arial"/>
                <w:b/>
                <w:color w:val="000000"/>
                <w:sz w:val="24"/>
              </w:rPr>
              <w:t>Mechanism</w:t>
            </w:r>
          </w:p>
        </w:tc>
      </w:tr>
      <w:tr>
        <w:tc>
          <w:tcPr>
            <w:tcW w:type="dxa" w:w="745"/>
          </w:tcPr>
          <w:p>
            <w:pPr>
              <w:spacing w:after="0"/>
            </w:pPr>
            <w:r>
              <w:rPr>
                <w:rFonts w:ascii="Arial" w:hAnsi="Arial" w:eastAsia="Arial"/>
                <w:b w:val="0"/>
                <w:color w:val="000000"/>
                <w:sz w:val="24"/>
              </w:rPr>
              <w:t>G-1</w:t>
            </w:r>
          </w:p>
        </w:tc>
        <w:tc>
          <w:tcPr>
            <w:tcW w:type="dxa" w:w="4148"/>
          </w:tcPr>
          <w:p>
            <w:pPr>
              <w:spacing w:after="0"/>
            </w:pPr>
            <w:r>
              <w:rPr>
                <w:rFonts w:ascii="Arial" w:hAnsi="Arial" w:eastAsia="Arial"/>
                <w:b w:val="0"/>
                <w:color w:val="000000"/>
                <w:sz w:val="24"/>
              </w:rPr>
              <w:t>The quoted total is the confirmed total</w:t>
            </w:r>
          </w:p>
        </w:tc>
        <w:tc>
          <w:tcPr>
            <w:tcW w:type="dxa" w:w="4745"/>
          </w:tcPr>
          <w:p>
            <w:pPr>
              <w:spacing w:after="0"/>
            </w:pPr>
            <w:r>
              <w:rPr>
                <w:rFonts w:ascii="Arial" w:hAnsi="Arial" w:eastAsia="Arial"/>
                <w:b w:val="0"/>
                <w:color w:val="000000"/>
                <w:sz w:val="24"/>
              </w:rPr>
              <w:t>A sealed, insert-only quote. The order references it and stores no amount</w:t>
            </w:r>
          </w:p>
        </w:tc>
      </w:tr>
      <w:tr>
        <w:tc>
          <w:tcPr>
            <w:tcW w:type="dxa" w:w="745"/>
          </w:tcPr>
          <w:p>
            <w:pPr>
              <w:spacing w:after="0"/>
            </w:pPr>
            <w:r>
              <w:rPr>
                <w:rFonts w:ascii="Arial" w:hAnsi="Arial" w:eastAsia="Arial"/>
                <w:b w:val="0"/>
                <w:color w:val="000000"/>
                <w:sz w:val="24"/>
              </w:rPr>
              <w:t>G-2</w:t>
            </w:r>
          </w:p>
        </w:tc>
        <w:tc>
          <w:tcPr>
            <w:tcW w:type="dxa" w:w="4148"/>
          </w:tcPr>
          <w:p>
            <w:pPr>
              <w:spacing w:after="0"/>
            </w:pPr>
            <w:r>
              <w:rPr>
                <w:rFonts w:ascii="Arial" w:hAnsi="Arial" w:eastAsia="Arial"/>
                <w:b w:val="0"/>
                <w:color w:val="000000"/>
                <w:sz w:val="24"/>
              </w:rPr>
              <w:t>No floating point for money</w:t>
            </w:r>
          </w:p>
        </w:tc>
        <w:tc>
          <w:tcPr>
            <w:tcW w:type="dxa" w:w="4745"/>
          </w:tcPr>
          <w:p>
            <w:pPr>
              <w:spacing w:after="0"/>
            </w:pPr>
            <w:r>
              <w:rPr>
                <w:rFonts w:ascii="Arial" w:hAnsi="Arial" w:eastAsia="Arial"/>
                <w:b w:val="0"/>
                <w:color w:val="000000"/>
                <w:sz w:val="24"/>
              </w:rPr>
              <w:t xml:space="preserve">A </w:t>
            </w:r>
            <w:r>
              <w:rPr>
                <w:rFonts w:ascii="Arial" w:hAnsi="Arial" w:eastAsia="Arial"/>
                <w:b w:val="0"/>
                <w:color w:val="000000"/>
                <w:sz w:val="24"/>
              </w:rPr>
              <w:t>BigDecimal</w:t>
            </w:r>
            <w:r>
              <w:rPr>
                <w:rFonts w:ascii="Arial" w:hAnsi="Arial" w:eastAsia="Arial"/>
                <w:b w:val="0"/>
                <w:color w:val="000000"/>
                <w:sz w:val="24"/>
              </w:rPr>
              <w:t xml:space="preserve"> value object, scale and rounding from country data, rounding per line</w:t>
            </w:r>
          </w:p>
        </w:tc>
      </w:tr>
      <w:tr>
        <w:tc>
          <w:tcPr>
            <w:tcW w:type="dxa" w:w="745"/>
          </w:tcPr>
          <w:p>
            <w:pPr>
              <w:spacing w:after="0"/>
            </w:pPr>
            <w:r>
              <w:rPr>
                <w:rFonts w:ascii="Arial" w:hAnsi="Arial" w:eastAsia="Arial"/>
                <w:b w:val="0"/>
                <w:color w:val="000000"/>
                <w:sz w:val="24"/>
              </w:rPr>
              <w:t>G-3</w:t>
            </w:r>
          </w:p>
        </w:tc>
        <w:tc>
          <w:tcPr>
            <w:tcW w:type="dxa" w:w="4148"/>
          </w:tcPr>
          <w:p>
            <w:pPr>
              <w:spacing w:after="0"/>
            </w:pPr>
            <w:r>
              <w:rPr>
                <w:rFonts w:ascii="Arial" w:hAnsi="Arial" w:eastAsia="Arial"/>
                <w:b w:val="0"/>
                <w:color w:val="000000"/>
                <w:sz w:val="24"/>
              </w:rPr>
              <w:t>A 201 means the order exists; retries never duplicate it or consume credit twice</w:t>
            </w:r>
          </w:p>
        </w:tc>
        <w:tc>
          <w:tcPr>
            <w:tcW w:type="dxa" w:w="4745"/>
          </w:tcPr>
          <w:p>
            <w:pPr>
              <w:spacing w:after="0"/>
            </w:pPr>
            <w:r>
              <w:rPr>
                <w:rFonts w:ascii="Arial" w:hAnsi="Arial" w:eastAsia="Arial"/>
                <w:b w:val="0"/>
                <w:color w:val="000000"/>
                <w:sz w:val="24"/>
              </w:rPr>
              <w:t>Order, credit, idempotency key and outbox in one ACID transaction, the reply after commit</w:t>
            </w:r>
          </w:p>
        </w:tc>
      </w:tr>
      <w:tr>
        <w:tc>
          <w:tcPr>
            <w:tcW w:type="dxa" w:w="745"/>
          </w:tcPr>
          <w:p>
            <w:pPr>
              <w:spacing w:after="0"/>
            </w:pPr>
            <w:r>
              <w:rPr>
                <w:rFonts w:ascii="Arial" w:hAnsi="Arial" w:eastAsia="Arial"/>
                <w:b w:val="0"/>
                <w:color w:val="000000"/>
                <w:sz w:val="24"/>
              </w:rPr>
              <w:t>G-4</w:t>
            </w:r>
          </w:p>
        </w:tc>
        <w:tc>
          <w:tcPr>
            <w:tcW w:type="dxa" w:w="4148"/>
          </w:tcPr>
          <w:p>
            <w:pPr>
              <w:spacing w:after="0"/>
            </w:pPr>
            <w:r>
              <w:rPr>
                <w:rFonts w:ascii="Arial" w:hAnsi="Arial" w:eastAsia="Arial"/>
                <w:b w:val="0"/>
                <w:color w:val="000000"/>
                <w:sz w:val="24"/>
              </w:rPr>
              <w:t>Push and ERP effects are never lost and never applied twice</w:t>
            </w:r>
          </w:p>
        </w:tc>
        <w:tc>
          <w:tcPr>
            <w:tcW w:type="dxa" w:w="4745"/>
          </w:tcPr>
          <w:p>
            <w:pPr>
              <w:spacing w:after="0"/>
            </w:pPr>
            <w:r>
              <w:rPr>
                <w:rFonts w:ascii="Arial" w:hAnsi="Arial" w:eastAsia="Arial"/>
                <w:b w:val="0"/>
                <w:color w:val="000000"/>
                <w:sz w:val="24"/>
              </w:rPr>
              <w:t xml:space="preserve">Transactional outbox, leased relay with retries, consumers deduplicating by </w:t>
            </w:r>
            <w:r>
              <w:rPr>
                <w:rFonts w:ascii="Arial" w:hAnsi="Arial" w:eastAsia="Arial"/>
                <w:b w:val="0"/>
                <w:color w:val="000000"/>
                <w:sz w:val="24"/>
              </w:rPr>
              <w:t>event_id</w:t>
            </w:r>
          </w:p>
        </w:tc>
      </w:tr>
    </w:tbl>
    <w:p>
      <w:pPr>
        <w:spacing w:before="120"/>
      </w:pPr>
      <w:r>
        <w:rPr>
          <w:rFonts w:ascii="Arial" w:hAnsi="Arial" w:eastAsia="Arial"/>
          <w:b w:val="0"/>
          <w:color w:val="000000"/>
          <w:sz w:val="24"/>
        </w:rPr>
        <w:t>Then come the scope (§1, with an explicit in and out table), the glossary, and the business rules: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3"/>
        <w:gridCol w:w="8585"/>
      </w:tblGrid>
      <w:tr>
        <w:tc>
          <w:tcPr>
            <w:tcW w:type="dxa" w:w="1053"/>
          </w:tcPr>
          <w:p>
            <w:pPr>
              <w:spacing w:after="0"/>
            </w:pPr>
            <w:r>
              <w:rPr>
                <w:rFonts w:ascii="Arial" w:hAnsi="Arial" w:eastAsia="Arial"/>
                <w:b/>
                <w:color w:val="000000"/>
                <w:sz w:val="24"/>
              </w:rPr>
              <w:t>Rule</w:t>
            </w:r>
          </w:p>
        </w:tc>
        <w:tc>
          <w:tcPr>
            <w:tcW w:type="dxa" w:w="8585"/>
          </w:tcPr>
          <w:p>
            <w:pPr>
              <w:spacing w:after="0"/>
            </w:pPr>
            <w:r>
              <w:rPr>
                <w:rFonts w:ascii="Arial" w:hAnsi="Arial" w:eastAsia="Arial"/>
                <w:b/>
                <w:color w:val="000000"/>
                <w:sz w:val="24"/>
              </w:rPr>
              <w:t>Subject</w:t>
            </w:r>
          </w:p>
        </w:tc>
      </w:tr>
      <w:tr>
        <w:tc>
          <w:tcPr>
            <w:tcW w:type="dxa" w:w="1053"/>
          </w:tcPr>
          <w:p>
            <w:pPr>
              <w:spacing w:after="0"/>
            </w:pPr>
            <w:r>
              <w:rPr>
                <w:rFonts w:ascii="Arial" w:hAnsi="Arial" w:eastAsia="Arial"/>
                <w:b w:val="0"/>
                <w:color w:val="000000"/>
                <w:sz w:val="24"/>
              </w:rPr>
              <w:t>BR-00</w:t>
            </w:r>
          </w:p>
        </w:tc>
        <w:tc>
          <w:tcPr>
            <w:tcW w:type="dxa" w:w="8585"/>
          </w:tcPr>
          <w:p>
            <w:pPr>
              <w:spacing w:after="0"/>
            </w:pPr>
            <w:r>
              <w:rPr>
                <w:rFonts w:ascii="Arial" w:hAnsi="Arial" w:eastAsia="Arial"/>
                <w:b w:val="0"/>
                <w:color w:val="000000"/>
                <w:sz w:val="24"/>
              </w:rPr>
              <w:t>Cart normalization: merge duplicate SKUs, sort by SKU, reject invalid quantities, empty carts and unknown SKUs</w:t>
            </w:r>
          </w:p>
        </w:tc>
      </w:tr>
      <w:tr>
        <w:tc>
          <w:tcPr>
            <w:tcW w:type="dxa" w:w="1053"/>
          </w:tcPr>
          <w:p>
            <w:pPr>
              <w:spacing w:after="0"/>
            </w:pPr>
            <w:r>
              <w:rPr>
                <w:rFonts w:ascii="Arial" w:hAnsi="Arial" w:eastAsia="Arial"/>
                <w:b w:val="0"/>
                <w:color w:val="000000"/>
                <w:sz w:val="24"/>
              </w:rPr>
              <w:t>BR-01</w:t>
            </w:r>
          </w:p>
        </w:tc>
        <w:tc>
          <w:tcPr>
            <w:tcW w:type="dxa" w:w="8585"/>
          </w:tcPr>
          <w:p>
            <w:pPr>
              <w:spacing w:after="0"/>
            </w:pPr>
            <w:r>
              <w:rPr>
                <w:rFonts w:ascii="Arial" w:hAnsi="Arial" w:eastAsia="Arial"/>
                <w:b w:val="0"/>
                <w:color w:val="000000"/>
                <w:sz w:val="24"/>
              </w:rPr>
              <w:t>The order in which the levers apply, with the reason for each step</w:t>
            </w:r>
          </w:p>
        </w:tc>
      </w:tr>
      <w:tr>
        <w:tc>
          <w:tcPr>
            <w:tcW w:type="dxa" w:w="1053"/>
          </w:tcPr>
          <w:p>
            <w:pPr>
              <w:spacing w:after="0"/>
            </w:pPr>
            <w:r>
              <w:rPr>
                <w:rFonts w:ascii="Arial" w:hAnsi="Arial" w:eastAsia="Arial"/>
                <w:b w:val="0"/>
                <w:color w:val="000000"/>
                <w:sz w:val="24"/>
              </w:rPr>
              <w:t>BR-02</w:t>
            </w:r>
          </w:p>
        </w:tc>
        <w:tc>
          <w:tcPr>
            <w:tcW w:type="dxa" w:w="8585"/>
          </w:tcPr>
          <w:p>
            <w:pPr>
              <w:spacing w:after="0"/>
            </w:pPr>
            <w:r>
              <w:rPr>
                <w:rFonts w:ascii="Arial" w:hAnsi="Arial" w:eastAsia="Arial"/>
                <w:b w:val="0"/>
                <w:color w:val="000000"/>
                <w:sz w:val="24"/>
              </w:rPr>
              <w:t>Tier discounts: marginal brackets, rounded once per line, SKU rule over family rule</w:t>
            </w:r>
          </w:p>
        </w:tc>
      </w:tr>
      <w:tr>
        <w:tc>
          <w:tcPr>
            <w:tcW w:type="dxa" w:w="1053"/>
          </w:tcPr>
          <w:p>
            <w:pPr>
              <w:spacing w:after="0"/>
            </w:pPr>
            <w:r>
              <w:rPr>
                <w:rFonts w:ascii="Arial" w:hAnsi="Arial" w:eastAsia="Arial"/>
                <w:b w:val="0"/>
                <w:color w:val="000000"/>
                <w:sz w:val="24"/>
              </w:rPr>
              <w:t>BR-03</w:t>
            </w:r>
          </w:p>
        </w:tc>
        <w:tc>
          <w:tcPr>
            <w:tcW w:type="dxa" w:w="8585"/>
          </w:tcPr>
          <w:p>
            <w:pPr>
              <w:spacing w:after="0"/>
            </w:pPr>
            <w:r>
              <w:rPr>
                <w:rFonts w:ascii="Arial" w:hAnsi="Arial" w:eastAsia="Arial"/>
                <w:b w:val="0"/>
                <w:color w:val="000000"/>
                <w:sz w:val="24"/>
              </w:rPr>
              <w:t>Combos: applications, discount, one entry per combo, largest-remainder allocation</w:t>
            </w:r>
          </w:p>
        </w:tc>
      </w:tr>
      <w:tr>
        <w:tc>
          <w:tcPr>
            <w:tcW w:type="dxa" w:w="1053"/>
          </w:tcPr>
          <w:p>
            <w:pPr>
              <w:spacing w:after="0"/>
            </w:pPr>
            <w:r>
              <w:rPr>
                <w:rFonts w:ascii="Arial" w:hAnsi="Arial" w:eastAsia="Arial"/>
                <w:b w:val="0"/>
                <w:color w:val="000000"/>
                <w:sz w:val="24"/>
              </w:rPr>
              <w:t>BR-04</w:t>
            </w:r>
          </w:p>
        </w:tc>
        <w:tc>
          <w:tcPr>
            <w:tcW w:type="dxa" w:w="8585"/>
          </w:tcPr>
          <w:p>
            <w:pPr>
              <w:spacing w:after="0"/>
            </w:pPr>
            <w:r>
              <w:rPr>
                <w:rFonts w:ascii="Arial" w:hAnsi="Arial" w:eastAsia="Arial"/>
                <w:b w:val="0"/>
                <w:color w:val="000000"/>
                <w:sz w:val="24"/>
              </w:rPr>
              <w:t>Gifts: condition, separate gift line, reference value, country gift tax policy</w:t>
            </w:r>
          </w:p>
        </w:tc>
      </w:tr>
      <w:tr>
        <w:tc>
          <w:tcPr>
            <w:tcW w:type="dxa" w:w="1053"/>
          </w:tcPr>
          <w:p>
            <w:pPr>
              <w:spacing w:after="0"/>
            </w:pPr>
            <w:r>
              <w:rPr>
                <w:rFonts w:ascii="Arial" w:hAnsi="Arial" w:eastAsia="Arial"/>
                <w:b w:val="0"/>
                <w:color w:val="000000"/>
                <w:sz w:val="24"/>
              </w:rPr>
              <w:t>BR-05</w:t>
            </w:r>
          </w:p>
        </w:tc>
        <w:tc>
          <w:tcPr>
            <w:tcW w:type="dxa" w:w="8585"/>
          </w:tcPr>
          <w:p>
            <w:pPr>
              <w:spacing w:after="0"/>
            </w:pPr>
            <w:r>
              <w:rPr>
                <w:rFonts w:ascii="Arial" w:hAnsi="Arial" w:eastAsia="Arial"/>
                <w:b w:val="0"/>
                <w:color w:val="000000"/>
                <w:sz w:val="24"/>
              </w:rPr>
              <w:t>Tax per line and the total identities every breakdown must satisfy</w:t>
            </w:r>
          </w:p>
        </w:tc>
      </w:tr>
      <w:tr>
        <w:tc>
          <w:tcPr>
            <w:tcW w:type="dxa" w:w="1053"/>
          </w:tcPr>
          <w:p>
            <w:pPr>
              <w:spacing w:after="0"/>
            </w:pPr>
            <w:r>
              <w:rPr>
                <w:rFonts w:ascii="Arial" w:hAnsi="Arial" w:eastAsia="Arial"/>
                <w:b w:val="0"/>
                <w:color w:val="000000"/>
                <w:sz w:val="24"/>
              </w:rPr>
              <w:t>BR-06</w:t>
            </w:r>
          </w:p>
        </w:tc>
        <w:tc>
          <w:tcPr>
            <w:tcW w:type="dxa" w:w="8585"/>
          </w:tcPr>
          <w:p>
            <w:pPr>
              <w:spacing w:after="0"/>
            </w:pPr>
            <w:r>
              <w:rPr>
                <w:rFonts w:ascii="Arial" w:hAnsi="Arial" w:eastAsia="Arial"/>
                <w:b w:val="0"/>
                <w:color w:val="000000"/>
                <w:sz w:val="24"/>
              </w:rPr>
              <w:t>Credit: advisory at quote time, conditional consumption at confirmation</w:t>
            </w:r>
          </w:p>
        </w:tc>
      </w:tr>
      <w:tr>
        <w:tc>
          <w:tcPr>
            <w:tcW w:type="dxa" w:w="1053"/>
          </w:tcPr>
          <w:p>
            <w:pPr>
              <w:spacing w:after="0"/>
            </w:pPr>
            <w:r>
              <w:rPr>
                <w:rFonts w:ascii="Arial" w:hAnsi="Arial" w:eastAsia="Arial"/>
                <w:b w:val="0"/>
                <w:color w:val="000000"/>
                <w:sz w:val="24"/>
              </w:rPr>
              <w:t>BR-07</w:t>
            </w:r>
          </w:p>
        </w:tc>
        <w:tc>
          <w:tcPr>
            <w:tcW w:type="dxa" w:w="8585"/>
          </w:tcPr>
          <w:p>
            <w:pPr>
              <w:spacing w:after="0"/>
            </w:pPr>
            <w:r>
              <w:rPr>
                <w:rFonts w:ascii="Arial" w:hAnsi="Arial" w:eastAsia="Arial"/>
                <w:b w:val="0"/>
                <w:color w:val="000000"/>
                <w:sz w:val="24"/>
              </w:rPr>
              <w:t xml:space="preserve">Quote lifecycle: </w:t>
            </w:r>
            <w:r>
              <w:rPr>
                <w:rFonts w:ascii="Arial" w:hAnsi="Arial" w:eastAsia="Arial"/>
                <w:b w:val="0"/>
                <w:color w:val="000000"/>
                <w:sz w:val="24"/>
              </w:rPr>
              <w:t>OPEN</w:t>
            </w:r>
            <w:r>
              <w:rPr>
                <w:rFonts w:ascii="Arial" w:hAnsi="Arial" w:eastAsia="Arial"/>
                <w:b w:val="0"/>
                <w:color w:val="000000"/>
                <w:sz w:val="24"/>
              </w:rPr>
              <w:t xml:space="preserve">, </w:t>
            </w:r>
            <w:r>
              <w:rPr>
                <w:rFonts w:ascii="Arial" w:hAnsi="Arial" w:eastAsia="Arial"/>
                <w:b w:val="0"/>
                <w:color w:val="000000"/>
                <w:sz w:val="24"/>
              </w:rPr>
              <w:t>CONFIRMED</w:t>
            </w:r>
            <w:r>
              <w:rPr>
                <w:rFonts w:ascii="Arial" w:hAnsi="Arial" w:eastAsia="Arial"/>
                <w:b w:val="0"/>
                <w:color w:val="000000"/>
                <w:sz w:val="24"/>
              </w:rPr>
              <w:t xml:space="preserve">, </w:t>
            </w:r>
            <w:r>
              <w:rPr>
                <w:rFonts w:ascii="Arial" w:hAnsi="Arial" w:eastAsia="Arial"/>
                <w:b w:val="0"/>
                <w:color w:val="000000"/>
                <w:sz w:val="24"/>
              </w:rPr>
              <w:t>EXPIRED</w:t>
            </w:r>
            <w:r>
              <w:rPr>
                <w:rFonts w:ascii="Arial" w:hAnsi="Arial" w:eastAsia="Arial"/>
                <w:b w:val="0"/>
                <w:color w:val="000000"/>
                <w:sz w:val="24"/>
              </w:rPr>
              <w:t>, derived and never stored</w:t>
            </w:r>
          </w:p>
        </w:tc>
      </w:tr>
    </w:tbl>
    <w:p>
      <w:pPr>
        <w:spacing w:before="120"/>
      </w:pPr>
      <w:r>
        <w:rPr>
          <w:rFonts w:ascii="Arial" w:hAnsi="Arial" w:eastAsia="Arial"/>
          <w:b w:val="0"/>
          <w:color w:val="000000"/>
          <w:sz w:val="24"/>
        </w:rPr>
        <w:t>BR-02 and BR-03 carry worked examples computed by hand before any code. They became the fixtures of golden tests 1 and 4, so the specification and the tests share the same numbers.</w:t>
      </w:r>
    </w:p>
    <w:p>
      <w:r>
        <w:rPr>
          <w:rFonts w:ascii="Arial" w:hAnsi="Arial" w:eastAsia="Arial"/>
          <w:b w:val="0"/>
          <w:color w:val="000000"/>
          <w:sz w:val="24"/>
        </w:rPr>
        <w:t>The acceptance criteria are 52 rows, AC-01 to AC-53. AC-22 was removed from scope, and IDs are never renumbered. Each row names the rule it serves, the task that delivers it and the test class that proves it.</w:t>
      </w:r>
    </w:p>
    <w:p>
      <w:pPr>
        <w:pStyle w:val="Heading3"/>
        <w:keepNext/>
        <w:spacing w:before="160" w:after="80"/>
      </w:pPr>
      <w:r>
        <w:rPr>
          <w:rFonts w:ascii="Arial" w:hAnsi="Arial" w:eastAsia="Arial"/>
          <w:b/>
          <w:color w:val="000000"/>
          <w:sz w:val="24"/>
        </w:rPr>
        <w:t>3.3 Traceability</w:t>
      </w:r>
    </w:p>
    <w:p>
      <w:r>
        <w:rPr>
          <w:rFonts w:ascii="Arial" w:hAnsi="Arial" w:eastAsia="Arial"/>
          <w:b w:val="0"/>
          <w:color w:val="000000"/>
          <w:sz w:val="24"/>
        </w:rPr>
        <w:t>SPEC §14 links the assignment to the code in three tables: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99"/>
        <w:gridCol w:w="7139"/>
      </w:tblGrid>
      <w:tr>
        <w:tc>
          <w:tcPr>
            <w:tcW w:type="dxa" w:w="2499"/>
          </w:tcPr>
          <w:p>
            <w:pPr>
              <w:spacing w:after="0"/>
            </w:pPr>
            <w:r>
              <w:rPr>
                <w:rFonts w:ascii="Arial" w:hAnsi="Arial" w:eastAsia="Arial"/>
                <w:b/>
                <w:color w:val="000000"/>
                <w:sz w:val="24"/>
              </w:rPr>
              <w:t>Table</w:t>
            </w:r>
          </w:p>
        </w:tc>
        <w:tc>
          <w:tcPr>
            <w:tcW w:type="dxa" w:w="7139"/>
          </w:tcPr>
          <w:p>
            <w:pPr>
              <w:spacing w:after="0"/>
            </w:pPr>
            <w:r>
              <w:rPr>
                <w:rFonts w:ascii="Arial" w:hAnsi="Arial" w:eastAsia="Arial"/>
                <w:b/>
                <w:color w:val="000000"/>
                <w:sz w:val="24"/>
              </w:rPr>
              <w:t>Link it keeps</w:t>
            </w:r>
          </w:p>
        </w:tc>
      </w:tr>
      <w:tr>
        <w:tc>
          <w:tcPr>
            <w:tcW w:type="dxa" w:w="2499"/>
          </w:tcPr>
          <w:p>
            <w:pPr>
              <w:spacing w:after="0"/>
            </w:pPr>
            <w:r>
              <w:rPr>
                <w:rFonts w:ascii="Arial" w:hAnsi="Arial" w:eastAsia="Arial"/>
                <w:b w:val="0"/>
                <w:color w:val="000000"/>
                <w:sz w:val="24"/>
              </w:rPr>
              <w:t>§14.1 Assignment coverage</w:t>
            </w:r>
          </w:p>
        </w:tc>
        <w:tc>
          <w:tcPr>
            <w:tcW w:type="dxa" w:w="7139"/>
          </w:tcPr>
          <w:p>
            <w:pPr>
              <w:spacing w:after="0"/>
            </w:pPr>
            <w:r>
              <w:rPr>
                <w:rFonts w:ascii="Arial" w:hAnsi="Arial" w:eastAsia="Arial"/>
                <w:b w:val="0"/>
                <w:color w:val="000000"/>
                <w:sz w:val="24"/>
              </w:rPr>
              <w:t>Each assignment requirement (REQ-A1-1 … REQ-A1-6, REQ-A1-T1 … T6, REQ-A2-1 … 4, REQ-A3, REQ-D, REQ-F, REQ-P) to its acceptance criteria</w:t>
            </w:r>
          </w:p>
        </w:tc>
      </w:tr>
      <w:tr>
        <w:tc>
          <w:tcPr>
            <w:tcW w:type="dxa" w:w="2499"/>
          </w:tcPr>
          <w:p>
            <w:pPr>
              <w:spacing w:after="0"/>
            </w:pPr>
            <w:r>
              <w:rPr>
                <w:rFonts w:ascii="Arial" w:hAnsi="Arial" w:eastAsia="Arial"/>
                <w:b w:val="0"/>
                <w:color w:val="000000"/>
                <w:sz w:val="24"/>
              </w:rPr>
              <w:t>§14.2 Acceptance criteria</w:t>
            </w:r>
          </w:p>
        </w:tc>
        <w:tc>
          <w:tcPr>
            <w:tcW w:type="dxa" w:w="7139"/>
          </w:tcPr>
          <w:p>
            <w:pPr>
              <w:spacing w:after="0"/>
            </w:pPr>
            <w:r>
              <w:rPr>
                <w:rFonts w:ascii="Arial" w:hAnsi="Arial" w:eastAsia="Arial"/>
                <w:b w:val="0"/>
                <w:color w:val="000000"/>
                <w:sz w:val="24"/>
              </w:rPr>
              <w:t>Each criterion to its rule, its task and the test that verifies it</w:t>
            </w:r>
          </w:p>
        </w:tc>
      </w:tr>
      <w:tr>
        <w:tc>
          <w:tcPr>
            <w:tcW w:type="dxa" w:w="2499"/>
          </w:tcPr>
          <w:p>
            <w:pPr>
              <w:spacing w:after="0"/>
            </w:pPr>
            <w:r>
              <w:rPr>
                <w:rFonts w:ascii="Arial" w:hAnsi="Arial" w:eastAsia="Arial"/>
                <w:b w:val="0"/>
                <w:color w:val="000000"/>
                <w:sz w:val="24"/>
              </w:rPr>
              <w:t>§14.3 Beyond the assignment</w:t>
            </w:r>
          </w:p>
        </w:tc>
        <w:tc>
          <w:tcPr>
            <w:tcW w:type="dxa" w:w="7139"/>
          </w:tcPr>
          <w:p>
            <w:pPr>
              <w:spacing w:after="0"/>
            </w:pPr>
            <w:r>
              <w:rPr>
                <w:rFonts w:ascii="Arial" w:hAnsi="Arial" w:eastAsia="Arial"/>
                <w:b w:val="0"/>
                <w:color w:val="000000"/>
                <w:sz w:val="24"/>
              </w:rPr>
              <w:t>Every item the assignment did not ask for, with its tag (quality, stability, scalability), its benefit and its origin</w:t>
            </w:r>
          </w:p>
        </w:tc>
      </w:tr>
    </w:tbl>
    <w:p>
      <w:pPr>
        <w:spacing w:before="120"/>
      </w:pPr>
      <w:r>
        <w:rPr>
          <w:rFonts w:ascii="Arial" w:hAnsi="Arial" w:eastAsia="Arial"/>
          <w:b w:val="0"/>
          <w:color w:val="000000"/>
          <w:sz w:val="24"/>
        </w:rPr>
        <w:t>The chain is always the same: assignment bullet → REQ → AC → BR or SPEC section → task → test class. A measured review on 2026-10-15 found 21 of 21 assignment bullets specified (</w:t>
      </w:r>
      <w:r>
        <w:rPr>
          <w:rFonts w:ascii="Arial" w:hAnsi="Arial" w:eastAsia="Arial"/>
          <w:b w:val="0"/>
          <w:color w:val="000000"/>
          <w:sz w:val="24"/>
        </w:rPr>
        <w:t>cross_reference_check.py</w:t>
      </w:r>
      <w:r>
        <w:rPr>
          <w:rFonts w:ascii="Arial" w:hAnsi="Arial" w:eastAsia="Arial"/>
          <w:b w:val="0"/>
          <w:color w:val="000000"/>
          <w:sz w:val="24"/>
        </w:rPr>
        <w:t>, recorded in the HANDOFF).</w:t>
      </w:r>
    </w:p>
    <w:p>
      <w:pPr>
        <w:pStyle w:val="Heading3"/>
        <w:keepNext/>
        <w:spacing w:before="160" w:after="80"/>
      </w:pPr>
      <w:r>
        <w:rPr>
          <w:rFonts w:ascii="Arial" w:hAnsi="Arial" w:eastAsia="Arial"/>
          <w:b/>
          <w:color w:val="000000"/>
          <w:sz w:val="24"/>
        </w:rPr>
        <w:t>3.4 Documentation governance and its automatic check</w:t>
      </w:r>
    </w:p>
    <w:p>
      <w:r>
        <w:rPr>
          <w:rFonts w:ascii="Arial" w:hAnsi="Arial" w:eastAsia="Arial"/>
          <w:b w:val="0"/>
          <w:color w:val="000000"/>
          <w:sz w:val="24"/>
        </w:rPr>
        <w:t>Documentation follows written rules (</w:t>
      </w:r>
      <w:r>
        <w:rPr>
          <w:rFonts w:ascii="Arial" w:hAnsi="Arial" w:eastAsia="Arial"/>
          <w:b w:val="0"/>
          <w:color w:val="000000"/>
          <w:sz w:val="24"/>
        </w:rPr>
        <w:t>orderflow-engine-docs/governance/documentation-rules.md</w:t>
      </w:r>
      <w:r>
        <w:rPr>
          <w:rFonts w:ascii="Arial" w:hAnsi="Arial" w:eastAsia="Arial"/>
          <w:b w:val="0"/>
          <w:color w:val="000000"/>
          <w:sz w:val="24"/>
        </w:rPr>
        <w:t xml:space="preserve">): one question per document, a document map, front matter on every document, delivery documents in English and Spanish with the same headings, and internal technical documents in English. A rule that no check enforces decays (HANDOFF trap TR-03), so the rules are enforced by tools in the </w:t>
      </w:r>
      <w:r>
        <w:rPr>
          <w:rFonts w:ascii="Arial" w:hAnsi="Arial" w:eastAsia="Arial"/>
          <w:b w:val="0"/>
          <w:color w:val="000000"/>
          <w:sz w:val="24"/>
        </w:rPr>
        <w:t>orderflow-engine-tools</w:t>
      </w:r>
      <w:r>
        <w:rPr>
          <w:rFonts w:ascii="Arial" w:hAnsi="Arial" w:eastAsia="Arial"/>
          <w:b w:val="0"/>
          <w:color w:val="000000"/>
          <w:sz w:val="24"/>
        </w:rPr>
        <w:t xml:space="preserve"> repository:</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19"/>
        <w:gridCol w:w="6219"/>
      </w:tblGrid>
      <w:tr>
        <w:tc>
          <w:tcPr>
            <w:tcW w:type="dxa" w:w="3419"/>
          </w:tcPr>
          <w:p>
            <w:pPr>
              <w:spacing w:after="0"/>
            </w:pPr>
            <w:r>
              <w:rPr>
                <w:rFonts w:ascii="Arial" w:hAnsi="Arial" w:eastAsia="Arial"/>
                <w:b/>
                <w:color w:val="000000"/>
                <w:sz w:val="24"/>
              </w:rPr>
              <w:t>Check</w:t>
            </w:r>
          </w:p>
        </w:tc>
        <w:tc>
          <w:tcPr>
            <w:tcW w:type="dxa" w:w="6219"/>
          </w:tcPr>
          <w:p>
            <w:pPr>
              <w:spacing w:after="0"/>
            </w:pPr>
            <w:r>
              <w:rPr>
                <w:rFonts w:ascii="Arial" w:hAnsi="Arial" w:eastAsia="Arial"/>
                <w:b/>
                <w:color w:val="000000"/>
                <w:sz w:val="24"/>
              </w:rPr>
              <w:t>What it fails on</w:t>
            </w:r>
          </w:p>
        </w:tc>
      </w:tr>
      <w:tr>
        <w:tc>
          <w:tcPr>
            <w:tcW w:type="dxa" w:w="3419"/>
          </w:tcPr>
          <w:p>
            <w:pPr>
              <w:spacing w:after="0"/>
            </w:pPr>
            <w:r>
              <w:rPr>
                <w:rFonts w:ascii="Arial" w:hAnsi="Arial" w:eastAsia="Arial"/>
                <w:b w:val="0"/>
                <w:color w:val="000000"/>
                <w:sz w:val="24"/>
              </w:rPr>
              <w:t>docs-check/check-docs.mjs</w:t>
            </w:r>
          </w:p>
        </w:tc>
        <w:tc>
          <w:tcPr>
            <w:tcW w:type="dxa" w:w="6219"/>
          </w:tcPr>
          <w:p>
            <w:pPr>
              <w:spacing w:after="0"/>
            </w:pPr>
            <w:r>
              <w:rPr>
                <w:rFonts w:ascii="Arial" w:hAnsi="Arial" w:eastAsia="Arial"/>
                <w:b w:val="0"/>
                <w:color w:val="000000"/>
                <w:sz w:val="24"/>
              </w:rPr>
              <w:t>A Markdown file outside the allowed locations; a file missing from the document map; a language pair missing or with a different heading count; missing or invalid front matter; a relative link that is broken or leaves its repository; an ADR above 500 words; a missing required heading (for example the four topics of the API README); i18n bundles with different keys; a progress chart that does not match the HANDOFF task table; a commit line in TASKS that breaks the conventions; a generated Word or PDF whose source changed after it was built</w:t>
            </w:r>
          </w:p>
        </w:tc>
      </w:tr>
      <w:tr>
        <w:tc>
          <w:tcPr>
            <w:tcW w:type="dxa" w:w="3419"/>
          </w:tcPr>
          <w:p>
            <w:pPr>
              <w:spacing w:after="0"/>
            </w:pPr>
            <w:r>
              <w:rPr>
                <w:rFonts w:ascii="Arial" w:hAnsi="Arial" w:eastAsia="Arial"/>
                <w:b w:val="0"/>
                <w:color w:val="000000"/>
                <w:sz w:val="24"/>
              </w:rPr>
              <w:t>integrity/check-integrity.mjs</w:t>
            </w:r>
          </w:p>
        </w:tc>
        <w:tc>
          <w:tcPr>
            <w:tcW w:type="dxa" w:w="6219"/>
          </w:tcPr>
          <w:p>
            <w:pPr>
              <w:spacing w:after="0"/>
            </w:pPr>
            <w:r>
              <w:rPr>
                <w:rFonts w:ascii="Arial" w:hAnsi="Arial" w:eastAsia="Arial"/>
                <w:b w:val="0"/>
                <w:color w:val="000000"/>
                <w:sz w:val="24"/>
              </w:rPr>
              <w:t xml:space="preserve">Missing ignore files or </w:t>
            </w:r>
            <w:r>
              <w:rPr>
                <w:rFonts w:ascii="Arial" w:hAnsi="Arial" w:eastAsia="Arial"/>
                <w:b w:val="0"/>
                <w:color w:val="000000"/>
                <w:sz w:val="24"/>
              </w:rPr>
              <w:t>.gitattributes</w:t>
            </w:r>
            <w:r>
              <w:rPr>
                <w:rFonts w:ascii="Arial" w:hAnsi="Arial" w:eastAsia="Arial"/>
                <w:b w:val="0"/>
                <w:color w:val="000000"/>
                <w:sz w:val="24"/>
              </w:rPr>
              <w:t xml:space="preserve">, line-ending rules, Docker files, </w:t>
            </w:r>
            <w:r>
              <w:rPr>
                <w:rFonts w:ascii="Arial" w:hAnsi="Arial" w:eastAsia="Arial"/>
                <w:b w:val="0"/>
                <w:color w:val="000000"/>
                <w:sz w:val="24"/>
              </w:rPr>
              <w:t>.env.example</w:t>
            </w:r>
            <w:r>
              <w:rPr>
                <w:rFonts w:ascii="Arial" w:hAnsi="Arial" w:eastAsia="Arial"/>
                <w:b w:val="0"/>
                <w:color w:val="000000"/>
                <w:sz w:val="24"/>
              </w:rPr>
              <w:t>, and secrets in any of the six repositories</w:t>
            </w:r>
          </w:p>
        </w:tc>
      </w:tr>
      <w:tr>
        <w:tc>
          <w:tcPr>
            <w:tcW w:type="dxa" w:w="3419"/>
          </w:tcPr>
          <w:p>
            <w:pPr>
              <w:spacing w:after="0"/>
            </w:pPr>
            <w:r>
              <w:rPr>
                <w:rFonts w:ascii="Arial" w:hAnsi="Arial" w:eastAsia="Arial"/>
                <w:b w:val="0"/>
                <w:color w:val="000000"/>
                <w:sz w:val="24"/>
              </w:rPr>
              <w:t>consistency/</w:t>
            </w:r>
          </w:p>
        </w:tc>
        <w:tc>
          <w:tcPr>
            <w:tcW w:type="dxa" w:w="6219"/>
          </w:tcPr>
          <w:p>
            <w:pPr>
              <w:spacing w:after="0"/>
            </w:pPr>
            <w:r>
              <w:rPr>
                <w:rFonts w:ascii="Arial" w:hAnsi="Arial" w:eastAsia="Arial"/>
                <w:b w:val="0"/>
                <w:color w:val="000000"/>
                <w:sz w:val="24"/>
              </w:rPr>
              <w:t>Counts, cross-references, language and pair parity across documents</w:t>
            </w:r>
          </w:p>
        </w:tc>
      </w:tr>
    </w:tbl>
    <w:p>
      <w:pPr>
        <w:pStyle w:val="Heading2"/>
        <w:keepNext/>
        <w:spacing w:before="160" w:after="80"/>
      </w:pPr>
      <w:r>
        <w:rPr>
          <w:rFonts w:ascii="Arial" w:hAnsi="Arial" w:eastAsia="Arial"/>
          <w:b/>
          <w:color w:val="000000"/>
          <w:sz w:val="24"/>
        </w:rPr>
        <w:t>4. The plan</w:t>
      </w:r>
    </w:p>
    <w:p>
      <w:r>
        <w:rPr>
          <w:rFonts w:ascii="Arial" w:hAnsi="Arial" w:eastAsia="Arial"/>
          <w:b w:val="0"/>
          <w:color w:val="000000"/>
          <w:sz w:val="24"/>
        </w:rPr>
        <w:t>orderflow-engine-docs/spec/TASKS.md</w:t>
      </w:r>
      <w:r>
        <w:rPr>
          <w:rFonts w:ascii="Arial" w:hAnsi="Arial" w:eastAsia="Arial"/>
          <w:b w:val="0"/>
          <w:color w:val="000000"/>
          <w:sz w:val="24"/>
        </w:rPr>
        <w:t xml:space="preserve"> turns the specification into tasks. It also fixes nine global constraints (GC-1 … GC-9), the task cycle, a review focus with nine risky edges (RF-1 … RF-9), the day plan and the cut line. </w:t>
      </w:r>
      <w:r>
        <w:rPr>
          <w:rFonts w:ascii="Arial" w:hAnsi="Arial" w:eastAsia="Arial"/>
          <w:b w:val="0"/>
          <w:color w:val="000000"/>
          <w:sz w:val="24"/>
        </w:rPr>
        <w:t>orderflow-engine-docs/spec/plan.md</w:t>
      </w:r>
      <w:r>
        <w:rPr>
          <w:rFonts w:ascii="Arial" w:hAnsi="Arial" w:eastAsia="Arial"/>
          <w:b w:val="0"/>
          <w:color w:val="000000"/>
          <w:sz w:val="24"/>
        </w:rPr>
        <w:t xml:space="preserve"> lists every technical decision with its rejected alternatives (DEC-01 … DEC-20) and the risk register (RISK-01 … RISK-07).</w:t>
      </w:r>
    </w:p>
    <w:p>
      <w:pPr>
        <w:pStyle w:val="Heading3"/>
        <w:keepNext/>
        <w:spacing w:before="160" w:after="80"/>
      </w:pPr>
      <w:r>
        <w:rPr>
          <w:rFonts w:ascii="Arial" w:hAnsi="Arial" w:eastAsia="Arial"/>
          <w:b/>
          <w:color w:val="000000"/>
          <w:sz w:val="24"/>
        </w:rPr>
        <w:t>4.1 Tasks and phases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6296"/>
        <w:gridCol w:w="2363"/>
      </w:tblGrid>
      <w:tr>
        <w:tc>
          <w:tcPr>
            <w:tcW w:type="dxa" w:w="980"/>
          </w:tcPr>
          <w:p>
            <w:pPr>
              <w:spacing w:after="0"/>
            </w:pPr>
            <w:r>
              <w:rPr>
                <w:rFonts w:ascii="Arial" w:hAnsi="Arial" w:eastAsia="Arial"/>
                <w:b/>
                <w:color w:val="000000"/>
                <w:sz w:val="24"/>
              </w:rPr>
              <w:t>Task</w:t>
            </w:r>
          </w:p>
        </w:tc>
        <w:tc>
          <w:tcPr>
            <w:tcW w:type="dxa" w:w="6296"/>
          </w:tcPr>
          <w:p>
            <w:pPr>
              <w:spacing w:after="0"/>
            </w:pPr>
            <w:r>
              <w:rPr>
                <w:rFonts w:ascii="Arial" w:hAnsi="Arial" w:eastAsia="Arial"/>
                <w:b/>
                <w:color w:val="000000"/>
                <w:sz w:val="24"/>
              </w:rPr>
              <w:t>Title</w:t>
            </w:r>
          </w:p>
        </w:tc>
        <w:tc>
          <w:tcPr>
            <w:tcW w:type="dxa" w:w="2363"/>
          </w:tcPr>
          <w:p>
            <w:pPr>
              <w:spacing w:after="0"/>
            </w:pPr>
            <w:r>
              <w:rPr>
                <w:rFonts w:ascii="Arial" w:hAnsi="Arial" w:eastAsia="Arial"/>
                <w:b/>
                <w:color w:val="000000"/>
                <w:sz w:val="24"/>
              </w:rPr>
              <w:t>Phase</w:t>
            </w:r>
          </w:p>
        </w:tc>
      </w:tr>
      <w:tr>
        <w:tc>
          <w:tcPr>
            <w:tcW w:type="dxa" w:w="980"/>
          </w:tcPr>
          <w:p>
            <w:pPr>
              <w:spacing w:after="0"/>
            </w:pPr>
            <w:r>
              <w:rPr>
                <w:rFonts w:ascii="Arial" w:hAnsi="Arial" w:eastAsia="Arial"/>
                <w:b w:val="0"/>
                <w:color w:val="000000"/>
                <w:sz w:val="24"/>
              </w:rPr>
              <w:t>T-00</w:t>
            </w:r>
          </w:p>
        </w:tc>
        <w:tc>
          <w:tcPr>
            <w:tcW w:type="dxa" w:w="6296"/>
          </w:tcPr>
          <w:p>
            <w:pPr>
              <w:spacing w:after="0"/>
            </w:pPr>
            <w:r>
              <w:rPr>
                <w:rFonts w:ascii="Arial" w:hAnsi="Arial" w:eastAsia="Arial"/>
                <w:b w:val="0"/>
                <w:color w:val="000000"/>
                <w:sz w:val="24"/>
              </w:rPr>
              <w:t>Specification, governance, README, ADR draft</w:t>
            </w:r>
          </w:p>
        </w:tc>
        <w:tc>
          <w:tcPr>
            <w:tcW w:type="dxa" w:w="2363"/>
          </w:tcPr>
          <w:p>
            <w:pPr>
              <w:spacing w:after="0"/>
            </w:pPr>
            <w:r>
              <w:rPr>
                <w:rFonts w:ascii="Arial" w:hAnsi="Arial" w:eastAsia="Arial"/>
                <w:b w:val="0"/>
                <w:color w:val="000000"/>
                <w:sz w:val="24"/>
              </w:rPr>
              <w:t>1. Preparation</w:t>
            </w:r>
          </w:p>
        </w:tc>
      </w:tr>
      <w:tr>
        <w:tc>
          <w:tcPr>
            <w:tcW w:type="dxa" w:w="980"/>
          </w:tcPr>
          <w:p>
            <w:pPr>
              <w:spacing w:after="0"/>
            </w:pPr>
            <w:r>
              <w:rPr>
                <w:rFonts w:ascii="Arial" w:hAnsi="Arial" w:eastAsia="Arial"/>
                <w:b w:val="0"/>
                <w:color w:val="000000"/>
                <w:sz w:val="24"/>
              </w:rPr>
              <w:t>T-01</w:t>
            </w:r>
          </w:p>
        </w:tc>
        <w:tc>
          <w:tcPr>
            <w:tcW w:type="dxa" w:w="6296"/>
          </w:tcPr>
          <w:p>
            <w:pPr>
              <w:spacing w:after="0"/>
            </w:pPr>
            <w:r>
              <w:rPr>
                <w:rFonts w:ascii="Arial" w:hAnsi="Arial" w:eastAsia="Arial"/>
                <w:b w:val="0"/>
                <w:color w:val="000000"/>
                <w:sz w:val="24"/>
              </w:rPr>
              <w:t>Scaffold API and workspace test command</w:t>
            </w:r>
          </w:p>
        </w:tc>
        <w:tc>
          <w:tcPr>
            <w:tcW w:type="dxa" w:w="2363"/>
          </w:tcPr>
          <w:p>
            <w:pPr>
              <w:spacing w:after="0"/>
            </w:pPr>
            <w:r>
              <w:rPr>
                <w:rFonts w:ascii="Arial" w:hAnsi="Arial" w:eastAsia="Arial"/>
                <w:b w:val="0"/>
                <w:color w:val="000000"/>
                <w:sz w:val="24"/>
              </w:rPr>
              <w:t>2. Scaffold</w:t>
            </w:r>
          </w:p>
        </w:tc>
      </w:tr>
      <w:tr>
        <w:tc>
          <w:tcPr>
            <w:tcW w:type="dxa" w:w="980"/>
          </w:tcPr>
          <w:p>
            <w:pPr>
              <w:spacing w:after="0"/>
            </w:pPr>
            <w:r>
              <w:rPr>
                <w:rFonts w:ascii="Arial" w:hAnsi="Arial" w:eastAsia="Arial"/>
                <w:b w:val="0"/>
                <w:color w:val="000000"/>
                <w:sz w:val="24"/>
              </w:rPr>
              <w:t>T-02</w:t>
            </w:r>
          </w:p>
        </w:tc>
        <w:tc>
          <w:tcPr>
            <w:tcW w:type="dxa" w:w="6296"/>
          </w:tcPr>
          <w:p>
            <w:pPr>
              <w:spacing w:after="0"/>
            </w:pPr>
            <w:r>
              <w:rPr>
                <w:rFonts w:ascii="Arial" w:hAnsi="Arial" w:eastAsia="Arial"/>
                <w:b w:val="0"/>
                <w:color w:val="000000"/>
                <w:sz w:val="24"/>
              </w:rPr>
              <w:t>Money and currency policy</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T-03</w:t>
            </w:r>
          </w:p>
        </w:tc>
        <w:tc>
          <w:tcPr>
            <w:tcW w:type="dxa" w:w="6296"/>
          </w:tcPr>
          <w:p>
            <w:pPr>
              <w:spacing w:after="0"/>
            </w:pPr>
            <w:r>
              <w:rPr>
                <w:rFonts w:ascii="Arial" w:hAnsi="Arial" w:eastAsia="Arial"/>
                <w:b w:val="0"/>
                <w:color w:val="000000"/>
                <w:sz w:val="24"/>
              </w:rPr>
              <w:t>Pricing pipeline and golden harness</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T-04</w:t>
            </w:r>
          </w:p>
        </w:tc>
        <w:tc>
          <w:tcPr>
            <w:tcW w:type="dxa" w:w="6296"/>
          </w:tcPr>
          <w:p>
            <w:pPr>
              <w:spacing w:after="0"/>
            </w:pPr>
            <w:r>
              <w:rPr>
                <w:rFonts w:ascii="Arial" w:hAnsi="Arial" w:eastAsia="Arial"/>
                <w:b w:val="0"/>
                <w:color w:val="000000"/>
                <w:sz w:val="24"/>
              </w:rPr>
              <w:t>Tier discounts</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T-05</w:t>
            </w:r>
          </w:p>
        </w:tc>
        <w:tc>
          <w:tcPr>
            <w:tcW w:type="dxa" w:w="6296"/>
          </w:tcPr>
          <w:p>
            <w:pPr>
              <w:spacing w:after="0"/>
            </w:pPr>
            <w:r>
              <w:rPr>
                <w:rFonts w:ascii="Arial" w:hAnsi="Arial" w:eastAsia="Arial"/>
                <w:b w:val="0"/>
                <w:color w:val="000000"/>
                <w:sz w:val="24"/>
              </w:rPr>
              <w:t>Combos and allocation</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T-06</w:t>
            </w:r>
          </w:p>
        </w:tc>
        <w:tc>
          <w:tcPr>
            <w:tcW w:type="dxa" w:w="6296"/>
          </w:tcPr>
          <w:p>
            <w:pPr>
              <w:spacing w:after="0"/>
            </w:pPr>
            <w:r>
              <w:rPr>
                <w:rFonts w:ascii="Arial" w:hAnsi="Arial" w:eastAsia="Arial"/>
                <w:b w:val="0"/>
                <w:color w:val="000000"/>
                <w:sz w:val="24"/>
              </w:rPr>
              <w:t>Gifts and gift tax policy</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T-07</w:t>
            </w:r>
          </w:p>
        </w:tc>
        <w:tc>
          <w:tcPr>
            <w:tcW w:type="dxa" w:w="6296"/>
          </w:tcPr>
          <w:p>
            <w:pPr>
              <w:spacing w:after="0"/>
            </w:pPr>
            <w:r>
              <w:rPr>
                <w:rFonts w:ascii="Arial" w:hAnsi="Arial" w:eastAsia="Arial"/>
                <w:b w:val="0"/>
                <w:color w:val="000000"/>
                <w:sz w:val="24"/>
              </w:rPr>
              <w:t>Rounding and multi-country</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T-08</w:t>
            </w:r>
          </w:p>
        </w:tc>
        <w:tc>
          <w:tcPr>
            <w:tcW w:type="dxa" w:w="6296"/>
          </w:tcPr>
          <w:p>
            <w:pPr>
              <w:spacing w:after="0"/>
            </w:pPr>
            <w:r>
              <w:rPr>
                <w:rFonts w:ascii="Arial" w:hAnsi="Arial" w:eastAsia="Arial"/>
                <w:b w:val="0"/>
                <w:color w:val="000000"/>
                <w:sz w:val="24"/>
              </w:rPr>
              <w:t>Schema and seed data</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T-09</w:t>
            </w:r>
          </w:p>
        </w:tc>
        <w:tc>
          <w:tcPr>
            <w:tcW w:type="dxa" w:w="6296"/>
          </w:tcPr>
          <w:p>
            <w:pPr>
              <w:spacing w:after="0"/>
            </w:pPr>
            <w:r>
              <w:rPr>
                <w:rFonts w:ascii="Arial" w:hAnsi="Arial" w:eastAsia="Arial"/>
                <w:b w:val="0"/>
                <w:color w:val="000000"/>
                <w:sz w:val="24"/>
              </w:rPr>
              <w:t>Error handling and API i18n</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T-10</w:t>
            </w:r>
          </w:p>
        </w:tc>
        <w:tc>
          <w:tcPr>
            <w:tcW w:type="dxa" w:w="6296"/>
          </w:tcPr>
          <w:p>
            <w:pPr>
              <w:spacing w:after="0"/>
            </w:pPr>
            <w:r>
              <w:rPr>
                <w:rFonts w:ascii="Arial" w:hAnsi="Arial" w:eastAsia="Arial"/>
                <w:b w:val="0"/>
                <w:color w:val="000000"/>
                <w:sz w:val="24"/>
              </w:rPr>
              <w:t>Quote use case and endpoints</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T-11</w:t>
            </w:r>
          </w:p>
        </w:tc>
        <w:tc>
          <w:tcPr>
            <w:tcW w:type="dxa" w:w="6296"/>
          </w:tcPr>
          <w:p>
            <w:pPr>
              <w:spacing w:after="0"/>
            </w:pPr>
            <w:r>
              <w:rPr>
                <w:rFonts w:ascii="Arial" w:hAnsi="Arial" w:eastAsia="Arial"/>
                <w:b w:val="0"/>
                <w:color w:val="000000"/>
                <w:sz w:val="24"/>
              </w:rPr>
              <w:t>Order confirmation</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T-12</w:t>
            </w:r>
          </w:p>
        </w:tc>
        <w:tc>
          <w:tcPr>
            <w:tcW w:type="dxa" w:w="6296"/>
          </w:tcPr>
          <w:p>
            <w:pPr>
              <w:spacing w:after="0"/>
            </w:pPr>
            <w:r>
              <w:rPr>
                <w:rFonts w:ascii="Arial" w:hAnsi="Arial" w:eastAsia="Arial"/>
                <w:b w:val="0"/>
                <w:color w:val="000000"/>
                <w:sz w:val="24"/>
              </w:rPr>
              <w:t>Invariants under concurrency and failure</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T-13</w:t>
            </w:r>
          </w:p>
        </w:tc>
        <w:tc>
          <w:tcPr>
            <w:tcW w:type="dxa" w:w="6296"/>
          </w:tcPr>
          <w:p>
            <w:pPr>
              <w:spacing w:after="0"/>
            </w:pPr>
            <w:r>
              <w:rPr>
                <w:rFonts w:ascii="Arial" w:hAnsi="Arial" w:eastAsia="Arial"/>
                <w:b w:val="0"/>
                <w:color w:val="000000"/>
                <w:sz w:val="24"/>
              </w:rPr>
              <w:t>Order history</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T-14</w:t>
            </w:r>
          </w:p>
        </w:tc>
        <w:tc>
          <w:tcPr>
            <w:tcW w:type="dxa" w:w="6296"/>
          </w:tcPr>
          <w:p>
            <w:pPr>
              <w:spacing w:after="0"/>
            </w:pPr>
            <w:r>
              <w:rPr>
                <w:rFonts w:ascii="Arial" w:hAnsi="Arial" w:eastAsia="Arial"/>
                <w:b w:val="0"/>
                <w:color w:val="000000"/>
                <w:sz w:val="24"/>
              </w:rPr>
              <w:t>Outbox relay</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T-15</w:t>
            </w:r>
          </w:p>
        </w:tc>
        <w:tc>
          <w:tcPr>
            <w:tcW w:type="dxa" w:w="6296"/>
          </w:tcPr>
          <w:p>
            <w:pPr>
              <w:spacing w:after="0"/>
            </w:pPr>
            <w:r>
              <w:rPr>
                <w:rFonts w:ascii="Arial" w:hAnsi="Arial" w:eastAsia="Arial"/>
                <w:b w:val="0"/>
                <w:color w:val="000000"/>
                <w:sz w:val="24"/>
              </w:rPr>
              <w:t>Retention housekeeping</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T-18</w:t>
            </w:r>
          </w:p>
        </w:tc>
        <w:tc>
          <w:tcPr>
            <w:tcW w:type="dxa" w:w="6296"/>
          </w:tcPr>
          <w:p>
            <w:pPr>
              <w:spacing w:after="0"/>
            </w:pPr>
            <w:r>
              <w:rPr>
                <w:rFonts w:ascii="Arial" w:hAnsi="Arial" w:eastAsia="Arial"/>
                <w:b w:val="0"/>
                <w:color w:val="000000"/>
                <w:sz w:val="24"/>
              </w:rPr>
              <w:t>Wire the levers into quotes</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T-16</w:t>
            </w:r>
          </w:p>
        </w:tc>
        <w:tc>
          <w:tcPr>
            <w:tcW w:type="dxa" w:w="6296"/>
          </w:tcPr>
          <w:p>
            <w:pPr>
              <w:spacing w:after="0"/>
            </w:pPr>
            <w:r>
              <w:rPr>
                <w:rFonts w:ascii="Arial" w:hAnsi="Arial" w:eastAsia="Arial"/>
                <w:b w:val="0"/>
                <w:color w:val="000000"/>
                <w:sz w:val="24"/>
              </w:rPr>
              <w:t>Final documentation and verification</w:t>
            </w:r>
          </w:p>
        </w:tc>
        <w:tc>
          <w:tcPr>
            <w:tcW w:type="dxa" w:w="2363"/>
          </w:tcPr>
          <w:p>
            <w:pPr>
              <w:spacing w:after="0"/>
            </w:pPr>
            <w:r>
              <w:rPr>
                <w:rFonts w:ascii="Arial" w:hAnsi="Arial" w:eastAsia="Arial"/>
                <w:b w:val="0"/>
                <w:color w:val="000000"/>
                <w:sz w:val="24"/>
              </w:rPr>
              <w:t>3. Core</w:t>
            </w:r>
          </w:p>
        </w:tc>
      </w:tr>
      <w:tr>
        <w:tc>
          <w:tcPr>
            <w:tcW w:type="dxa" w:w="980"/>
          </w:tcPr>
          <w:p>
            <w:pPr>
              <w:spacing w:after="0"/>
            </w:pPr>
            <w:r>
              <w:rPr>
                <w:rFonts w:ascii="Arial" w:hAnsi="Arial" w:eastAsia="Arial"/>
                <w:b w:val="0"/>
                <w:color w:val="000000"/>
                <w:sz w:val="24"/>
              </w:rPr>
              <w:t>T-17</w:t>
            </w:r>
          </w:p>
        </w:tc>
        <w:tc>
          <w:tcPr>
            <w:tcW w:type="dxa" w:w="6296"/>
          </w:tcPr>
          <w:p>
            <w:pPr>
              <w:spacing w:after="0"/>
            </w:pPr>
            <w:r>
              <w:rPr>
                <w:rFonts w:ascii="Arial" w:hAnsi="Arial" w:eastAsia="Arial"/>
                <w:b w:val="0"/>
                <w:color w:val="000000"/>
                <w:sz w:val="24"/>
              </w:rPr>
              <w:t>Web client: summary and full flow (optional)</w:t>
            </w:r>
          </w:p>
        </w:tc>
        <w:tc>
          <w:tcPr>
            <w:tcW w:type="dxa" w:w="2363"/>
          </w:tcPr>
          <w:p>
            <w:pPr>
              <w:spacing w:after="0"/>
            </w:pPr>
            <w:r>
              <w:rPr>
                <w:rFonts w:ascii="Arial" w:hAnsi="Arial" w:eastAsia="Arial"/>
                <w:b w:val="0"/>
                <w:color w:val="000000"/>
                <w:sz w:val="24"/>
              </w:rPr>
              <w:t>4. Web</w:t>
            </w:r>
          </w:p>
        </w:tc>
      </w:tr>
      <w:tr>
        <w:tc>
          <w:tcPr>
            <w:tcW w:type="dxa" w:w="980"/>
          </w:tcPr>
          <w:p>
            <w:pPr>
              <w:spacing w:after="0"/>
            </w:pPr>
            <w:r>
              <w:rPr>
                <w:rFonts w:ascii="Arial" w:hAnsi="Arial" w:eastAsia="Arial"/>
                <w:b w:val="0"/>
                <w:color w:val="000000"/>
                <w:sz w:val="24"/>
              </w:rPr>
              <w:t>T-19</w:t>
            </w:r>
          </w:p>
        </w:tc>
        <w:tc>
          <w:tcPr>
            <w:tcW w:type="dxa" w:w="6296"/>
          </w:tcPr>
          <w:p>
            <w:pPr>
              <w:spacing w:after="0"/>
            </w:pPr>
            <w:r>
              <w:rPr>
                <w:rFonts w:ascii="Arial" w:hAnsi="Arial" w:eastAsia="Arial"/>
                <w:b w:val="0"/>
                <w:color w:val="000000"/>
                <w:sz w:val="24"/>
              </w:rPr>
              <w:t>Fixes after the T-17 preview</w:t>
            </w:r>
          </w:p>
        </w:tc>
        <w:tc>
          <w:tcPr>
            <w:tcW w:type="dxa" w:w="2363"/>
          </w:tcPr>
          <w:p>
            <w:pPr>
              <w:spacing w:after="0"/>
            </w:pPr>
            <w:r>
              <w:rPr>
                <w:rFonts w:ascii="Arial" w:hAnsi="Arial" w:eastAsia="Arial"/>
                <w:b w:val="0"/>
                <w:color w:val="000000"/>
                <w:sz w:val="24"/>
              </w:rPr>
              <w:t>4. Web</w:t>
            </w:r>
          </w:p>
        </w:tc>
      </w:tr>
      <w:tr>
        <w:tc>
          <w:tcPr>
            <w:tcW w:type="dxa" w:w="980"/>
          </w:tcPr>
          <w:p>
            <w:pPr>
              <w:spacing w:after="0"/>
            </w:pPr>
            <w:r>
              <w:rPr>
                <w:rFonts w:ascii="Arial" w:hAnsi="Arial" w:eastAsia="Arial"/>
                <w:b w:val="0"/>
                <w:color w:val="000000"/>
                <w:sz w:val="24"/>
              </w:rPr>
              <w:t>T-20</w:t>
            </w:r>
          </w:p>
        </w:tc>
        <w:tc>
          <w:tcPr>
            <w:tcW w:type="dxa" w:w="6296"/>
          </w:tcPr>
          <w:p>
            <w:pPr>
              <w:spacing w:after="0"/>
            </w:pPr>
            <w:r>
              <w:rPr>
                <w:rFonts w:ascii="Arial" w:hAnsi="Arial" w:eastAsia="Arial"/>
                <w:b w:val="0"/>
                <w:color w:val="000000"/>
                <w:sz w:val="24"/>
              </w:rPr>
              <w:t>Seed Guatemala and Peru</w:t>
            </w:r>
          </w:p>
        </w:tc>
        <w:tc>
          <w:tcPr>
            <w:tcW w:type="dxa" w:w="2363"/>
          </w:tcPr>
          <w:p>
            <w:pPr>
              <w:spacing w:after="0"/>
            </w:pPr>
            <w:r>
              <w:rPr>
                <w:rFonts w:ascii="Arial" w:hAnsi="Arial" w:eastAsia="Arial"/>
                <w:b w:val="0"/>
                <w:color w:val="000000"/>
                <w:sz w:val="24"/>
              </w:rPr>
              <w:t>4. Web</w:t>
            </w:r>
          </w:p>
        </w:tc>
      </w:tr>
    </w:tbl>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75"/>
        <w:gridCol w:w="1946"/>
        <w:gridCol w:w="1823"/>
        <w:gridCol w:w="3694"/>
      </w:tblGrid>
      <w:tr>
        <w:tc>
          <w:tcPr>
            <w:tcW w:type="dxa" w:w="2175"/>
          </w:tcPr>
          <w:p>
            <w:pPr>
              <w:spacing w:after="0"/>
            </w:pPr>
            <w:r>
              <w:rPr>
                <w:rFonts w:ascii="Arial" w:hAnsi="Arial" w:eastAsia="Arial"/>
                <w:b/>
                <w:color w:val="000000"/>
                <w:sz w:val="24"/>
              </w:rPr>
              <w:t>Phase</w:t>
            </w:r>
          </w:p>
        </w:tc>
        <w:tc>
          <w:tcPr>
            <w:tcW w:type="dxa" w:w="1946"/>
          </w:tcPr>
          <w:p>
            <w:pPr>
              <w:spacing w:after="0"/>
            </w:pPr>
            <w:r>
              <w:rPr>
                <w:rFonts w:ascii="Arial" w:hAnsi="Arial" w:eastAsia="Arial"/>
                <w:b/>
                <w:color w:val="000000"/>
                <w:sz w:val="24"/>
              </w:rPr>
              <w:t>Tasks</w:t>
            </w:r>
          </w:p>
        </w:tc>
        <w:tc>
          <w:tcPr>
            <w:tcW w:type="dxa" w:w="1823"/>
          </w:tcPr>
          <w:p>
            <w:pPr>
              <w:spacing w:after="0"/>
            </w:pPr>
            <w:r>
              <w:rPr>
                <w:rFonts w:ascii="Arial" w:hAnsi="Arial" w:eastAsia="Arial"/>
                <w:b/>
                <w:color w:val="000000"/>
                <w:sz w:val="24"/>
              </w:rPr>
              <w:t>Closed on</w:t>
            </w:r>
          </w:p>
        </w:tc>
        <w:tc>
          <w:tcPr>
            <w:tcW w:type="dxa" w:w="3694"/>
          </w:tcPr>
          <w:p>
            <w:pPr>
              <w:spacing w:after="0"/>
            </w:pPr>
            <w:r>
              <w:rPr>
                <w:rFonts w:ascii="Arial" w:hAnsi="Arial" w:eastAsia="Arial"/>
                <w:b/>
                <w:color w:val="000000"/>
                <w:sz w:val="24"/>
              </w:rPr>
              <w:t>Merge commit on `main`</w:t>
            </w:r>
          </w:p>
        </w:tc>
      </w:tr>
      <w:tr>
        <w:tc>
          <w:tcPr>
            <w:tcW w:type="dxa" w:w="2175"/>
          </w:tcPr>
          <w:p>
            <w:pPr>
              <w:spacing w:after="0"/>
            </w:pPr>
            <w:r>
              <w:rPr>
                <w:rFonts w:ascii="Arial" w:hAnsi="Arial" w:eastAsia="Arial"/>
                <w:b w:val="0"/>
                <w:color w:val="000000"/>
                <w:sz w:val="24"/>
              </w:rPr>
              <w:t>1. Preparation</w:t>
            </w:r>
          </w:p>
        </w:tc>
        <w:tc>
          <w:tcPr>
            <w:tcW w:type="dxa" w:w="1946"/>
          </w:tcPr>
          <w:p>
            <w:pPr>
              <w:spacing w:after="0"/>
            </w:pPr>
            <w:r>
              <w:rPr>
                <w:rFonts w:ascii="Arial" w:hAnsi="Arial" w:eastAsia="Arial"/>
                <w:b w:val="0"/>
                <w:color w:val="000000"/>
                <w:sz w:val="24"/>
              </w:rPr>
              <w:t>T-00</w:t>
            </w:r>
          </w:p>
        </w:tc>
        <w:tc>
          <w:tcPr>
            <w:tcW w:type="dxa" w:w="1823"/>
          </w:tcPr>
          <w:p>
            <w:pPr>
              <w:spacing w:after="0"/>
            </w:pPr>
            <w:r>
              <w:rPr>
                <w:rFonts w:ascii="Arial" w:hAnsi="Arial" w:eastAsia="Arial"/>
                <w:b w:val="0"/>
                <w:color w:val="000000"/>
                <w:sz w:val="24"/>
              </w:rPr>
              <w:t>2026-10-14</w:t>
            </w:r>
          </w:p>
        </w:tc>
        <w:tc>
          <w:tcPr>
            <w:tcW w:type="dxa" w:w="3694"/>
          </w:tcPr>
          <w:p>
            <w:pPr>
              <w:spacing w:after="0"/>
            </w:pPr>
            <w:r>
              <w:rPr>
                <w:rFonts w:ascii="Arial" w:hAnsi="Arial" w:eastAsia="Arial"/>
                <w:b w:val="0"/>
                <w:color w:val="000000"/>
                <w:sz w:val="24"/>
              </w:rPr>
              <w:t>chore: close preparation phase (T-00)</w:t>
            </w:r>
          </w:p>
        </w:tc>
      </w:tr>
      <w:tr>
        <w:tc>
          <w:tcPr>
            <w:tcW w:type="dxa" w:w="2175"/>
          </w:tcPr>
          <w:p>
            <w:pPr>
              <w:spacing w:after="0"/>
            </w:pPr>
            <w:r>
              <w:rPr>
                <w:rFonts w:ascii="Arial" w:hAnsi="Arial" w:eastAsia="Arial"/>
                <w:b w:val="0"/>
                <w:color w:val="000000"/>
                <w:sz w:val="24"/>
              </w:rPr>
              <w:t>2. Scaffold</w:t>
            </w:r>
          </w:p>
        </w:tc>
        <w:tc>
          <w:tcPr>
            <w:tcW w:type="dxa" w:w="1946"/>
          </w:tcPr>
          <w:p>
            <w:pPr>
              <w:spacing w:after="0"/>
            </w:pPr>
            <w:r>
              <w:rPr>
                <w:rFonts w:ascii="Arial" w:hAnsi="Arial" w:eastAsia="Arial"/>
                <w:b w:val="0"/>
                <w:color w:val="000000"/>
                <w:sz w:val="24"/>
              </w:rPr>
              <w:t>T-01</w:t>
            </w:r>
          </w:p>
        </w:tc>
        <w:tc>
          <w:tcPr>
            <w:tcW w:type="dxa" w:w="1823"/>
          </w:tcPr>
          <w:p>
            <w:pPr>
              <w:spacing w:after="0"/>
            </w:pPr>
            <w:r>
              <w:rPr>
                <w:rFonts w:ascii="Arial" w:hAnsi="Arial" w:eastAsia="Arial"/>
                <w:b w:val="0"/>
                <w:color w:val="000000"/>
                <w:sz w:val="24"/>
              </w:rPr>
              <w:t>2026-10-15</w:t>
            </w:r>
          </w:p>
        </w:tc>
        <w:tc>
          <w:tcPr>
            <w:tcW w:type="dxa" w:w="3694"/>
          </w:tcPr>
          <w:p>
            <w:pPr>
              <w:spacing w:after="0"/>
            </w:pPr>
            <w:r>
              <w:rPr>
                <w:rFonts w:ascii="Arial" w:hAnsi="Arial" w:eastAsia="Arial"/>
                <w:b w:val="0"/>
                <w:color w:val="000000"/>
                <w:sz w:val="24"/>
              </w:rPr>
              <w:t>chore: close scaffold phase (T-01)</w:t>
            </w:r>
          </w:p>
        </w:tc>
      </w:tr>
      <w:tr>
        <w:tc>
          <w:tcPr>
            <w:tcW w:type="dxa" w:w="2175"/>
          </w:tcPr>
          <w:p>
            <w:pPr>
              <w:spacing w:after="0"/>
            </w:pPr>
            <w:r>
              <w:rPr>
                <w:rFonts w:ascii="Arial" w:hAnsi="Arial" w:eastAsia="Arial"/>
                <w:b w:val="0"/>
                <w:color w:val="000000"/>
                <w:sz w:val="24"/>
              </w:rPr>
              <w:t>3. Core</w:t>
            </w:r>
          </w:p>
        </w:tc>
        <w:tc>
          <w:tcPr>
            <w:tcW w:type="dxa" w:w="1946"/>
          </w:tcPr>
          <w:p>
            <w:pPr>
              <w:spacing w:after="0"/>
            </w:pPr>
            <w:r>
              <w:rPr>
                <w:rFonts w:ascii="Arial" w:hAnsi="Arial" w:eastAsia="Arial"/>
                <w:b w:val="0"/>
                <w:color w:val="000000"/>
                <w:sz w:val="24"/>
              </w:rPr>
              <w:t>T-02 … T-16, T-18</w:t>
            </w:r>
          </w:p>
        </w:tc>
        <w:tc>
          <w:tcPr>
            <w:tcW w:type="dxa" w:w="1823"/>
          </w:tcPr>
          <w:p>
            <w:pPr>
              <w:spacing w:after="0"/>
            </w:pPr>
            <w:r>
              <w:rPr>
                <w:rFonts w:ascii="Arial" w:hAnsi="Arial" w:eastAsia="Arial"/>
                <w:b w:val="0"/>
                <w:color w:val="000000"/>
                <w:sz w:val="24"/>
              </w:rPr>
              <w:t>2026-10-15</w:t>
            </w:r>
          </w:p>
        </w:tc>
        <w:tc>
          <w:tcPr>
            <w:tcW w:type="dxa" w:w="3694"/>
          </w:tcPr>
          <w:p>
            <w:pPr>
              <w:spacing w:after="0"/>
            </w:pPr>
            <w:r>
              <w:rPr>
                <w:rFonts w:ascii="Arial" w:hAnsi="Arial" w:eastAsia="Arial"/>
                <w:b w:val="0"/>
                <w:color w:val="000000"/>
                <w:sz w:val="24"/>
              </w:rPr>
              <w:t>chore: close core phase (T-16)</w:t>
            </w:r>
          </w:p>
        </w:tc>
      </w:tr>
      <w:tr>
        <w:tc>
          <w:tcPr>
            <w:tcW w:type="dxa" w:w="2175"/>
          </w:tcPr>
          <w:p>
            <w:pPr>
              <w:spacing w:after="0"/>
            </w:pPr>
            <w:r>
              <w:rPr>
                <w:rFonts w:ascii="Arial" w:hAnsi="Arial" w:eastAsia="Arial"/>
                <w:b w:val="0"/>
                <w:color w:val="000000"/>
                <w:sz w:val="24"/>
              </w:rPr>
              <w:t>4. Web</w:t>
            </w:r>
          </w:p>
        </w:tc>
        <w:tc>
          <w:tcPr>
            <w:tcW w:type="dxa" w:w="1946"/>
          </w:tcPr>
          <w:p>
            <w:pPr>
              <w:spacing w:after="0"/>
            </w:pPr>
            <w:r>
              <w:rPr>
                <w:rFonts w:ascii="Arial" w:hAnsi="Arial" w:eastAsia="Arial"/>
                <w:b w:val="0"/>
                <w:color w:val="000000"/>
                <w:sz w:val="24"/>
              </w:rPr>
              <w:t>T-17, T-19, T-20</w:t>
            </w:r>
          </w:p>
        </w:tc>
        <w:tc>
          <w:tcPr>
            <w:tcW w:type="dxa" w:w="1823"/>
          </w:tcPr>
          <w:p>
            <w:pPr>
              <w:spacing w:after="0"/>
            </w:pPr>
            <w:r>
              <w:rPr>
                <w:rFonts w:ascii="Arial" w:hAnsi="Arial" w:eastAsia="Arial"/>
                <w:b w:val="0"/>
                <w:color w:val="000000"/>
                <w:sz w:val="24"/>
              </w:rPr>
              <w:t>2026-10-17</w:t>
            </w:r>
          </w:p>
        </w:tc>
        <w:tc>
          <w:tcPr>
            <w:tcW w:type="dxa" w:w="3694"/>
          </w:tcPr>
          <w:p>
            <w:pPr>
              <w:spacing w:after="0"/>
            </w:pPr>
            <w:r>
              <w:rPr>
                <w:rFonts w:ascii="Arial" w:hAnsi="Arial" w:eastAsia="Arial"/>
                <w:b w:val="0"/>
                <w:color w:val="000000"/>
                <w:sz w:val="24"/>
              </w:rPr>
              <w:t>chore: close web phase (T-17)</w:t>
            </w:r>
          </w:p>
        </w:tc>
      </w:tr>
    </w:tbl>
    <w:p>
      <w:pPr>
        <w:pStyle w:val="Heading3"/>
        <w:keepNext/>
        <w:spacing w:before="160" w:after="80"/>
      </w:pPr>
      <w:r>
        <w:rPr>
          <w:rFonts w:ascii="Arial" w:hAnsi="Arial" w:eastAsia="Arial"/>
          <w:b/>
          <w:color w:val="000000"/>
          <w:sz w:val="24"/>
        </w:rPr>
        <w:t>4.2 Day plan and cut line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6"/>
        <w:gridCol w:w="8832"/>
      </w:tblGrid>
      <w:tr>
        <w:tc>
          <w:tcPr>
            <w:tcW w:type="dxa" w:w="806"/>
          </w:tcPr>
          <w:p>
            <w:pPr>
              <w:spacing w:after="0"/>
            </w:pPr>
            <w:r>
              <w:rPr>
                <w:rFonts w:ascii="Arial" w:hAnsi="Arial" w:eastAsia="Arial"/>
                <w:b/>
                <w:color w:val="000000"/>
                <w:sz w:val="24"/>
              </w:rPr>
              <w:t>Day</w:t>
            </w:r>
          </w:p>
        </w:tc>
        <w:tc>
          <w:tcPr>
            <w:tcW w:type="dxa" w:w="8832"/>
          </w:tcPr>
          <w:p>
            <w:pPr>
              <w:spacing w:after="0"/>
            </w:pPr>
            <w:r>
              <w:rPr>
                <w:rFonts w:ascii="Arial" w:hAnsi="Arial" w:eastAsia="Arial"/>
                <w:b/>
                <w:color w:val="000000"/>
                <w:sz w:val="24"/>
              </w:rPr>
              <w:t>Planned tasks</w:t>
            </w:r>
          </w:p>
        </w:tc>
      </w:tr>
      <w:tr>
        <w:tc>
          <w:tcPr>
            <w:tcW w:type="dxa" w:w="806"/>
          </w:tcPr>
          <w:p>
            <w:pPr>
              <w:spacing w:after="0"/>
            </w:pPr>
            <w:r>
              <w:rPr>
                <w:rFonts w:ascii="Arial" w:hAnsi="Arial" w:eastAsia="Arial"/>
                <w:b w:val="0"/>
                <w:color w:val="000000"/>
                <w:sz w:val="24"/>
              </w:rPr>
              <w:t>D1</w:t>
            </w:r>
          </w:p>
        </w:tc>
        <w:tc>
          <w:tcPr>
            <w:tcW w:type="dxa" w:w="8832"/>
          </w:tcPr>
          <w:p>
            <w:pPr>
              <w:spacing w:after="0"/>
            </w:pPr>
            <w:r>
              <w:rPr>
                <w:rFonts w:ascii="Arial" w:hAnsi="Arial" w:eastAsia="Arial"/>
                <w:b w:val="0"/>
                <w:color w:val="000000"/>
                <w:sz w:val="24"/>
              </w:rPr>
              <w:t>T-00 … T-03</w:t>
            </w:r>
          </w:p>
        </w:tc>
      </w:tr>
      <w:tr>
        <w:tc>
          <w:tcPr>
            <w:tcW w:type="dxa" w:w="806"/>
          </w:tcPr>
          <w:p>
            <w:pPr>
              <w:spacing w:after="0"/>
            </w:pPr>
            <w:r>
              <w:rPr>
                <w:rFonts w:ascii="Arial" w:hAnsi="Arial" w:eastAsia="Arial"/>
                <w:b w:val="0"/>
                <w:color w:val="000000"/>
                <w:sz w:val="24"/>
              </w:rPr>
              <w:t>D2</w:t>
            </w:r>
          </w:p>
        </w:tc>
        <w:tc>
          <w:tcPr>
            <w:tcW w:type="dxa" w:w="8832"/>
          </w:tcPr>
          <w:p>
            <w:pPr>
              <w:spacing w:after="0"/>
            </w:pPr>
            <w:r>
              <w:rPr>
                <w:rFonts w:ascii="Arial" w:hAnsi="Arial" w:eastAsia="Arial"/>
                <w:b w:val="0"/>
                <w:color w:val="000000"/>
                <w:sz w:val="24"/>
              </w:rPr>
              <w:t>T-04 … T-07</w:t>
            </w:r>
          </w:p>
        </w:tc>
      </w:tr>
      <w:tr>
        <w:tc>
          <w:tcPr>
            <w:tcW w:type="dxa" w:w="806"/>
          </w:tcPr>
          <w:p>
            <w:pPr>
              <w:spacing w:after="0"/>
            </w:pPr>
            <w:r>
              <w:rPr>
                <w:rFonts w:ascii="Arial" w:hAnsi="Arial" w:eastAsia="Arial"/>
                <w:b w:val="0"/>
                <w:color w:val="000000"/>
                <w:sz w:val="24"/>
              </w:rPr>
              <w:t>D3</w:t>
            </w:r>
          </w:p>
        </w:tc>
        <w:tc>
          <w:tcPr>
            <w:tcW w:type="dxa" w:w="8832"/>
          </w:tcPr>
          <w:p>
            <w:pPr>
              <w:spacing w:after="0"/>
            </w:pPr>
            <w:r>
              <w:rPr>
                <w:rFonts w:ascii="Arial" w:hAnsi="Arial" w:eastAsia="Arial"/>
                <w:b w:val="0"/>
                <w:color w:val="000000"/>
                <w:sz w:val="24"/>
              </w:rPr>
              <w:t>T-08 … T-10</w:t>
            </w:r>
          </w:p>
        </w:tc>
      </w:tr>
      <w:tr>
        <w:tc>
          <w:tcPr>
            <w:tcW w:type="dxa" w:w="806"/>
          </w:tcPr>
          <w:p>
            <w:pPr>
              <w:spacing w:after="0"/>
            </w:pPr>
            <w:r>
              <w:rPr>
                <w:rFonts w:ascii="Arial" w:hAnsi="Arial" w:eastAsia="Arial"/>
                <w:b w:val="0"/>
                <w:color w:val="000000"/>
                <w:sz w:val="24"/>
              </w:rPr>
              <w:t>D4</w:t>
            </w:r>
          </w:p>
        </w:tc>
        <w:tc>
          <w:tcPr>
            <w:tcW w:type="dxa" w:w="8832"/>
          </w:tcPr>
          <w:p>
            <w:pPr>
              <w:spacing w:after="0"/>
            </w:pPr>
            <w:r>
              <w:rPr>
                <w:rFonts w:ascii="Arial" w:hAnsi="Arial" w:eastAsia="Arial"/>
                <w:b w:val="0"/>
                <w:color w:val="000000"/>
                <w:sz w:val="24"/>
              </w:rPr>
              <w:t>T-11 … T-14</w:t>
            </w:r>
          </w:p>
        </w:tc>
      </w:tr>
      <w:tr>
        <w:tc>
          <w:tcPr>
            <w:tcW w:type="dxa" w:w="806"/>
          </w:tcPr>
          <w:p>
            <w:pPr>
              <w:spacing w:after="0"/>
            </w:pPr>
            <w:r>
              <w:rPr>
                <w:rFonts w:ascii="Arial" w:hAnsi="Arial" w:eastAsia="Arial"/>
                <w:b w:val="0"/>
                <w:color w:val="000000"/>
                <w:sz w:val="24"/>
              </w:rPr>
              <w:t>D5</w:t>
            </w:r>
          </w:p>
        </w:tc>
        <w:tc>
          <w:tcPr>
            <w:tcW w:type="dxa" w:w="8832"/>
          </w:tcPr>
          <w:p>
            <w:pPr>
              <w:spacing w:after="0"/>
            </w:pPr>
            <w:r>
              <w:rPr>
                <w:rFonts w:ascii="Arial" w:hAnsi="Arial" w:eastAsia="Arial"/>
                <w:b w:val="0"/>
                <w:color w:val="000000"/>
                <w:sz w:val="24"/>
              </w:rPr>
              <w:t>T-15, T-18, T-16, then T-17 slice by slice, then T-19 and T-20</w:t>
            </w:r>
          </w:p>
        </w:tc>
      </w:tr>
    </w:tbl>
    <w:p>
      <w:pPr>
        <w:spacing w:before="120"/>
      </w:pPr>
      <w:r>
        <w:rPr>
          <w:rFonts w:ascii="Arial" w:hAnsi="Arial" w:eastAsia="Arial"/>
          <w:b w:val="0"/>
          <w:color w:val="000000"/>
          <w:sz w:val="24"/>
        </w:rPr>
        <w:t>The MVP cut line sits after T-16. Everything the assignment requires is above it. T-17, the optional front, is below it and was split into thematic slices that are each safe to cut: after every web slice the client builds, runs in Docker and passes its tests, so stopping after any slice leaves no route, key or endpoint half wired. The five-day window is risk RISK-07 of the plan, and progress was to be checked against the plan at the end of day 4 (open decision OD-02).</w:t>
      </w:r>
    </w:p>
    <w:p>
      <w:pPr>
        <w:pStyle w:val="Heading3"/>
        <w:keepNext/>
        <w:spacing w:before="160" w:after="80"/>
      </w:pPr>
      <w:r>
        <w:rPr>
          <w:rFonts w:ascii="Arial" w:hAnsi="Arial" w:eastAsia="Arial"/>
          <w:b/>
          <w:color w:val="000000"/>
          <w:sz w:val="24"/>
        </w:rPr>
        <w:t>4.3 How the plan met reality</w:t>
      </w:r>
    </w:p>
    <w:p>
      <w:r>
        <w:rPr>
          <w:rFonts w:ascii="Arial" w:hAnsi="Arial" w:eastAsia="Arial"/>
          <w:b w:val="0"/>
          <w:color w:val="000000"/>
          <w:sz w:val="24"/>
        </w:rPr>
        <w:t xml:space="preserve">The merge history of the API repository shows the order actually taken. On 2026-10-15, T-02 and T-03 (money and pipeline) merged first, then T-08, T-09, T-14, T-15 and T-10 (schema, errors, outbox, housekeeping, quotes), then T-11, T-12 and T-13 (confirmation, its invariants, history). The levers T-04 … T-07 followed, then T-18 and T-16. The persistence and confirmation path was therefore built before the levers. TASKS records the consequence: T-10 had been built before T-04 … T-06, so its quote path loaded prices and tax rates only. T-18 was added to wire the seeded levers into quotes, with </w:t>
      </w:r>
      <w:r>
        <w:rPr>
          <w:rFonts w:ascii="Arial" w:hAnsi="Arial" w:eastAsia="Arial"/>
          <w:b w:val="0"/>
          <w:color w:val="000000"/>
          <w:sz w:val="24"/>
        </w:rPr>
        <w:t>QuoteLeversIT</w:t>
      </w:r>
      <w:r>
        <w:rPr>
          <w:rFonts w:ascii="Arial" w:hAnsi="Arial" w:eastAsia="Arial"/>
          <w:b w:val="0"/>
          <w:color w:val="000000"/>
          <w:sz w:val="24"/>
        </w:rPr>
        <w:t xml:space="preserve"> replaying the tier, combo and gift cases through </w:t>
      </w:r>
      <w:r>
        <w:rPr>
          <w:rFonts w:ascii="Arial" w:hAnsi="Arial" w:eastAsia="Arial"/>
          <w:b w:val="0"/>
          <w:color w:val="000000"/>
          <w:sz w:val="24"/>
        </w:rPr>
        <w:t>POST /api/v1/quotes</w:t>
      </w:r>
      <w:r>
        <w:rPr>
          <w:rFonts w:ascii="Arial" w:hAnsi="Arial" w:eastAsia="Arial"/>
          <w:b w:val="0"/>
          <w:color w:val="000000"/>
          <w:sz w:val="24"/>
        </w:rPr>
        <w:t>, before T-16 closed the core.</w:t>
      </w:r>
    </w:p>
    <w:p>
      <w:r>
        <w:rPr>
          <w:rFonts w:ascii="Arial" w:hAnsi="Arial" w:eastAsia="Arial"/>
          <w:b w:val="0"/>
          <w:color w:val="000000"/>
          <w:sz w:val="24"/>
        </w:rPr>
        <w:t xml:space="preserve">Two tasks were added after T-17. T-19 collects the fixes found by walking the full stack: product and customer names in the tenants' language, a quantity cap of 1,000,000, currency codes next to amounts, a remembered language choice, restart by Docker and an end-to-end step in </w:t>
      </w:r>
      <w:r>
        <w:rPr>
          <w:rFonts w:ascii="Arial" w:hAnsi="Arial" w:eastAsia="Arial"/>
          <w:b w:val="0"/>
          <w:color w:val="000000"/>
          <w:sz w:val="24"/>
        </w:rPr>
        <w:t>test-all</w:t>
      </w:r>
      <w:r>
        <w:rPr>
          <w:rFonts w:ascii="Arial" w:hAnsi="Arial" w:eastAsia="Arial"/>
          <w:b w:val="0"/>
          <w:color w:val="000000"/>
          <w:sz w:val="24"/>
        </w:rPr>
        <w:t>. T-20 adds Guatemala and Peru as data only.</w:t>
      </w:r>
    </w:p>
    <w:p>
      <w:pPr>
        <w:pStyle w:val="Heading2"/>
        <w:keepNext/>
        <w:spacing w:before="160" w:after="80"/>
      </w:pPr>
      <w:r>
        <w:rPr>
          <w:rFonts w:ascii="Arial" w:hAnsi="Arial" w:eastAsia="Arial"/>
          <w:b/>
          <w:color w:val="000000"/>
          <w:sz w:val="24"/>
        </w:rPr>
        <w:t>5. The pricing engine (A1) step by step</w:t>
      </w:r>
    </w:p>
    <w:p>
      <w:pPr>
        <w:pStyle w:val="Heading3"/>
        <w:keepNext/>
        <w:spacing w:before="160" w:after="80"/>
      </w:pPr>
      <w:r>
        <w:rPr>
          <w:rFonts w:ascii="Arial" w:hAnsi="Arial" w:eastAsia="Arial"/>
          <w:b/>
          <w:color w:val="000000"/>
          <w:sz w:val="24"/>
        </w:rPr>
        <w:t>5.1 The money type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04"/>
        <w:gridCol w:w="7734"/>
      </w:tblGrid>
      <w:tr>
        <w:tc>
          <w:tcPr>
            <w:tcW w:type="dxa" w:w="1904"/>
          </w:tcPr>
          <w:p>
            <w:pPr>
              <w:spacing w:after="0"/>
            </w:pPr>
            <w:r>
              <w:rPr>
                <w:rFonts w:ascii="Arial" w:hAnsi="Arial" w:eastAsia="Arial"/>
                <w:b/>
                <w:color w:val="000000"/>
                <w:sz w:val="24"/>
              </w:rPr>
              <w:t>Aspect</w:t>
            </w:r>
          </w:p>
        </w:tc>
        <w:tc>
          <w:tcPr>
            <w:tcW w:type="dxa" w:w="7734"/>
          </w:tcPr>
          <w:p>
            <w:pPr>
              <w:spacing w:after="0"/>
            </w:pPr>
            <w:r>
              <w:rPr>
                <w:rFonts w:ascii="Arial" w:hAnsi="Arial" w:eastAsia="Arial"/>
                <w:b/>
                <w:color w:val="000000"/>
                <w:sz w:val="24"/>
              </w:rPr>
              <w:t>Decision</w:t>
            </w:r>
          </w:p>
        </w:tc>
      </w:tr>
      <w:tr>
        <w:tc>
          <w:tcPr>
            <w:tcW w:type="dxa" w:w="1904"/>
          </w:tcPr>
          <w:p>
            <w:pPr>
              <w:spacing w:after="0"/>
            </w:pPr>
            <w:r>
              <w:rPr>
                <w:rFonts w:ascii="Arial" w:hAnsi="Arial" w:eastAsia="Arial"/>
                <w:b w:val="0"/>
                <w:color w:val="000000"/>
                <w:sz w:val="24"/>
              </w:rPr>
              <w:t>Type</w:t>
            </w:r>
          </w:p>
        </w:tc>
        <w:tc>
          <w:tcPr>
            <w:tcW w:type="dxa" w:w="7734"/>
          </w:tcPr>
          <w:p>
            <w:pPr>
              <w:spacing w:after="0"/>
            </w:pPr>
            <w:r>
              <w:rPr>
                <w:rFonts w:ascii="Arial" w:hAnsi="Arial" w:eastAsia="Arial"/>
                <w:b w:val="0"/>
                <w:color w:val="000000"/>
                <w:sz w:val="24"/>
              </w:rPr>
              <w:t>Money(BigDecimal amount, CurrencyPolicy policy)</w:t>
            </w:r>
            <w:r>
              <w:rPr>
                <w:rFonts w:ascii="Arial" w:hAnsi="Arial" w:eastAsia="Arial"/>
                <w:b w:val="0"/>
                <w:color w:val="000000"/>
                <w:sz w:val="24"/>
              </w:rPr>
              <w:t xml:space="preserve">, an immutable value object. </w:t>
            </w:r>
            <w:r>
              <w:rPr>
                <w:rFonts w:ascii="Arial" w:hAnsi="Arial" w:eastAsia="Arial"/>
                <w:b w:val="0"/>
                <w:color w:val="000000"/>
                <w:sz w:val="24"/>
              </w:rPr>
              <w:t>float</w:t>
            </w:r>
            <w:r>
              <w:rPr>
                <w:rFonts w:ascii="Arial" w:hAnsi="Arial" w:eastAsia="Arial"/>
                <w:b w:val="0"/>
                <w:color w:val="000000"/>
                <w:sz w:val="24"/>
              </w:rPr>
              <w:t xml:space="preserve"> and </w:t>
            </w:r>
            <w:r>
              <w:rPr>
                <w:rFonts w:ascii="Arial" w:hAnsi="Arial" w:eastAsia="Arial"/>
                <w:b w:val="0"/>
                <w:color w:val="000000"/>
                <w:sz w:val="24"/>
              </w:rPr>
              <w:t>double</w:t>
            </w:r>
            <w:r>
              <w:rPr>
                <w:rFonts w:ascii="Arial" w:hAnsi="Arial" w:eastAsia="Arial"/>
                <w:b w:val="0"/>
                <w:color w:val="000000"/>
                <w:sz w:val="24"/>
              </w:rPr>
              <w:t xml:space="preserve"> are banned from </w:t>
            </w:r>
            <w:r>
              <w:rPr>
                <w:rFonts w:ascii="Arial" w:hAnsi="Arial" w:eastAsia="Arial"/>
                <w:b w:val="0"/>
                <w:color w:val="000000"/>
                <w:sz w:val="24"/>
              </w:rPr>
              <w:t>pricing.domain</w:t>
            </w:r>
            <w:r>
              <w:rPr>
                <w:rFonts w:ascii="Arial" w:hAnsi="Arial" w:eastAsia="Arial"/>
                <w:b w:val="0"/>
                <w:color w:val="000000"/>
                <w:sz w:val="24"/>
              </w:rPr>
              <w:t xml:space="preserve"> by an ArchUnit rule</w:t>
            </w:r>
          </w:p>
        </w:tc>
      </w:tr>
      <w:tr>
        <w:tc>
          <w:tcPr>
            <w:tcW w:type="dxa" w:w="1904"/>
          </w:tcPr>
          <w:p>
            <w:pPr>
              <w:spacing w:after="0"/>
            </w:pPr>
            <w:r>
              <w:rPr>
                <w:rFonts w:ascii="Arial" w:hAnsi="Arial" w:eastAsia="Arial"/>
                <w:b w:val="0"/>
                <w:color w:val="000000"/>
                <w:sz w:val="24"/>
              </w:rPr>
              <w:t>Scale</w:t>
            </w:r>
          </w:p>
        </w:tc>
        <w:tc>
          <w:tcPr>
            <w:tcW w:type="dxa" w:w="7734"/>
          </w:tcPr>
          <w:p>
            <w:pPr>
              <w:spacing w:after="0"/>
            </w:pPr>
            <w:r>
              <w:rPr>
                <w:rFonts w:ascii="Arial" w:hAnsi="Arial" w:eastAsia="Arial"/>
                <w:b w:val="0"/>
                <w:color w:val="000000"/>
                <w:sz w:val="24"/>
              </w:rPr>
              <w:t xml:space="preserve">Data: the currency's row (COP 0; USD, GTQ and PEN 2). Never </w:t>
            </w:r>
            <w:r>
              <w:rPr>
                <w:rFonts w:ascii="Arial" w:hAnsi="Arial" w:eastAsia="Arial"/>
                <w:b w:val="0"/>
                <w:color w:val="000000"/>
                <w:sz w:val="24"/>
              </w:rPr>
              <w:t>java.util.Currency</w:t>
            </w:r>
            <w:r>
              <w:rPr>
                <w:rFonts w:ascii="Arial" w:hAnsi="Arial" w:eastAsia="Arial"/>
                <w:b w:val="0"/>
                <w:color w:val="000000"/>
                <w:sz w:val="24"/>
              </w:rPr>
              <w:t>, which reports COP with 2 decimals (HANDOFF trap TR-01); another ArchUnit rule forbids it in the domain</w:t>
            </w:r>
          </w:p>
        </w:tc>
      </w:tr>
      <w:tr>
        <w:tc>
          <w:tcPr>
            <w:tcW w:type="dxa" w:w="1904"/>
          </w:tcPr>
          <w:p>
            <w:pPr>
              <w:spacing w:after="0"/>
            </w:pPr>
            <w:r>
              <w:rPr>
                <w:rFonts w:ascii="Arial" w:hAnsi="Arial" w:eastAsia="Arial"/>
                <w:b w:val="0"/>
                <w:color w:val="000000"/>
                <w:sz w:val="24"/>
              </w:rPr>
              <w:t>Rounding mode</w:t>
            </w:r>
          </w:p>
        </w:tc>
        <w:tc>
          <w:tcPr>
            <w:tcW w:type="dxa" w:w="7734"/>
          </w:tcPr>
          <w:p>
            <w:pPr>
              <w:spacing w:after="0"/>
            </w:pPr>
            <w:r>
              <w:rPr>
                <w:rFonts w:ascii="Arial" w:hAnsi="Arial" w:eastAsia="Arial"/>
                <w:b w:val="0"/>
                <w:color w:val="000000"/>
                <w:sz w:val="24"/>
              </w:rPr>
              <w:t xml:space="preserve">Data: the country's row. </w:t>
            </w:r>
            <w:r>
              <w:rPr>
                <w:rFonts w:ascii="Arial" w:hAnsi="Arial" w:eastAsia="Arial"/>
                <w:b w:val="0"/>
                <w:color w:val="000000"/>
                <w:sz w:val="24"/>
              </w:rPr>
              <w:t>HALF_UP</w:t>
            </w:r>
            <w:r>
              <w:rPr>
                <w:rFonts w:ascii="Arial" w:hAnsi="Arial" w:eastAsia="Arial"/>
                <w:b w:val="0"/>
                <w:color w:val="000000"/>
                <w:sz w:val="24"/>
              </w:rPr>
              <w:t xml:space="preserve"> in the four seeded countries</w:t>
            </w:r>
          </w:p>
        </w:tc>
      </w:tr>
      <w:tr>
        <w:tc>
          <w:tcPr>
            <w:tcW w:type="dxa" w:w="1904"/>
          </w:tcPr>
          <w:p>
            <w:pPr>
              <w:spacing w:after="0"/>
            </w:pPr>
            <w:r>
              <w:rPr>
                <w:rFonts w:ascii="Arial" w:hAnsi="Arial" w:eastAsia="Arial"/>
                <w:b w:val="0"/>
                <w:color w:val="000000"/>
                <w:sz w:val="24"/>
              </w:rPr>
              <w:t>Storage</w:t>
            </w:r>
          </w:p>
        </w:tc>
        <w:tc>
          <w:tcPr>
            <w:tcW w:type="dxa" w:w="7734"/>
          </w:tcPr>
          <w:p>
            <w:pPr>
              <w:spacing w:after="0"/>
            </w:pPr>
            <w:r>
              <w:rPr>
                <w:rFonts w:ascii="Arial" w:hAnsi="Arial" w:eastAsia="Arial"/>
                <w:b w:val="0"/>
                <w:color w:val="000000"/>
                <w:sz w:val="24"/>
              </w:rPr>
              <w:t xml:space="preserve">Money is </w:t>
            </w:r>
            <w:r>
              <w:rPr>
                <w:rFonts w:ascii="Arial" w:hAnsi="Arial" w:eastAsia="Arial"/>
                <w:b w:val="0"/>
                <w:color w:val="000000"/>
                <w:sz w:val="24"/>
              </w:rPr>
              <w:t>NUMERIC(19,4)</w:t>
            </w:r>
            <w:r>
              <w:rPr>
                <w:rFonts w:ascii="Arial" w:hAnsi="Arial" w:eastAsia="Arial"/>
                <w:b w:val="0"/>
                <w:color w:val="000000"/>
                <w:sz w:val="24"/>
              </w:rPr>
              <w:t xml:space="preserve">, rates are </w:t>
            </w:r>
            <w:r>
              <w:rPr>
                <w:rFonts w:ascii="Arial" w:hAnsi="Arial" w:eastAsia="Arial"/>
                <w:b w:val="0"/>
                <w:color w:val="000000"/>
                <w:sz w:val="24"/>
              </w:rPr>
              <w:t>NUMERIC(7,6)</w:t>
            </w:r>
            <w:r>
              <w:rPr>
                <w:rFonts w:ascii="Arial" w:hAnsi="Arial" w:eastAsia="Arial"/>
                <w:b w:val="0"/>
                <w:color w:val="000000"/>
                <w:sz w:val="24"/>
              </w:rPr>
              <w:t>. A price with more decimals than its currency allows is rejected when it is loaded (</w:t>
            </w:r>
            <w:r>
              <w:rPr>
                <w:rFonts w:ascii="Arial" w:hAnsi="Arial" w:eastAsia="Arial"/>
                <w:b w:val="0"/>
                <w:color w:val="000000"/>
                <w:sz w:val="24"/>
              </w:rPr>
              <w:t>PriceScaleValidationIT</w:t>
            </w:r>
            <w:r>
              <w:rPr>
                <w:rFonts w:ascii="Arial" w:hAnsi="Arial" w:eastAsia="Arial"/>
                <w:b w:val="0"/>
                <w:color w:val="000000"/>
                <w:sz w:val="24"/>
              </w:rPr>
              <w:t>)</w:t>
            </w:r>
          </w:p>
        </w:tc>
      </w:tr>
      <w:tr>
        <w:tc>
          <w:tcPr>
            <w:tcW w:type="dxa" w:w="1904"/>
          </w:tcPr>
          <w:p>
            <w:pPr>
              <w:spacing w:after="0"/>
            </w:pPr>
            <w:r>
              <w:rPr>
                <w:rFonts w:ascii="Arial" w:hAnsi="Arial" w:eastAsia="Arial"/>
                <w:b w:val="0"/>
                <w:color w:val="000000"/>
                <w:sz w:val="24"/>
              </w:rPr>
              <w:t>Comparison</w:t>
            </w:r>
          </w:p>
        </w:tc>
        <w:tc>
          <w:tcPr>
            <w:tcW w:type="dxa" w:w="7734"/>
          </w:tcPr>
          <w:p>
            <w:pPr>
              <w:spacing w:after="0"/>
            </w:pPr>
            <w:r>
              <w:rPr>
                <w:rFonts w:ascii="Arial" w:hAnsi="Arial" w:eastAsia="Arial"/>
                <w:b w:val="0"/>
                <w:color w:val="000000"/>
                <w:sz w:val="24"/>
              </w:rPr>
              <w:t xml:space="preserve">Always </w:t>
            </w:r>
            <w:r>
              <w:rPr>
                <w:rFonts w:ascii="Arial" w:hAnsi="Arial" w:eastAsia="Arial"/>
                <w:b w:val="0"/>
                <w:color w:val="000000"/>
                <w:sz w:val="24"/>
              </w:rPr>
              <w:t>compareTo</w:t>
            </w:r>
            <w:r>
              <w:rPr>
                <w:rFonts w:ascii="Arial" w:hAnsi="Arial" w:eastAsia="Arial"/>
                <w:b w:val="0"/>
                <w:color w:val="000000"/>
                <w:sz w:val="24"/>
              </w:rPr>
              <w:t xml:space="preserve">, never </w:t>
            </w:r>
            <w:r>
              <w:rPr>
                <w:rFonts w:ascii="Arial" w:hAnsi="Arial" w:eastAsia="Arial"/>
                <w:b w:val="0"/>
                <w:color w:val="000000"/>
                <w:sz w:val="24"/>
              </w:rPr>
              <w:t>equals</w:t>
            </w:r>
            <w:r>
              <w:rPr>
                <w:rFonts w:ascii="Arial" w:hAnsi="Arial" w:eastAsia="Arial"/>
                <w:b w:val="0"/>
                <w:color w:val="000000"/>
                <w:sz w:val="24"/>
              </w:rPr>
              <w:t xml:space="preserve">, because </w:t>
            </w:r>
            <w:r>
              <w:rPr>
                <w:rFonts w:ascii="Arial" w:hAnsi="Arial" w:eastAsia="Arial"/>
                <w:b w:val="0"/>
                <w:color w:val="000000"/>
                <w:sz w:val="24"/>
              </w:rPr>
              <w:t>equals</w:t>
            </w:r>
            <w:r>
              <w:rPr>
                <w:rFonts w:ascii="Arial" w:hAnsi="Arial" w:eastAsia="Arial"/>
                <w:b w:val="0"/>
                <w:color w:val="000000"/>
                <w:sz w:val="24"/>
              </w:rPr>
              <w:t xml:space="preserve"> also compares the scale</w:t>
            </w:r>
          </w:p>
        </w:tc>
      </w:tr>
      <w:tr>
        <w:tc>
          <w:tcPr>
            <w:tcW w:type="dxa" w:w="1904"/>
          </w:tcPr>
          <w:p>
            <w:pPr>
              <w:spacing w:after="0"/>
            </w:pPr>
            <w:r>
              <w:rPr>
                <w:rFonts w:ascii="Arial" w:hAnsi="Arial" w:eastAsia="Arial"/>
                <w:b w:val="0"/>
                <w:color w:val="000000"/>
                <w:sz w:val="24"/>
              </w:rPr>
              <w:t>API</w:t>
            </w:r>
          </w:p>
        </w:tc>
        <w:tc>
          <w:tcPr>
            <w:tcW w:type="dxa" w:w="7734"/>
          </w:tcPr>
          <w:p>
            <w:pPr>
              <w:spacing w:after="0"/>
            </w:pPr>
            <w:r>
              <w:rPr>
                <w:rFonts w:ascii="Arial" w:hAnsi="Arial" w:eastAsia="Arial"/>
                <w:b w:val="0"/>
                <w:color w:val="000000"/>
                <w:sz w:val="24"/>
              </w:rPr>
              <w:t>Money is a JSON string at the currency's scale, and the ISO currency code appears once per body. The web client formats that string and never turns it into a number</w:t>
            </w:r>
          </w:p>
        </w:tc>
      </w:tr>
    </w:tbl>
    <w:p>
      <w:pPr>
        <w:pStyle w:val="Heading3"/>
        <w:keepNext/>
        <w:spacing w:before="160" w:after="80"/>
      </w:pPr>
      <w:r>
        <w:rPr>
          <w:rFonts w:ascii="Arial" w:hAnsi="Arial" w:eastAsia="Arial"/>
          <w:b/>
          <w:color w:val="000000"/>
          <w:sz w:val="24"/>
        </w:rPr>
        <w:t>5.2 Normalization and the pipeline</w:t>
      </w:r>
    </w:p>
    <w:p>
      <w:r>
        <w:rPr>
          <w:rFonts w:ascii="Arial" w:hAnsi="Arial" w:eastAsia="Arial"/>
          <w:b w:val="0"/>
          <w:color w:val="000000"/>
          <w:sz w:val="24"/>
        </w:rPr>
        <w:t xml:space="preserve">The engine is one pure function: </w:t>
      </w:r>
      <w:r>
        <w:rPr>
          <w:rFonts w:ascii="Arial" w:hAnsi="Arial" w:eastAsia="Arial"/>
          <w:b w:val="0"/>
          <w:color w:val="000000"/>
          <w:sz w:val="24"/>
        </w:rPr>
        <w:t>Breakdown PricingEngine.price(Cart, PricingSnapshot)</w:t>
      </w:r>
      <w:r>
        <w:rPr>
          <w:rFonts w:ascii="Arial" w:hAnsi="Arial" w:eastAsia="Arial"/>
          <w:b w:val="0"/>
          <w:color w:val="000000"/>
          <w:sz w:val="24"/>
        </w:rPr>
        <w:t>. The application layer resolves the snapshot first: unit prices, active levers, tax rates and country policy at one point in time. The engine sees no database, clock or framework, so it is deterministic and can be pinned by golden tests (P-06).</w:t>
      </w:r>
    </w:p>
    <w:p>
      <w:r>
        <w:rPr>
          <w:rFonts w:ascii="Arial" w:hAnsi="Arial" w:eastAsia="Arial"/>
          <w:b w:val="0"/>
          <w:color w:val="000000"/>
          <w:sz w:val="24"/>
        </w:rPr>
        <w:t xml:space="preserve">Before pricing, the cart is normalized (BR-00): duplicate SKUs are merged, lines are sorted by SKU, and invalid input fails fast with a stable code: a quantity of zero or less, non-integer or above 1,000,000 → 400 </w:t>
      </w:r>
      <w:r>
        <w:rPr>
          <w:rFonts w:ascii="Arial" w:hAnsi="Arial" w:eastAsia="Arial"/>
          <w:b w:val="0"/>
          <w:color w:val="000000"/>
          <w:sz w:val="24"/>
        </w:rPr>
        <w:t>INVALID_QUANTITY</w:t>
      </w:r>
      <w:r>
        <w:rPr>
          <w:rFonts w:ascii="Arial" w:hAnsi="Arial" w:eastAsia="Arial"/>
          <w:b w:val="0"/>
          <w:color w:val="000000"/>
          <w:sz w:val="24"/>
        </w:rPr>
        <w:t xml:space="preserve">; an empty cart → 400 </w:t>
      </w:r>
      <w:r>
        <w:rPr>
          <w:rFonts w:ascii="Arial" w:hAnsi="Arial" w:eastAsia="Arial"/>
          <w:b w:val="0"/>
          <w:color w:val="000000"/>
          <w:sz w:val="24"/>
        </w:rPr>
        <w:t>CART_EMPTY</w:t>
      </w:r>
      <w:r>
        <w:rPr>
          <w:rFonts w:ascii="Arial" w:hAnsi="Arial" w:eastAsia="Arial"/>
          <w:b w:val="0"/>
          <w:color w:val="000000"/>
          <w:sz w:val="24"/>
        </w:rPr>
        <w:t xml:space="preserve">; an unknown SKU or one of another tenant → 422 </w:t>
      </w:r>
      <w:r>
        <w:rPr>
          <w:rFonts w:ascii="Arial" w:hAnsi="Arial" w:eastAsia="Arial"/>
          <w:b w:val="0"/>
          <w:color w:val="000000"/>
          <w:sz w:val="24"/>
        </w:rPr>
        <w:t>UNKNOWN_SKU</w:t>
      </w:r>
      <w:r>
        <w:rPr>
          <w:rFonts w:ascii="Arial" w:hAnsi="Arial" w:eastAsia="Arial"/>
          <w:b w:val="0"/>
          <w:color w:val="000000"/>
          <w:sz w:val="24"/>
        </w:rPr>
        <w:t>. A gift quantity derived above the same bound is also a 400, computed with overflow-checked arithmetic so it never wraps or answers 500.</w:t>
      </w:r>
    </w:p>
    <w:p>
      <w:pPr>
        <w:keepNext/>
        <w:spacing w:before="120" w:after="40"/>
        <w:jc w:val="center"/>
      </w:pPr>
      <w:r>
        <w:drawing>
          <wp:inline xmlns:a="http://schemas.openxmlformats.org/drawingml/2006/main" xmlns:pic="http://schemas.openxmlformats.org/drawingml/2006/picture" distT="0" distB="0" distL="0" distR="0">
            <wp:extent cx="6120130" cy="2605600"/>
            <wp:docPr id="1" name="Picture 1"/>
            <wp:cNvGraphicFramePr>
              <a:graphicFrameLocks noChangeAspect="1"/>
            </wp:cNvGraphicFramePr>
            <a:graphic>
              <a:graphicData uri="http://schemas.openxmlformats.org/drawingml/2006/picture">
                <pic:pic>
                  <pic:nvPicPr>
                    <pic:cNvPr id="0" name="05-pricing-pipeline.png"/>
                    <pic:cNvPicPr/>
                  </pic:nvPicPr>
                  <pic:blipFill>
                    <a:blip r:embed="rId10"/>
                    <a:stretch>
                      <a:fillRect/>
                    </a:stretch>
                  </pic:blipFill>
                  <pic:spPr>
                    <a:xfrm>
                      <a:off x="0" y="0"/>
                      <a:ext cx="6120130" cy="2605600"/>
                    </a:xfrm>
                    <a:prstGeom prst="rect"/>
                  </pic:spPr>
                </pic:pic>
              </a:graphicData>
            </a:graphic>
          </wp:inline>
        </w:drawing>
      </w:r>
    </w:p>
    <w:p>
      <w:pPr>
        <w:spacing w:after="160"/>
        <w:jc w:val="center"/>
      </w:pPr>
      <w:r>
        <w:rPr>
          <w:rFonts w:ascii="Arial" w:hAnsi="Arial" w:eastAsia="Arial"/>
          <w:b/>
          <w:color w:val="000000"/>
          <w:sz w:val="24"/>
        </w:rPr>
        <w:t>Figure 1.</w:t>
      </w:r>
      <w:r>
        <w:rPr>
          <w:rFonts w:ascii="Arial" w:hAnsi="Arial" w:eastAsia="Arial"/>
          <w:b w:val="0"/>
          <w:color w:val="000000"/>
          <w:sz w:val="24"/>
        </w:rPr>
        <w:t xml:space="preserve"> </w:t>
      </w:r>
      <w:r>
        <w:rPr>
          <w:rFonts w:ascii="Arial" w:hAnsi="Arial" w:eastAsia="Arial"/>
          <w:b w:val="0"/>
          <w:color w:val="000000"/>
          <w:sz w:val="24"/>
        </w:rPr>
        <w:t>Pricing pipeline: the order in which levers apply</w:t>
      </w:r>
    </w:p>
    <w:p>
      <w:pPr>
        <w:pStyle w:val="Heading3"/>
        <w:keepNext/>
        <w:spacing w:before="160" w:after="80"/>
      </w:pPr>
      <w:r>
        <w:rPr>
          <w:rFonts w:ascii="Arial" w:hAnsi="Arial" w:eastAsia="Arial"/>
          <w:b/>
          <w:color w:val="000000"/>
          <w:sz w:val="24"/>
        </w:rPr>
        <w:t>5.3 Lever order and its reasons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013"/>
        <w:gridCol w:w="4646"/>
      </w:tblGrid>
      <w:tr>
        <w:tc>
          <w:tcPr>
            <w:tcW w:type="dxa" w:w="980"/>
          </w:tcPr>
          <w:p>
            <w:pPr>
              <w:spacing w:after="0"/>
            </w:pPr>
            <w:r>
              <w:rPr>
                <w:rFonts w:ascii="Arial" w:hAnsi="Arial" w:eastAsia="Arial"/>
                <w:b/>
                <w:color w:val="000000"/>
                <w:sz w:val="24"/>
              </w:rPr>
              <w:t>Step</w:t>
            </w:r>
          </w:p>
        </w:tc>
        <w:tc>
          <w:tcPr>
            <w:tcW w:type="dxa" w:w="4013"/>
          </w:tcPr>
          <w:p>
            <w:pPr>
              <w:spacing w:after="0"/>
            </w:pPr>
            <w:r>
              <w:rPr>
                <w:rFonts w:ascii="Arial" w:hAnsi="Arial" w:eastAsia="Arial"/>
                <w:b/>
                <w:color w:val="000000"/>
                <w:sz w:val="24"/>
              </w:rPr>
              <w:t>What</w:t>
            </w:r>
          </w:p>
        </w:tc>
        <w:tc>
          <w:tcPr>
            <w:tcW w:type="dxa" w:w="4646"/>
          </w:tcPr>
          <w:p>
            <w:pPr>
              <w:spacing w:after="0"/>
            </w:pPr>
            <w:r>
              <w:rPr>
                <w:rFonts w:ascii="Arial" w:hAnsi="Arial" w:eastAsia="Arial"/>
                <w:b/>
                <w:color w:val="000000"/>
                <w:sz w:val="24"/>
              </w:rPr>
              <w:t>Why here</w:t>
            </w:r>
          </w:p>
        </w:tc>
      </w:tr>
      <w:tr>
        <w:tc>
          <w:tcPr>
            <w:tcW w:type="dxa" w:w="980"/>
          </w:tcPr>
          <w:p>
            <w:pPr>
              <w:spacing w:after="0"/>
            </w:pPr>
            <w:r>
              <w:rPr>
                <w:rFonts w:ascii="Arial" w:hAnsi="Arial" w:eastAsia="Arial"/>
                <w:b w:val="0"/>
                <w:color w:val="000000"/>
                <w:sz w:val="24"/>
              </w:rPr>
              <w:t>1</w:t>
            </w:r>
          </w:p>
        </w:tc>
        <w:tc>
          <w:tcPr>
            <w:tcW w:type="dxa" w:w="4013"/>
          </w:tcPr>
          <w:p>
            <w:pPr>
              <w:spacing w:after="0"/>
            </w:pPr>
            <w:r>
              <w:rPr>
                <w:rFonts w:ascii="Arial" w:hAnsi="Arial" w:eastAsia="Arial"/>
                <w:b w:val="0"/>
                <w:color w:val="000000"/>
                <w:sz w:val="24"/>
              </w:rPr>
              <w:t>Gift eligibility, on paid quantities and the gross subtotal before discounts</w:t>
            </w:r>
          </w:p>
        </w:tc>
        <w:tc>
          <w:tcPr>
            <w:tcW w:type="dxa" w:w="4646"/>
          </w:tcPr>
          <w:p>
            <w:pPr>
              <w:spacing w:after="0"/>
            </w:pPr>
            <w:r>
              <w:rPr>
                <w:rFonts w:ascii="Arial" w:hAnsi="Arial" w:eastAsia="Arial"/>
                <w:b w:val="0"/>
                <w:color w:val="000000"/>
                <w:sz w:val="24"/>
              </w:rPr>
              <w:t>A gift is triggered by what the customer buys and never changes what they pay for product</w:t>
            </w:r>
          </w:p>
        </w:tc>
      </w:tr>
      <w:tr>
        <w:tc>
          <w:tcPr>
            <w:tcW w:type="dxa" w:w="980"/>
          </w:tcPr>
          <w:p>
            <w:pPr>
              <w:spacing w:after="0"/>
            </w:pPr>
            <w:r>
              <w:rPr>
                <w:rFonts w:ascii="Arial" w:hAnsi="Arial" w:eastAsia="Arial"/>
                <w:b w:val="0"/>
                <w:color w:val="000000"/>
                <w:sz w:val="24"/>
              </w:rPr>
              <w:t>2</w:t>
            </w:r>
          </w:p>
        </w:tc>
        <w:tc>
          <w:tcPr>
            <w:tcW w:type="dxa" w:w="4013"/>
          </w:tcPr>
          <w:p>
            <w:pPr>
              <w:spacing w:after="0"/>
            </w:pPr>
            <w:r>
              <w:rPr>
                <w:rFonts w:ascii="Arial" w:hAnsi="Arial" w:eastAsia="Arial"/>
                <w:b w:val="0"/>
                <w:color w:val="000000"/>
                <w:sz w:val="24"/>
              </w:rPr>
              <w:t>Combos</w:t>
            </w:r>
          </w:p>
        </w:tc>
        <w:tc>
          <w:tcPr>
            <w:tcW w:type="dxa" w:w="4646"/>
          </w:tcPr>
          <w:p>
            <w:pPr>
              <w:spacing w:after="0"/>
            </w:pPr>
            <w:r>
              <w:rPr>
                <w:rFonts w:ascii="Arial" w:hAnsi="Arial" w:eastAsia="Arial"/>
                <w:b w:val="0"/>
                <w:color w:val="000000"/>
                <w:sz w:val="24"/>
              </w:rPr>
              <w:t>A combo is a negotiated bundle price. It consumes its units first, so they cannot also get a tier discount</w:t>
            </w:r>
          </w:p>
        </w:tc>
      </w:tr>
      <w:tr>
        <w:tc>
          <w:tcPr>
            <w:tcW w:type="dxa" w:w="980"/>
          </w:tcPr>
          <w:p>
            <w:pPr>
              <w:spacing w:after="0"/>
            </w:pPr>
            <w:r>
              <w:rPr>
                <w:rFonts w:ascii="Arial" w:hAnsi="Arial" w:eastAsia="Arial"/>
                <w:b w:val="0"/>
                <w:color w:val="000000"/>
                <w:sz w:val="24"/>
              </w:rPr>
              <w:t>3</w:t>
            </w:r>
          </w:p>
        </w:tc>
        <w:tc>
          <w:tcPr>
            <w:tcW w:type="dxa" w:w="4013"/>
          </w:tcPr>
          <w:p>
            <w:pPr>
              <w:spacing w:after="0"/>
            </w:pPr>
            <w:r>
              <w:rPr>
                <w:rFonts w:ascii="Arial" w:hAnsi="Arial" w:eastAsia="Arial"/>
                <w:b w:val="0"/>
                <w:color w:val="000000"/>
                <w:sz w:val="24"/>
              </w:rPr>
              <w:t>Tier discounts on the units no combo consumed</w:t>
            </w:r>
          </w:p>
        </w:tc>
        <w:tc>
          <w:tcPr>
            <w:tcW w:type="dxa" w:w="4646"/>
          </w:tcPr>
          <w:p>
            <w:pPr>
              <w:spacing w:after="0"/>
            </w:pPr>
            <w:r>
              <w:rPr>
                <w:rFonts w:ascii="Arial" w:hAnsi="Arial" w:eastAsia="Arial"/>
                <w:b w:val="0"/>
                <w:color w:val="000000"/>
                <w:sz w:val="24"/>
              </w:rPr>
              <w:t>The generic volume incentive applies only to what the bundle did not price</w:t>
            </w:r>
          </w:p>
        </w:tc>
      </w:tr>
      <w:tr>
        <w:tc>
          <w:tcPr>
            <w:tcW w:type="dxa" w:w="980"/>
          </w:tcPr>
          <w:p>
            <w:pPr>
              <w:spacing w:after="0"/>
            </w:pPr>
            <w:r>
              <w:rPr>
                <w:rFonts w:ascii="Arial" w:hAnsi="Arial" w:eastAsia="Arial"/>
                <w:b w:val="0"/>
                <w:color w:val="000000"/>
                <w:sz w:val="24"/>
              </w:rPr>
              <w:t>4</w:t>
            </w:r>
          </w:p>
        </w:tc>
        <w:tc>
          <w:tcPr>
            <w:tcW w:type="dxa" w:w="4013"/>
          </w:tcPr>
          <w:p>
            <w:pPr>
              <w:spacing w:after="0"/>
            </w:pPr>
            <w:r>
              <w:rPr>
                <w:rFonts w:ascii="Arial" w:hAnsi="Arial" w:eastAsia="Arial"/>
                <w:b w:val="0"/>
                <w:color w:val="000000"/>
                <w:sz w:val="24"/>
              </w:rPr>
              <w:t>Line net = gross − discount components</w:t>
            </w:r>
          </w:p>
        </w:tc>
        <w:tc>
          <w:tcPr>
            <w:tcW w:type="dxa" w:w="4646"/>
          </w:tcPr>
          <w:p>
            <w:pPr>
              <w:spacing w:after="0"/>
            </w:pPr>
            <w:r>
              <w:rPr>
                <w:rFonts w:ascii="Arial" w:hAnsi="Arial" w:eastAsia="Arial"/>
                <w:b w:val="0"/>
                <w:color w:val="000000"/>
                <w:sz w:val="24"/>
              </w:rPr>
              <w:t>Commercial discounts are settled before tax</w:t>
            </w:r>
          </w:p>
        </w:tc>
      </w:tr>
      <w:tr>
        <w:tc>
          <w:tcPr>
            <w:tcW w:type="dxa" w:w="980"/>
          </w:tcPr>
          <w:p>
            <w:pPr>
              <w:spacing w:after="0"/>
            </w:pPr>
            <w:r>
              <w:rPr>
                <w:rFonts w:ascii="Arial" w:hAnsi="Arial" w:eastAsia="Arial"/>
                <w:b w:val="0"/>
                <w:color w:val="000000"/>
                <w:sz w:val="24"/>
              </w:rPr>
              <w:t>5</w:t>
            </w:r>
          </w:p>
        </w:tc>
        <w:tc>
          <w:tcPr>
            <w:tcW w:type="dxa" w:w="4013"/>
          </w:tcPr>
          <w:p>
            <w:pPr>
              <w:spacing w:after="0"/>
            </w:pPr>
            <w:r>
              <w:rPr>
                <w:rFonts w:ascii="Arial" w:hAnsi="Arial" w:eastAsia="Arial"/>
                <w:b w:val="0"/>
                <w:color w:val="000000"/>
                <w:sz w:val="24"/>
              </w:rPr>
              <w:t>Taxable base</w:t>
            </w:r>
          </w:p>
        </w:tc>
        <w:tc>
          <w:tcPr>
            <w:tcW w:type="dxa" w:w="4646"/>
          </w:tcPr>
          <w:p>
            <w:pPr>
              <w:spacing w:after="0"/>
            </w:pPr>
            <w:r>
              <w:rPr>
                <w:rFonts w:ascii="Arial" w:hAnsi="Arial" w:eastAsia="Arial"/>
                <w:b w:val="0"/>
                <w:color w:val="000000"/>
                <w:sz w:val="24"/>
              </w:rPr>
              <w:t>The assignment requires tax on the base after commercial discounts</w:t>
            </w:r>
          </w:p>
        </w:tc>
      </w:tr>
      <w:tr>
        <w:tc>
          <w:tcPr>
            <w:tcW w:type="dxa" w:w="980"/>
          </w:tcPr>
          <w:p>
            <w:pPr>
              <w:spacing w:after="0"/>
            </w:pPr>
            <w:r>
              <w:rPr>
                <w:rFonts w:ascii="Arial" w:hAnsi="Arial" w:eastAsia="Arial"/>
                <w:b w:val="0"/>
                <w:color w:val="000000"/>
                <w:sz w:val="24"/>
              </w:rPr>
              <w:t>6</w:t>
            </w:r>
          </w:p>
        </w:tc>
        <w:tc>
          <w:tcPr>
            <w:tcW w:type="dxa" w:w="4013"/>
          </w:tcPr>
          <w:p>
            <w:pPr>
              <w:spacing w:after="0"/>
            </w:pPr>
            <w:r>
              <w:rPr>
                <w:rFonts w:ascii="Arial" w:hAnsi="Arial" w:eastAsia="Arial"/>
                <w:b w:val="0"/>
                <w:color w:val="000000"/>
                <w:sz w:val="24"/>
              </w:rPr>
              <w:t>Tax per line</w:t>
            </w:r>
          </w:p>
        </w:tc>
        <w:tc>
          <w:tcPr>
            <w:tcW w:type="dxa" w:w="4646"/>
          </w:tcPr>
          <w:p>
            <w:pPr>
              <w:spacing w:after="0"/>
            </w:pPr>
            <w:r>
              <w:rPr>
                <w:rFonts w:ascii="Arial" w:hAnsi="Arial" w:eastAsia="Arial"/>
                <w:b w:val="0"/>
                <w:color w:val="000000"/>
                <w:sz w:val="24"/>
              </w:rPr>
              <w:t>Each SKU has its own rate</w:t>
            </w:r>
          </w:p>
        </w:tc>
      </w:tr>
      <w:tr>
        <w:tc>
          <w:tcPr>
            <w:tcW w:type="dxa" w:w="980"/>
          </w:tcPr>
          <w:p>
            <w:pPr>
              <w:spacing w:after="0"/>
            </w:pPr>
            <w:r>
              <w:rPr>
                <w:rFonts w:ascii="Arial" w:hAnsi="Arial" w:eastAsia="Arial"/>
                <w:b w:val="0"/>
                <w:color w:val="000000"/>
                <w:sz w:val="24"/>
              </w:rPr>
              <w:t>7</w:t>
            </w:r>
          </w:p>
        </w:tc>
        <w:tc>
          <w:tcPr>
            <w:tcW w:type="dxa" w:w="4013"/>
          </w:tcPr>
          <w:p>
            <w:pPr>
              <w:spacing w:after="0"/>
            </w:pPr>
            <w:r>
              <w:rPr>
                <w:rFonts w:ascii="Arial" w:hAnsi="Arial" w:eastAsia="Arial"/>
                <w:b w:val="0"/>
                <w:color w:val="000000"/>
                <w:sz w:val="24"/>
              </w:rPr>
              <w:t>Total</w:t>
            </w:r>
          </w:p>
        </w:tc>
        <w:tc>
          <w:tcPr>
            <w:tcW w:type="dxa" w:w="4646"/>
          </w:tcPr>
          <w:p>
            <w:pPr>
              <w:spacing w:after="0"/>
            </w:pPr>
            <w:r>
              <w:rPr>
                <w:rFonts w:ascii="Arial" w:hAnsi="Arial" w:eastAsia="Arial"/>
                <w:b w:val="0"/>
                <w:color w:val="000000"/>
                <w:sz w:val="24"/>
              </w:rPr>
              <w:t>It needs every previous step</w:t>
            </w:r>
          </w:p>
        </w:tc>
      </w:tr>
      <w:tr>
        <w:tc>
          <w:tcPr>
            <w:tcW w:type="dxa" w:w="980"/>
          </w:tcPr>
          <w:p>
            <w:pPr>
              <w:spacing w:after="0"/>
            </w:pPr>
            <w:r>
              <w:rPr>
                <w:rFonts w:ascii="Arial" w:hAnsi="Arial" w:eastAsia="Arial"/>
                <w:b w:val="0"/>
                <w:color w:val="000000"/>
                <w:sz w:val="24"/>
              </w:rPr>
              <w:t>8</w:t>
            </w:r>
          </w:p>
        </w:tc>
        <w:tc>
          <w:tcPr>
            <w:tcW w:type="dxa" w:w="4013"/>
          </w:tcPr>
          <w:p>
            <w:pPr>
              <w:spacing w:after="0"/>
            </w:pPr>
            <w:r>
              <w:rPr>
                <w:rFonts w:ascii="Arial" w:hAnsi="Arial" w:eastAsia="Arial"/>
                <w:b w:val="0"/>
                <w:color w:val="000000"/>
                <w:sz w:val="24"/>
              </w:rPr>
              <w:t>Credit evaluation, in the application layer</w:t>
            </w:r>
          </w:p>
        </w:tc>
        <w:tc>
          <w:tcPr>
            <w:tcW w:type="dxa" w:w="4646"/>
          </w:tcPr>
          <w:p>
            <w:pPr>
              <w:spacing w:after="0"/>
            </w:pPr>
            <w:r>
              <w:rPr>
                <w:rFonts w:ascii="Arial" w:hAnsi="Arial" w:eastAsia="Arial"/>
                <w:b w:val="0"/>
                <w:color w:val="000000"/>
                <w:sz w:val="24"/>
              </w:rPr>
              <w:t>It needs the final total and is not a price lever, so it stays outside the pure engine</w:t>
            </w:r>
          </w:p>
        </w:tc>
      </w:tr>
    </w:tbl>
    <w:p>
      <w:pPr>
        <w:spacing w:before="120"/>
      </w:pPr>
      <w:r>
        <w:rPr>
          <w:rFonts w:ascii="Arial" w:hAnsi="Arial" w:eastAsia="Arial"/>
          <w:b w:val="0"/>
          <w:color w:val="000000"/>
          <w:sz w:val="24"/>
        </w:rPr>
        <w:t>Each lever has a precise rule:</w:t>
      </w:r>
    </w:p>
    <w:p>
      <w:pPr>
        <w:pStyle w:val="ListBullet"/>
        <w:spacing w:after="40"/>
      </w:pPr>
      <w:r>
        <w:rPr>
          <w:rFonts w:ascii="Arial" w:hAnsi="Arial" w:eastAsia="Arial"/>
          <w:b/>
          <w:color w:val="000000"/>
          <w:sz w:val="24"/>
        </w:rPr>
        <w:t>Tiers (BR-02).</w:t>
      </w:r>
      <w:r>
        <w:rPr>
          <w:rFonts w:ascii="Arial" w:hAnsi="Arial" w:eastAsia="Arial"/>
          <w:b w:val="0"/>
          <w:color w:val="000000"/>
          <w:sz w:val="24"/>
        </w:rPr>
        <w:t xml:space="preserve"> A rule targets a SKU or a family and defines brackets </w:t>
      </w:r>
      <w:r>
        <w:rPr>
          <w:rFonts w:ascii="Arial" w:hAnsi="Arial" w:eastAsia="Arial"/>
          <w:b w:val="0"/>
          <w:color w:val="000000"/>
          <w:sz w:val="24"/>
        </w:rPr>
        <w:t>{from, percent}</w:t>
      </w:r>
      <w:r>
        <w:rPr>
          <w:rFonts w:ascii="Arial" w:hAnsi="Arial" w:eastAsia="Arial"/>
          <w:b w:val="0"/>
          <w:color w:val="000000"/>
          <w:sz w:val="24"/>
        </w:rPr>
        <w:t>. The discount of a line is computed exactly and rounded once per line, never once per bracket segment (review edge RF-1).</w:t>
      </w:r>
    </w:p>
    <w:p>
      <w:pPr>
        <w:pStyle w:val="ListBullet"/>
        <w:spacing w:after="40"/>
      </w:pPr>
      <w:r>
        <w:rPr>
          <w:rFonts w:ascii="Arial" w:hAnsi="Arial" w:eastAsia="Arial"/>
          <w:b/>
          <w:color w:val="000000"/>
          <w:sz w:val="24"/>
        </w:rPr>
        <w:t>Combos (BR-03).</w:t>
      </w:r>
      <w:r>
        <w:rPr>
          <w:rFonts w:ascii="Arial" w:hAnsi="Arial" w:eastAsia="Arial"/>
          <w:b w:val="0"/>
          <w:color w:val="000000"/>
          <w:sz w:val="24"/>
        </w:rPr>
        <w:t xml:space="preserve"> Applications = the floor of the smallest </w:t>
      </w:r>
      <w:r>
        <w:rPr>
          <w:rFonts w:ascii="Arial" w:hAnsi="Arial" w:eastAsia="Arial"/>
          <w:b w:val="0"/>
          <w:color w:val="000000"/>
          <w:sz w:val="24"/>
        </w:rPr>
        <w:t>qty / minQty</w:t>
      </w:r>
      <w:r>
        <w:rPr>
          <w:rFonts w:ascii="Arial" w:hAnsi="Arial" w:eastAsia="Arial"/>
          <w:b w:val="0"/>
          <w:color w:val="000000"/>
          <w:sz w:val="24"/>
        </w:rPr>
        <w:t xml:space="preserve"> across the combo's SKUs. Discount = list value of the consumed units − combo price × applications. A combo that would not lower the price consumes nothing. The discount is split across the participating lines in proportion to their consumed gross value by the largest-remainder method, with ties broken by SKU order, so the parts always add up exactly.</w:t>
      </w:r>
    </w:p>
    <w:p>
      <w:pPr>
        <w:pStyle w:val="ListBullet"/>
        <w:spacing w:after="40"/>
      </w:pPr>
      <w:r>
        <w:rPr>
          <w:rFonts w:ascii="Arial" w:hAnsi="Arial" w:eastAsia="Arial"/>
          <w:b/>
          <w:color w:val="000000"/>
          <w:sz w:val="24"/>
        </w:rPr>
        <w:t>Gifts (BR-04).</w:t>
      </w:r>
      <w:r>
        <w:rPr>
          <w:rFonts w:ascii="Arial" w:hAnsi="Arial" w:eastAsia="Arial"/>
          <w:b w:val="0"/>
          <w:color w:val="000000"/>
          <w:sz w:val="24"/>
        </w:rPr>
        <w:t xml:space="preserve"> A gift is a separate line with its quantity, </w:t>
      </w:r>
      <w:r>
        <w:rPr>
          <w:rFonts w:ascii="Arial" w:hAnsi="Arial" w:eastAsia="Arial"/>
          <w:b w:val="0"/>
          <w:color w:val="000000"/>
          <w:sz w:val="24"/>
        </w:rPr>
        <w:t>GIFT:&lt;id&gt;</w:t>
      </w:r>
      <w:r>
        <w:rPr>
          <w:rFonts w:ascii="Arial" w:hAnsi="Arial" w:eastAsia="Arial"/>
          <w:b w:val="0"/>
          <w:color w:val="000000"/>
          <w:sz w:val="24"/>
        </w:rPr>
        <w:t xml:space="preserve"> origin and price 0. Its reference value is quantity × list price. The country's gift tax policy decides whether that value is taxed (</w:t>
      </w:r>
      <w:r>
        <w:rPr>
          <w:rFonts w:ascii="Arial" w:hAnsi="Arial" w:eastAsia="Arial"/>
          <w:b w:val="0"/>
          <w:color w:val="000000"/>
          <w:sz w:val="24"/>
        </w:rPr>
        <w:t>TAXED</w:t>
      </w:r>
      <w:r>
        <w:rPr>
          <w:rFonts w:ascii="Arial" w:hAnsi="Arial" w:eastAsia="Arial"/>
          <w:b w:val="0"/>
          <w:color w:val="000000"/>
          <w:sz w:val="24"/>
        </w:rPr>
        <w:t>) or not (</w:t>
      </w:r>
      <w:r>
        <w:rPr>
          <w:rFonts w:ascii="Arial" w:hAnsi="Arial" w:eastAsia="Arial"/>
          <w:b w:val="0"/>
          <w:color w:val="000000"/>
          <w:sz w:val="24"/>
        </w:rPr>
        <w:t>EXEMPT</w:t>
      </w:r>
      <w:r>
        <w:rPr>
          <w:rFonts w:ascii="Arial" w:hAnsi="Arial" w:eastAsia="Arial"/>
          <w:b w:val="0"/>
          <w:color w:val="000000"/>
          <w:sz w:val="24"/>
        </w:rPr>
        <w:t>).</w:t>
      </w:r>
    </w:p>
    <w:p>
      <w:r>
        <w:rPr>
          <w:rFonts w:ascii="Arial" w:hAnsi="Arial" w:eastAsia="Arial"/>
          <w:b w:val="0"/>
          <w:color w:val="000000"/>
          <w:sz w:val="24"/>
        </w:rPr>
        <w:t>Discarding the alternative orders was explicit in the ADR: applying tiers before combos would discount the same units twice.</w:t>
      </w:r>
    </w:p>
    <w:p>
      <w:pPr>
        <w:pStyle w:val="Heading3"/>
        <w:keepNext/>
        <w:spacing w:before="160" w:after="80"/>
      </w:pPr>
      <w:r>
        <w:rPr>
          <w:rFonts w:ascii="Arial" w:hAnsi="Arial" w:eastAsia="Arial"/>
          <w:b/>
          <w:color w:val="000000"/>
          <w:sz w:val="24"/>
        </w:rPr>
        <w:t>5.4 Rounding points</w:t>
      </w:r>
    </w:p>
    <w:p>
      <w:r>
        <w:rPr>
          <w:rFonts w:ascii="Arial" w:hAnsi="Arial" w:eastAsia="Arial"/>
          <w:b w:val="0"/>
          <w:color w:val="000000"/>
          <w:sz w:val="24"/>
        </w:rPr>
        <w:t>Rounding happens per line only:</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4"/>
        <w:gridCol w:w="4026"/>
        <w:gridCol w:w="4459"/>
      </w:tblGrid>
      <w:tr>
        <w:tc>
          <w:tcPr>
            <w:tcW w:type="dxa" w:w="1154"/>
          </w:tcPr>
          <w:p>
            <w:pPr>
              <w:spacing w:after="0"/>
            </w:pPr>
            <w:r>
              <w:rPr>
                <w:rFonts w:ascii="Arial" w:hAnsi="Arial" w:eastAsia="Arial"/>
                <w:b/>
                <w:color w:val="000000"/>
                <w:sz w:val="24"/>
              </w:rPr>
              <w:t>Point</w:t>
            </w:r>
          </w:p>
        </w:tc>
        <w:tc>
          <w:tcPr>
            <w:tcW w:type="dxa" w:w="4026"/>
          </w:tcPr>
          <w:p>
            <w:pPr>
              <w:spacing w:after="0"/>
            </w:pPr>
            <w:r>
              <w:rPr>
                <w:rFonts w:ascii="Arial" w:hAnsi="Arial" w:eastAsia="Arial"/>
                <w:b/>
                <w:color w:val="000000"/>
                <w:sz w:val="24"/>
              </w:rPr>
              <w:t>Where</w:t>
            </w:r>
          </w:p>
        </w:tc>
        <w:tc>
          <w:tcPr>
            <w:tcW w:type="dxa" w:w="4459"/>
          </w:tcPr>
          <w:p>
            <w:pPr>
              <w:spacing w:after="0"/>
            </w:pPr>
            <w:r>
              <w:rPr>
                <w:rFonts w:ascii="Arial" w:hAnsi="Arial" w:eastAsia="Arial"/>
                <w:b/>
                <w:color w:val="000000"/>
                <w:sz w:val="24"/>
              </w:rPr>
              <w:t>Rule</w:t>
            </w:r>
          </w:p>
        </w:tc>
      </w:tr>
      <w:tr>
        <w:tc>
          <w:tcPr>
            <w:tcW w:type="dxa" w:w="1154"/>
          </w:tcPr>
          <w:p>
            <w:pPr>
              <w:spacing w:after="0"/>
            </w:pPr>
            <w:r>
              <w:rPr>
                <w:rFonts w:ascii="Arial" w:hAnsi="Arial" w:eastAsia="Arial"/>
                <w:b w:val="0"/>
                <w:color w:val="000000"/>
                <w:sz w:val="24"/>
              </w:rPr>
              <w:t>RP-1</w:t>
            </w:r>
          </w:p>
        </w:tc>
        <w:tc>
          <w:tcPr>
            <w:tcW w:type="dxa" w:w="4026"/>
          </w:tcPr>
          <w:p>
            <w:pPr>
              <w:spacing w:after="0"/>
            </w:pPr>
            <w:r>
              <w:rPr>
                <w:rFonts w:ascii="Arial" w:hAnsi="Arial" w:eastAsia="Arial"/>
                <w:b w:val="0"/>
                <w:color w:val="000000"/>
                <w:sz w:val="24"/>
              </w:rPr>
              <w:t>Unit price × quantity</w:t>
            </w:r>
          </w:p>
        </w:tc>
        <w:tc>
          <w:tcPr>
            <w:tcW w:type="dxa" w:w="4459"/>
          </w:tcPr>
          <w:p>
            <w:pPr>
              <w:spacing w:after="0"/>
            </w:pPr>
            <w:r>
              <w:rPr>
                <w:rFonts w:ascii="Arial" w:hAnsi="Arial" w:eastAsia="Arial"/>
                <w:b w:val="0"/>
                <w:color w:val="000000"/>
                <w:sz w:val="24"/>
              </w:rPr>
              <w:t>Exact, because prices are already at currency scale</w:t>
            </w:r>
          </w:p>
        </w:tc>
      </w:tr>
      <w:tr>
        <w:tc>
          <w:tcPr>
            <w:tcW w:type="dxa" w:w="1154"/>
          </w:tcPr>
          <w:p>
            <w:pPr>
              <w:spacing w:after="0"/>
            </w:pPr>
            <w:r>
              <w:rPr>
                <w:rFonts w:ascii="Arial" w:hAnsi="Arial" w:eastAsia="Arial"/>
                <w:b w:val="0"/>
                <w:color w:val="000000"/>
                <w:sz w:val="24"/>
              </w:rPr>
              <w:t>RP-2</w:t>
            </w:r>
          </w:p>
        </w:tc>
        <w:tc>
          <w:tcPr>
            <w:tcW w:type="dxa" w:w="4026"/>
          </w:tcPr>
          <w:p>
            <w:pPr>
              <w:spacing w:after="0"/>
            </w:pPr>
            <w:r>
              <w:rPr>
                <w:rFonts w:ascii="Arial" w:hAnsi="Arial" w:eastAsia="Arial"/>
                <w:b w:val="0"/>
                <w:color w:val="000000"/>
                <w:sz w:val="24"/>
              </w:rPr>
              <w:t>Each discount component of a line (tier, combo allocation)</w:t>
            </w:r>
          </w:p>
        </w:tc>
        <w:tc>
          <w:tcPr>
            <w:tcW w:type="dxa" w:w="4459"/>
          </w:tcPr>
          <w:p>
            <w:pPr>
              <w:spacing w:after="0"/>
            </w:pPr>
            <w:r>
              <w:rPr>
                <w:rFonts w:ascii="Arial" w:hAnsi="Arial" w:eastAsia="Arial"/>
                <w:b w:val="0"/>
                <w:color w:val="000000"/>
                <w:sz w:val="24"/>
              </w:rPr>
              <w:t>Rounded to currency scale. A component that rounds to zero is not emitted</w:t>
            </w:r>
          </w:p>
        </w:tc>
      </w:tr>
      <w:tr>
        <w:tc>
          <w:tcPr>
            <w:tcW w:type="dxa" w:w="1154"/>
          </w:tcPr>
          <w:p>
            <w:pPr>
              <w:spacing w:after="0"/>
            </w:pPr>
            <w:r>
              <w:rPr>
                <w:rFonts w:ascii="Arial" w:hAnsi="Arial" w:eastAsia="Arial"/>
                <w:b w:val="0"/>
                <w:color w:val="000000"/>
                <w:sz w:val="24"/>
              </w:rPr>
              <w:t>RP-3</w:t>
            </w:r>
          </w:p>
        </w:tc>
        <w:tc>
          <w:tcPr>
            <w:tcW w:type="dxa" w:w="4026"/>
          </w:tcPr>
          <w:p>
            <w:pPr>
              <w:spacing w:after="0"/>
            </w:pPr>
            <w:r>
              <w:rPr>
                <w:rFonts w:ascii="Arial" w:hAnsi="Arial" w:eastAsia="Arial"/>
                <w:b w:val="0"/>
                <w:color w:val="000000"/>
                <w:sz w:val="24"/>
              </w:rPr>
              <w:t>Net = gross − components</w:t>
            </w:r>
          </w:p>
        </w:tc>
        <w:tc>
          <w:tcPr>
            <w:tcW w:type="dxa" w:w="4459"/>
          </w:tcPr>
          <w:p>
            <w:pPr>
              <w:spacing w:after="0"/>
            </w:pPr>
            <w:r>
              <w:rPr>
                <w:rFonts w:ascii="Arial" w:hAnsi="Arial" w:eastAsia="Arial"/>
                <w:b w:val="0"/>
                <w:color w:val="000000"/>
                <w:sz w:val="24"/>
              </w:rPr>
              <w:t>Exact</w:t>
            </w:r>
          </w:p>
        </w:tc>
      </w:tr>
      <w:tr>
        <w:tc>
          <w:tcPr>
            <w:tcW w:type="dxa" w:w="1154"/>
          </w:tcPr>
          <w:p>
            <w:pPr>
              <w:spacing w:after="0"/>
            </w:pPr>
            <w:r>
              <w:rPr>
                <w:rFonts w:ascii="Arial" w:hAnsi="Arial" w:eastAsia="Arial"/>
                <w:b w:val="0"/>
                <w:color w:val="000000"/>
                <w:sz w:val="24"/>
              </w:rPr>
              <w:t>RP-4</w:t>
            </w:r>
          </w:p>
        </w:tc>
        <w:tc>
          <w:tcPr>
            <w:tcW w:type="dxa" w:w="4026"/>
          </w:tcPr>
          <w:p>
            <w:pPr>
              <w:spacing w:after="0"/>
            </w:pPr>
            <w:r>
              <w:rPr>
                <w:rFonts w:ascii="Arial" w:hAnsi="Arial" w:eastAsia="Arial"/>
                <w:b w:val="0"/>
                <w:color w:val="000000"/>
                <w:sz w:val="24"/>
              </w:rPr>
              <w:t>Tax of a line</w:t>
            </w:r>
          </w:p>
        </w:tc>
        <w:tc>
          <w:tcPr>
            <w:tcW w:type="dxa" w:w="4459"/>
          </w:tcPr>
          <w:p>
            <w:pPr>
              <w:spacing w:after="0"/>
            </w:pPr>
            <w:r>
              <w:rPr>
                <w:rFonts w:ascii="Arial" w:hAnsi="Arial" w:eastAsia="Arial"/>
                <w:b w:val="0"/>
                <w:color w:val="000000"/>
                <w:sz w:val="24"/>
              </w:rPr>
              <w:t>Rounded to currency scale</w:t>
            </w:r>
          </w:p>
        </w:tc>
      </w:tr>
      <w:tr>
        <w:tc>
          <w:tcPr>
            <w:tcW w:type="dxa" w:w="1154"/>
          </w:tcPr>
          <w:p>
            <w:pPr>
              <w:spacing w:after="0"/>
            </w:pPr>
            <w:r>
              <w:rPr>
                <w:rFonts w:ascii="Arial" w:hAnsi="Arial" w:eastAsia="Arial"/>
                <w:b w:val="0"/>
                <w:color w:val="000000"/>
                <w:sz w:val="24"/>
              </w:rPr>
              <w:t>RP-5</w:t>
            </w:r>
          </w:p>
        </w:tc>
        <w:tc>
          <w:tcPr>
            <w:tcW w:type="dxa" w:w="4026"/>
          </w:tcPr>
          <w:p>
            <w:pPr>
              <w:spacing w:after="0"/>
            </w:pPr>
            <w:r>
              <w:rPr>
                <w:rFonts w:ascii="Arial" w:hAnsi="Arial" w:eastAsia="Arial"/>
                <w:b w:val="0"/>
                <w:color w:val="000000"/>
                <w:sz w:val="24"/>
              </w:rPr>
              <w:t>Order totals</w:t>
            </w:r>
          </w:p>
        </w:tc>
        <w:tc>
          <w:tcPr>
            <w:tcW w:type="dxa" w:w="4459"/>
          </w:tcPr>
          <w:p>
            <w:pPr>
              <w:spacing w:after="0"/>
            </w:pPr>
            <w:r>
              <w:rPr>
                <w:rFonts w:ascii="Arial" w:hAnsi="Arial" w:eastAsia="Arial"/>
                <w:b w:val="0"/>
                <w:color w:val="000000"/>
                <w:sz w:val="24"/>
              </w:rPr>
              <w:t>Sums of rounded line values, never rounded again</w:t>
            </w:r>
          </w:p>
        </w:tc>
      </w:tr>
    </w:tbl>
    <w:p>
      <w:pPr>
        <w:spacing w:before="120"/>
      </w:pPr>
      <w:r>
        <w:rPr>
          <w:rFonts w:ascii="Arial" w:hAnsi="Arial" w:eastAsia="Arial"/>
          <w:b w:val="0"/>
          <w:color w:val="000000"/>
          <w:sz w:val="24"/>
        </w:rPr>
        <w:t>Why per line: an electronic invoice carries tax per line, so per-line rounding keeps the order consistent with the invoice it produces. Rounding once per tax-rate group was rejected because line values would disagree with the totals, and rounding only the final total was rejected because it hides cent drift and cannot be audited line by line.</w:t>
      </w:r>
    </w:p>
    <w:p>
      <w:r>
        <w:rPr>
          <w:rFonts w:ascii="Arial" w:hAnsi="Arial" w:eastAsia="Arial"/>
          <w:b w:val="0"/>
          <w:color w:val="000000"/>
          <w:sz w:val="24"/>
        </w:rPr>
        <w:t xml:space="preserve">Every breakdown satisfies the identities of BR-05, and every golden test asserts them: gross subtotal = Σ paid gross; Σ order discounts = Σ line tier discounts + Σ line combo allocations; line net = gross − discounts − allocations; taxable base = Σ paid net + Σ gift taxable base; taxes = Σ line tax; </w:t>
      </w:r>
      <w:r>
        <w:rPr>
          <w:rFonts w:ascii="Arial" w:hAnsi="Arial" w:eastAsia="Arial"/>
          <w:b/>
          <w:color w:val="000000"/>
          <w:sz w:val="24"/>
        </w:rPr>
        <w:t>total = Σ net + taxes</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5.5 The six golden tests</w:t>
      </w:r>
    </w:p>
    <w:p>
      <w:r>
        <w:rPr>
          <w:rFonts w:ascii="Arial" w:hAnsi="Arial" w:eastAsia="Arial"/>
          <w:b w:val="0"/>
          <w:color w:val="000000"/>
          <w:sz w:val="24"/>
        </w:rPr>
        <w:t xml:space="preserve">A pricing case is a folder under </w:t>
      </w:r>
      <w:r>
        <w:rPr>
          <w:rFonts w:ascii="Arial" w:hAnsi="Arial" w:eastAsia="Arial"/>
          <w:b w:val="0"/>
          <w:color w:val="000000"/>
          <w:sz w:val="24"/>
        </w:rPr>
        <w:t>src/test/resources/golden/</w:t>
      </w:r>
      <w:r>
        <w:rPr>
          <w:rFonts w:ascii="Arial" w:hAnsi="Arial" w:eastAsia="Arial"/>
          <w:b w:val="0"/>
          <w:color w:val="000000"/>
          <w:sz w:val="24"/>
        </w:rPr>
        <w:t xml:space="preserve"> with </w:t>
      </w:r>
      <w:r>
        <w:rPr>
          <w:rFonts w:ascii="Arial" w:hAnsi="Arial" w:eastAsia="Arial"/>
          <w:b w:val="0"/>
          <w:color w:val="000000"/>
          <w:sz w:val="24"/>
        </w:rPr>
        <w:t>request.json</w:t>
      </w:r>
      <w:r>
        <w:rPr>
          <w:rFonts w:ascii="Arial" w:hAnsi="Arial" w:eastAsia="Arial"/>
          <w:b w:val="0"/>
          <w:color w:val="000000"/>
          <w:sz w:val="24"/>
        </w:rPr>
        <w:t xml:space="preserve">, </w:t>
      </w:r>
      <w:r>
        <w:rPr>
          <w:rFonts w:ascii="Arial" w:hAnsi="Arial" w:eastAsia="Arial"/>
          <w:b w:val="0"/>
          <w:color w:val="000000"/>
          <w:sz w:val="24"/>
        </w:rPr>
        <w:t>snapshot.json</w:t>
      </w:r>
      <w:r>
        <w:rPr>
          <w:rFonts w:ascii="Arial" w:hAnsi="Arial" w:eastAsia="Arial"/>
          <w:b w:val="0"/>
          <w:color w:val="000000"/>
          <w:sz w:val="24"/>
        </w:rPr>
        <w:t xml:space="preserve"> and </w:t>
      </w:r>
      <w:r>
        <w:rPr>
          <w:rFonts w:ascii="Arial" w:hAnsi="Arial" w:eastAsia="Arial"/>
          <w:b w:val="0"/>
          <w:color w:val="000000"/>
          <w:sz w:val="24"/>
        </w:rPr>
        <w:t>expected.json</w:t>
      </w:r>
      <w:r>
        <w:rPr>
          <w:rFonts w:ascii="Arial" w:hAnsi="Arial" w:eastAsia="Arial"/>
          <w:b w:val="0"/>
          <w:color w:val="000000"/>
          <w:sz w:val="24"/>
        </w:rPr>
        <w:t xml:space="preserve">, tagged </w:t>
      </w:r>
      <w:r>
        <w:rPr>
          <w:rFonts w:ascii="Arial" w:hAnsi="Arial" w:eastAsia="Arial"/>
          <w:b w:val="0"/>
          <w:color w:val="000000"/>
          <w:sz w:val="24"/>
        </w:rPr>
        <w:t>@Tag("golden")</w:t>
      </w:r>
      <w:r>
        <w:rPr>
          <w:rFonts w:ascii="Arial" w:hAnsi="Arial" w:eastAsia="Arial"/>
          <w:b w:val="0"/>
          <w:color w:val="000000"/>
          <w:sz w:val="24"/>
        </w:rPr>
        <w:t xml:space="preserve">. </w:t>
      </w:r>
      <w:r>
        <w:rPr>
          <w:rFonts w:ascii="Arial" w:hAnsi="Arial" w:eastAsia="Arial"/>
          <w:b w:val="0"/>
          <w:color w:val="000000"/>
          <w:sz w:val="24"/>
        </w:rPr>
        <w:t>GoldenPricingTest</w:t>
      </w:r>
      <w:r>
        <w:rPr>
          <w:rFonts w:ascii="Arial" w:hAnsi="Arial" w:eastAsia="Arial"/>
          <w:b w:val="0"/>
          <w:color w:val="000000"/>
          <w:sz w:val="24"/>
        </w:rPr>
        <w:t xml:space="preserve"> checks each folder twice: against its expected breakdown and against the identities above. All amounts below are Colombian pesos (COP, scale 0) from the fixtures.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97"/>
        <w:gridCol w:w="2116"/>
        <w:gridCol w:w="4125"/>
      </w:tblGrid>
      <w:tr>
        <w:tc>
          <w:tcPr>
            <w:tcW w:type="dxa" w:w="3397"/>
          </w:tcPr>
          <w:p>
            <w:pPr>
              <w:spacing w:after="0"/>
            </w:pPr>
            <w:r>
              <w:rPr>
                <w:rFonts w:ascii="Arial" w:hAnsi="Arial" w:eastAsia="Arial"/>
                <w:b/>
                <w:color w:val="000000"/>
                <w:sz w:val="24"/>
              </w:rPr>
              <w:t>Test</w:t>
            </w:r>
          </w:p>
        </w:tc>
        <w:tc>
          <w:tcPr>
            <w:tcW w:type="dxa" w:w="2116"/>
          </w:tcPr>
          <w:p>
            <w:pPr>
              <w:spacing w:after="0"/>
            </w:pPr>
            <w:r>
              <w:rPr>
                <w:rFonts w:ascii="Arial" w:hAnsi="Arial" w:eastAsia="Arial"/>
                <w:b/>
                <w:color w:val="000000"/>
                <w:sz w:val="24"/>
              </w:rPr>
              <w:t>Assignment case</w:t>
            </w:r>
          </w:p>
        </w:tc>
        <w:tc>
          <w:tcPr>
            <w:tcW w:type="dxa" w:w="4125"/>
          </w:tcPr>
          <w:p>
            <w:pPr>
              <w:spacing w:after="0"/>
            </w:pPr>
            <w:r>
              <w:rPr>
                <w:rFonts w:ascii="Arial" w:hAnsi="Arial" w:eastAsia="Arial"/>
                <w:b/>
                <w:color w:val="000000"/>
                <w:sz w:val="24"/>
              </w:rPr>
              <w:t>What it proves</w:t>
            </w:r>
          </w:p>
        </w:tc>
      </w:tr>
      <w:tr>
        <w:tc>
          <w:tcPr>
            <w:tcW w:type="dxa" w:w="3397"/>
          </w:tcPr>
          <w:p>
            <w:pPr>
              <w:spacing w:after="0"/>
            </w:pPr>
            <w:r>
              <w:rPr>
                <w:rFonts w:ascii="Arial" w:hAnsi="Arial" w:eastAsia="Arial"/>
                <w:b w:val="0"/>
                <w:color w:val="000000"/>
                <w:sz w:val="24"/>
              </w:rPr>
              <w:t xml:space="preserve">GT-01 </w:t>
            </w:r>
            <w:r>
              <w:rPr>
                <w:rFonts w:ascii="Arial" w:hAnsi="Arial" w:eastAsia="Arial"/>
                <w:b w:val="0"/>
                <w:color w:val="000000"/>
                <w:sz w:val="24"/>
              </w:rPr>
              <w:t>gt01-two-tier-brackets</w:t>
            </w:r>
          </w:p>
        </w:tc>
        <w:tc>
          <w:tcPr>
            <w:tcW w:type="dxa" w:w="2116"/>
          </w:tcPr>
          <w:p>
            <w:pPr>
              <w:spacing w:after="0"/>
            </w:pPr>
            <w:r>
              <w:rPr>
                <w:rFonts w:ascii="Arial" w:hAnsi="Arial" w:eastAsia="Arial"/>
                <w:b w:val="0"/>
                <w:color w:val="000000"/>
                <w:sz w:val="24"/>
              </w:rPr>
              <w:t>A discount in two brackets</w:t>
            </w:r>
          </w:p>
        </w:tc>
        <w:tc>
          <w:tcPr>
            <w:tcW w:type="dxa" w:w="4125"/>
          </w:tcPr>
          <w:p>
            <w:pPr>
              <w:spacing w:after="0"/>
            </w:pPr>
            <w:r>
              <w:rPr>
                <w:rFonts w:ascii="Arial" w:hAnsi="Arial" w:eastAsia="Arial"/>
                <w:b w:val="0"/>
                <w:color w:val="000000"/>
                <w:sz w:val="24"/>
              </w:rPr>
              <w:t xml:space="preserve">25 colas of 350 ml at 2,500, brackets 10–19 → 5% and 20+ → 10%: 1,250 + 1,500 = 2,750 in one </w:t>
            </w:r>
            <w:r>
              <w:rPr>
                <w:rFonts w:ascii="Arial" w:hAnsi="Arial" w:eastAsia="Arial"/>
                <w:b w:val="0"/>
                <w:color w:val="000000"/>
                <w:sz w:val="24"/>
              </w:rPr>
              <w:t>TIER</w:t>
            </w:r>
            <w:r>
              <w:rPr>
                <w:rFonts w:ascii="Arial" w:hAnsi="Arial" w:eastAsia="Arial"/>
                <w:b w:val="0"/>
                <w:color w:val="000000"/>
                <w:sz w:val="24"/>
              </w:rPr>
              <w:t xml:space="preserve"> entry. Tax 19% of 59,750 = 11,352.50 → 11,353. Total 71,103. Marginal brackets, rounded once per line</w:t>
            </w:r>
          </w:p>
        </w:tc>
      </w:tr>
      <w:tr>
        <w:tc>
          <w:tcPr>
            <w:tcW w:type="dxa" w:w="3397"/>
          </w:tcPr>
          <w:p>
            <w:pPr>
              <w:spacing w:after="0"/>
            </w:pPr>
            <w:r>
              <w:rPr>
                <w:rFonts w:ascii="Arial" w:hAnsi="Arial" w:eastAsia="Arial"/>
                <w:b w:val="0"/>
                <w:color w:val="000000"/>
                <w:sz w:val="24"/>
              </w:rPr>
              <w:t xml:space="preserve">GT-02 </w:t>
            </w:r>
            <w:r>
              <w:rPr>
                <w:rFonts w:ascii="Arial" w:hAnsi="Arial" w:eastAsia="Arial"/>
                <w:b w:val="0"/>
                <w:color w:val="000000"/>
                <w:sz w:val="24"/>
              </w:rPr>
              <w:t>gt02-combo-no-loose-discount</w:t>
            </w:r>
          </w:p>
        </w:tc>
        <w:tc>
          <w:tcPr>
            <w:tcW w:type="dxa" w:w="2116"/>
          </w:tcPr>
          <w:p>
            <w:pPr>
              <w:spacing w:after="0"/>
            </w:pPr>
            <w:r>
              <w:rPr>
                <w:rFonts w:ascii="Arial" w:hAnsi="Arial" w:eastAsia="Arial"/>
                <w:b w:val="0"/>
                <w:color w:val="000000"/>
                <w:sz w:val="24"/>
              </w:rPr>
              <w:t>A combo whose products are not a loose discount</w:t>
            </w:r>
          </w:p>
        </w:tc>
        <w:tc>
          <w:tcPr>
            <w:tcW w:type="dxa" w:w="4125"/>
          </w:tcPr>
          <w:p>
            <w:pPr>
              <w:spacing w:after="0"/>
            </w:pPr>
            <w:r>
              <w:rPr>
                <w:rFonts w:ascii="Arial" w:hAnsi="Arial" w:eastAsia="Arial"/>
                <w:b w:val="0"/>
                <w:color w:val="000000"/>
                <w:sz w:val="24"/>
              </w:rPr>
              <w:t xml:space="preserve">21 colas and 10 chips. The combo of 2 colas and 1 chips at 5,000 applies 10 times and consumes 20 colas and 10 chips: one </w:t>
            </w:r>
            <w:r>
              <w:rPr>
                <w:rFonts w:ascii="Arial" w:hAnsi="Arial" w:eastAsia="Arial"/>
                <w:b w:val="0"/>
                <w:color w:val="000000"/>
                <w:sz w:val="24"/>
              </w:rPr>
              <w:t>COMBO</w:t>
            </w:r>
            <w:r>
              <w:rPr>
                <w:rFonts w:ascii="Arial" w:hAnsi="Arial" w:eastAsia="Arial"/>
                <w:b w:val="0"/>
                <w:color w:val="000000"/>
                <w:sz w:val="24"/>
              </w:rPr>
              <w:t xml:space="preserve"> entry of 18,000. The cola left over stays in the first bracket, so no </w:t>
            </w:r>
            <w:r>
              <w:rPr>
                <w:rFonts w:ascii="Arial" w:hAnsi="Arial" w:eastAsia="Arial"/>
                <w:b w:val="0"/>
                <w:color w:val="000000"/>
                <w:sz w:val="24"/>
              </w:rPr>
              <w:t>TIER</w:t>
            </w:r>
            <w:r>
              <w:rPr>
                <w:rFonts w:ascii="Arial" w:hAnsi="Arial" w:eastAsia="Arial"/>
                <w:b w:val="0"/>
                <w:color w:val="000000"/>
                <w:sz w:val="24"/>
              </w:rPr>
              <w:t xml:space="preserve"> entry appears, although a tier rule is seeded on the same SKU and 21 colas alone would reach the 10% bracket. Total 60,622</w:t>
            </w:r>
          </w:p>
        </w:tc>
      </w:tr>
      <w:tr>
        <w:tc>
          <w:tcPr>
            <w:tcW w:type="dxa" w:w="3397"/>
          </w:tcPr>
          <w:p>
            <w:pPr>
              <w:spacing w:after="0"/>
            </w:pPr>
            <w:r>
              <w:rPr>
                <w:rFonts w:ascii="Arial" w:hAnsi="Arial" w:eastAsia="Arial"/>
                <w:b w:val="0"/>
                <w:color w:val="000000"/>
                <w:sz w:val="24"/>
              </w:rPr>
              <w:t xml:space="preserve">GT-03 </w:t>
            </w:r>
            <w:r>
              <w:rPr>
                <w:rFonts w:ascii="Arial" w:hAnsi="Arial" w:eastAsia="Arial"/>
                <w:b w:val="0"/>
                <w:color w:val="000000"/>
                <w:sz w:val="24"/>
              </w:rPr>
              <w:t>gt03-gift</w:t>
            </w:r>
          </w:p>
        </w:tc>
        <w:tc>
          <w:tcPr>
            <w:tcW w:type="dxa" w:w="2116"/>
          </w:tcPr>
          <w:p>
            <w:pPr>
              <w:spacing w:after="0"/>
            </w:pPr>
            <w:r>
              <w:rPr>
                <w:rFonts w:ascii="Arial" w:hAnsi="Arial" w:eastAsia="Arial"/>
                <w:b w:val="0"/>
                <w:color w:val="000000"/>
                <w:sz w:val="24"/>
              </w:rPr>
              <w:t>A gift with its quantity</w:t>
            </w:r>
          </w:p>
        </w:tc>
        <w:tc>
          <w:tcPr>
            <w:tcW w:type="dxa" w:w="4125"/>
          </w:tcPr>
          <w:p>
            <w:pPr>
              <w:spacing w:after="0"/>
            </w:pPr>
            <w:r>
              <w:rPr>
                <w:rFonts w:ascii="Arial" w:hAnsi="Arial" w:eastAsia="Arial"/>
                <w:b w:val="0"/>
                <w:color w:val="000000"/>
                <w:sz w:val="24"/>
              </w:rPr>
              <w:t xml:space="preserve">25 chips and 3 waters. The rule "one water free for every 10 snacks, repeatable" adds a separate gift line of 2 waters with </w:t>
            </w:r>
            <w:r>
              <w:rPr>
                <w:rFonts w:ascii="Arial" w:hAnsi="Arial" w:eastAsia="Arial"/>
                <w:b w:val="0"/>
                <w:color w:val="000000"/>
                <w:sz w:val="24"/>
              </w:rPr>
              <w:t>GIFT:&lt;id&gt;</w:t>
            </w:r>
            <w:r>
              <w:rPr>
                <w:rFonts w:ascii="Arial" w:hAnsi="Arial" w:eastAsia="Arial"/>
                <w:b w:val="0"/>
                <w:color w:val="000000"/>
                <w:sz w:val="24"/>
              </w:rPr>
              <w:t xml:space="preserve"> origin. Paid lines are unchanged. Colombia taxes gifts. Total 53,175</w:t>
            </w:r>
          </w:p>
        </w:tc>
      </w:tr>
      <w:tr>
        <w:tc>
          <w:tcPr>
            <w:tcW w:type="dxa" w:w="3397"/>
          </w:tcPr>
          <w:p>
            <w:pPr>
              <w:spacing w:after="0"/>
            </w:pPr>
            <w:r>
              <w:rPr>
                <w:rFonts w:ascii="Arial" w:hAnsi="Arial" w:eastAsia="Arial"/>
                <w:b w:val="0"/>
                <w:color w:val="000000"/>
                <w:sz w:val="24"/>
              </w:rPr>
              <w:t xml:space="preserve">GT-04 </w:t>
            </w:r>
            <w:r>
              <w:rPr>
                <w:rFonts w:ascii="Arial" w:hAnsi="Arial" w:eastAsia="Arial"/>
                <w:b w:val="0"/>
                <w:color w:val="000000"/>
                <w:sz w:val="24"/>
              </w:rPr>
              <w:t>gt04-combo-with-taxes</w:t>
            </w:r>
          </w:p>
        </w:tc>
        <w:tc>
          <w:tcPr>
            <w:tcW w:type="dxa" w:w="2116"/>
          </w:tcPr>
          <w:p>
            <w:pPr>
              <w:spacing w:after="0"/>
            </w:pPr>
            <w:r>
              <w:rPr>
                <w:rFonts w:ascii="Arial" w:hAnsi="Arial" w:eastAsia="Arial"/>
                <w:b w:val="0"/>
                <w:color w:val="000000"/>
                <w:sz w:val="24"/>
              </w:rPr>
              <w:t>A combo with taxes</w:t>
            </w:r>
          </w:p>
        </w:tc>
        <w:tc>
          <w:tcPr>
            <w:tcW w:type="dxa" w:w="4125"/>
          </w:tcPr>
          <w:p>
            <w:pPr>
              <w:spacing w:after="0"/>
            </w:pPr>
            <w:r>
              <w:rPr>
                <w:rFonts w:ascii="Arial" w:hAnsi="Arial" w:eastAsia="Arial"/>
                <w:b w:val="0"/>
                <w:color w:val="000000"/>
                <w:sz w:val="24"/>
              </w:rPr>
              <w:t>4 colas and 2 chips. The combo applies twice: a discount of 3,600, split 2,647 and 953 by largest remainder. Taxes 1,397 at 19% and 132 at 5%, so 1,529 enters the total: 11,529</w:t>
            </w:r>
          </w:p>
        </w:tc>
      </w:tr>
      <w:tr>
        <w:tc>
          <w:tcPr>
            <w:tcW w:type="dxa" w:w="3397"/>
          </w:tcPr>
          <w:p>
            <w:pPr>
              <w:spacing w:after="0"/>
            </w:pPr>
            <w:r>
              <w:rPr>
                <w:rFonts w:ascii="Arial" w:hAnsi="Arial" w:eastAsia="Arial"/>
                <w:b w:val="0"/>
                <w:color w:val="000000"/>
                <w:sz w:val="24"/>
              </w:rPr>
              <w:t xml:space="preserve">GT-05 </w:t>
            </w:r>
            <w:r>
              <w:rPr>
                <w:rFonts w:ascii="Arial" w:hAnsi="Arial" w:eastAsia="Arial"/>
                <w:b w:val="0"/>
                <w:color w:val="000000"/>
                <w:sz w:val="24"/>
              </w:rPr>
              <w:t>gt05-credit-exceeded</w:t>
            </w:r>
          </w:p>
        </w:tc>
        <w:tc>
          <w:tcPr>
            <w:tcW w:type="dxa" w:w="2116"/>
          </w:tcPr>
          <w:p>
            <w:pPr>
              <w:spacing w:after="0"/>
            </w:pPr>
            <w:r>
              <w:rPr>
                <w:rFonts w:ascii="Arial" w:hAnsi="Arial" w:eastAsia="Arial"/>
                <w:b w:val="0"/>
                <w:color w:val="000000"/>
                <w:sz w:val="24"/>
              </w:rPr>
              <w:t>A credit order over the limit</w:t>
            </w:r>
          </w:p>
        </w:tc>
        <w:tc>
          <w:tcPr>
            <w:tcW w:type="dxa" w:w="4125"/>
          </w:tcPr>
          <w:p>
            <w:pPr>
              <w:spacing w:after="0"/>
            </w:pPr>
            <w:r>
              <w:rPr>
                <w:rFonts w:ascii="Arial" w:hAnsi="Arial" w:eastAsia="Arial"/>
                <w:b w:val="0"/>
                <w:color w:val="000000"/>
                <w:sz w:val="24"/>
              </w:rPr>
              <w:t xml:space="preserve">A credit quote of 40 waters and 60 colas of 1.5 l totals 442,680 against 400,000 available: </w:t>
            </w:r>
            <w:r>
              <w:rPr>
                <w:rFonts w:ascii="Arial" w:hAnsi="Arial" w:eastAsia="Arial"/>
                <w:b w:val="0"/>
                <w:color w:val="000000"/>
                <w:sz w:val="24"/>
              </w:rPr>
              <w:t>fits=false</w:t>
            </w:r>
            <w:r>
              <w:rPr>
                <w:rFonts w:ascii="Arial" w:hAnsi="Arial" w:eastAsia="Arial"/>
                <w:b w:val="0"/>
                <w:color w:val="000000"/>
                <w:sz w:val="24"/>
              </w:rPr>
              <w:t>, shortfall 42,680. It runs through the quote use case (</w:t>
            </w:r>
            <w:r>
              <w:rPr>
                <w:rFonts w:ascii="Arial" w:hAnsi="Arial" w:eastAsia="Arial"/>
                <w:b w:val="0"/>
                <w:color w:val="000000"/>
                <w:sz w:val="24"/>
              </w:rPr>
              <w:t>GoldenQuoteTest#gt05</w:t>
            </w:r>
            <w:r>
              <w:rPr>
                <w:rFonts w:ascii="Arial" w:hAnsi="Arial" w:eastAsia="Arial"/>
                <w:b w:val="0"/>
                <w:color w:val="000000"/>
                <w:sz w:val="24"/>
              </w:rPr>
              <w:t xml:space="preserve">), because credit is outside the pure engine. Its companion </w:t>
            </w:r>
            <w:r>
              <w:rPr>
                <w:rFonts w:ascii="Arial" w:hAnsi="Arial" w:eastAsia="Arial"/>
                <w:b w:val="0"/>
                <w:color w:val="000000"/>
                <w:sz w:val="24"/>
              </w:rPr>
              <w:t>CreditLimitIT</w:t>
            </w:r>
            <w:r>
              <w:rPr>
                <w:rFonts w:ascii="Arial" w:hAnsi="Arial" w:eastAsia="Arial"/>
                <w:b w:val="0"/>
                <w:color w:val="000000"/>
                <w:sz w:val="24"/>
              </w:rPr>
              <w:t xml:space="preserve"> confirms it: 409 </w:t>
            </w:r>
            <w:r>
              <w:rPr>
                <w:rFonts w:ascii="Arial" w:hAnsi="Arial" w:eastAsia="Arial"/>
                <w:b w:val="0"/>
                <w:color w:val="000000"/>
                <w:sz w:val="24"/>
              </w:rPr>
              <w:t>CREDIT_LIMIT_EXCEEDED</w:t>
            </w:r>
            <w:r>
              <w:rPr>
                <w:rFonts w:ascii="Arial" w:hAnsi="Arial" w:eastAsia="Arial"/>
                <w:b w:val="0"/>
                <w:color w:val="000000"/>
                <w:sz w:val="24"/>
              </w:rPr>
              <w:t>, with no order and no ledger row</w:t>
            </w:r>
          </w:p>
        </w:tc>
      </w:tr>
      <w:tr>
        <w:tc>
          <w:tcPr>
            <w:tcW w:type="dxa" w:w="3397"/>
          </w:tcPr>
          <w:p>
            <w:pPr>
              <w:spacing w:after="0"/>
            </w:pPr>
            <w:r>
              <w:rPr>
                <w:rFonts w:ascii="Arial" w:hAnsi="Arial" w:eastAsia="Arial"/>
                <w:b w:val="0"/>
                <w:color w:val="000000"/>
                <w:sz w:val="24"/>
              </w:rPr>
              <w:t xml:space="preserve">GT-06 </w:t>
            </w:r>
            <w:r>
              <w:rPr>
                <w:rFonts w:ascii="Arial" w:hAnsi="Arial" w:eastAsia="Arial"/>
                <w:b w:val="0"/>
                <w:color w:val="000000"/>
                <w:sz w:val="24"/>
              </w:rPr>
              <w:t>QuoteConfirmRegressionIT</w:t>
            </w:r>
          </w:p>
        </w:tc>
        <w:tc>
          <w:tcPr>
            <w:tcW w:type="dxa" w:w="2116"/>
          </w:tcPr>
          <w:p>
            <w:pPr>
              <w:spacing w:after="0"/>
            </w:pPr>
            <w:r>
              <w:rPr>
                <w:rFonts w:ascii="Arial" w:hAnsi="Arial" w:eastAsia="Arial"/>
                <w:b w:val="0"/>
                <w:color w:val="000000"/>
                <w:sz w:val="24"/>
              </w:rPr>
              <w:t>Quote and confirm give the same total</w:t>
            </w:r>
          </w:p>
        </w:tc>
        <w:tc>
          <w:tcPr>
            <w:tcW w:type="dxa" w:w="4125"/>
          </w:tcPr>
          <w:p>
            <w:pPr>
              <w:spacing w:after="0"/>
            </w:pPr>
            <w:r>
              <w:rPr>
                <w:rFonts w:ascii="Arial" w:hAnsi="Arial" w:eastAsia="Arial"/>
                <w:b w:val="0"/>
                <w:color w:val="000000"/>
                <w:sz w:val="24"/>
              </w:rPr>
              <w:t xml:space="preserve">Against PostgreSQL and the seeds. Between quote and confirmation the chips price changes and the levers are deactivated. The confirmed total equals the quoted total, </w:t>
            </w:r>
            <w:r>
              <w:rPr>
                <w:rFonts w:ascii="Arial" w:hAnsi="Arial" w:eastAsia="Arial"/>
                <w:b/>
                <w:color w:val="000000"/>
                <w:sz w:val="24"/>
              </w:rPr>
              <w:t>and</w:t>
            </w:r>
            <w:r>
              <w:rPr>
                <w:rFonts w:ascii="Arial" w:hAnsi="Arial" w:eastAsia="Arial"/>
                <w:b w:val="0"/>
                <w:color w:val="000000"/>
                <w:sz w:val="24"/>
              </w:rPr>
              <w:t xml:space="preserve"> a fresh quote of the same cart differs, which proves the test can fail. A second case shows that the sealed quote keeps its combo, tier and gift</w:t>
            </w:r>
          </w:p>
        </w:tc>
      </w:tr>
    </w:tbl>
    <w:p>
      <w:pPr>
        <w:spacing w:before="120"/>
      </w:pPr>
      <w:r>
        <w:rPr>
          <w:rFonts w:ascii="Arial" w:hAnsi="Arial" w:eastAsia="Arial"/>
          <w:b w:val="0"/>
          <w:color w:val="000000"/>
          <w:sz w:val="24"/>
        </w:rPr>
        <w:t xml:space="preserve">More cases run in the same harness: both gift tax policies, </w:t>
      </w:r>
      <w:r>
        <w:rPr>
          <w:rFonts w:ascii="Arial" w:hAnsi="Arial" w:eastAsia="Arial"/>
          <w:b w:val="0"/>
          <w:color w:val="000000"/>
          <w:sz w:val="24"/>
        </w:rPr>
        <w:t>.5</w:t>
      </w:r>
      <w:r>
        <w:rPr>
          <w:rFonts w:ascii="Arial" w:hAnsi="Arial" w:eastAsia="Arial"/>
          <w:b w:val="0"/>
          <w:color w:val="000000"/>
          <w:sz w:val="24"/>
        </w:rPr>
        <w:t xml:space="preserve"> rounding edges, the same cart in Colombia (scale 0) and Ecuador (scale 2), and carts without levers. </w:t>
      </w:r>
      <w:r>
        <w:rPr>
          <w:rFonts w:ascii="Arial" w:hAnsi="Arial" w:eastAsia="Arial"/>
          <w:b w:val="0"/>
          <w:color w:val="000000"/>
          <w:sz w:val="24"/>
        </w:rPr>
        <w:t>TierPrecedenceTest</w:t>
      </w:r>
      <w:r>
        <w:rPr>
          <w:rFonts w:ascii="Arial" w:hAnsi="Arial" w:eastAsia="Arial"/>
          <w:b w:val="0"/>
          <w:color w:val="000000"/>
          <w:sz w:val="24"/>
        </w:rPr>
        <w:t xml:space="preserve"> proves that a SKU rule beats a family rule.</w:t>
      </w:r>
    </w:p>
    <w:p>
      <w:pPr>
        <w:pStyle w:val="Heading2"/>
        <w:keepNext/>
        <w:spacing w:before="160" w:after="80"/>
      </w:pPr>
      <w:r>
        <w:rPr>
          <w:rFonts w:ascii="Arial" w:hAnsi="Arial" w:eastAsia="Arial"/>
          <w:b/>
          <w:color w:val="000000"/>
          <w:sz w:val="24"/>
        </w:rPr>
        <w:t>6. The idempotent order (A2) step by step</w:t>
      </w:r>
    </w:p>
    <w:p>
      <w:pPr>
        <w:pStyle w:val="Heading3"/>
        <w:keepNext/>
        <w:spacing w:before="160" w:after="80"/>
      </w:pPr>
      <w:r>
        <w:rPr>
          <w:rFonts w:ascii="Arial" w:hAnsi="Arial" w:eastAsia="Arial"/>
          <w:b/>
          <w:color w:val="000000"/>
          <w:sz w:val="24"/>
        </w:rPr>
        <w:t>6.1 The sealed quote</w:t>
      </w:r>
    </w:p>
    <w:p>
      <w:r>
        <w:rPr>
          <w:rFonts w:ascii="Arial" w:hAnsi="Arial" w:eastAsia="Arial"/>
          <w:b w:val="0"/>
          <w:color w:val="000000"/>
          <w:sz w:val="24"/>
        </w:rPr>
        <w:t>POST /api/v1/quotes</w:t>
      </w:r>
      <w:r>
        <w:rPr>
          <w:rFonts w:ascii="Arial" w:hAnsi="Arial" w:eastAsia="Arial"/>
          <w:b w:val="0"/>
          <w:color w:val="000000"/>
          <w:sz w:val="24"/>
        </w:rPr>
        <w:t xml:space="preserve"> normalizes the cart, resolves the snapshot, runs the engine and inserts the quote, its lines and their discount components. Every line keeps the unit price and tax rate in force at that moment, and the rounded taxable base and tax. These rows are insert-only: no UPDATE statement exists for quotes.</w:t>
      </w:r>
    </w:p>
    <w:p>
      <w:r>
        <w:rPr>
          <w:rFonts w:ascii="Arial" w:hAnsi="Arial" w:eastAsia="Arial"/>
          <w:b w:val="0"/>
          <w:color w:val="000000"/>
          <w:sz w:val="24"/>
        </w:rPr>
        <w:t>POST /api/v1/orders</w:t>
      </w:r>
      <w:r>
        <w:rPr>
          <w:rFonts w:ascii="Arial" w:hAnsi="Arial" w:eastAsia="Arial"/>
          <w:b w:val="0"/>
          <w:color w:val="000000"/>
          <w:sz w:val="24"/>
        </w:rPr>
        <w:t xml:space="preserve"> writes no amount. The order row holds its number, its quote, its customer and its confirmation time. Its breakdown is rendered from the quote lines, so every figure exists once, and the confirmed total is the quoted total by construction. The engine is never run again at confirmation: if it were, a deployment that changed the engine would change every open quote. The quote's state is derived, never stored: </w:t>
      </w:r>
      <w:r>
        <w:rPr>
          <w:rFonts w:ascii="Arial" w:hAnsi="Arial" w:eastAsia="Arial"/>
          <w:b w:val="0"/>
          <w:color w:val="000000"/>
          <w:sz w:val="24"/>
        </w:rPr>
        <w:t>CONFIRMED</w:t>
      </w:r>
      <w:r>
        <w:rPr>
          <w:rFonts w:ascii="Arial" w:hAnsi="Arial" w:eastAsia="Arial"/>
          <w:b w:val="0"/>
          <w:color w:val="000000"/>
          <w:sz w:val="24"/>
        </w:rPr>
        <w:t xml:space="preserve"> when an order exists, otherwise </w:t>
      </w:r>
      <w:r>
        <w:rPr>
          <w:rFonts w:ascii="Arial" w:hAnsi="Arial" w:eastAsia="Arial"/>
          <w:b w:val="0"/>
          <w:color w:val="000000"/>
          <w:sz w:val="24"/>
        </w:rPr>
        <w:t>EXPIRED</w:t>
      </w:r>
      <w:r>
        <w:rPr>
          <w:rFonts w:ascii="Arial" w:hAnsi="Arial" w:eastAsia="Arial"/>
          <w:b w:val="0"/>
          <w:color w:val="000000"/>
          <w:sz w:val="24"/>
        </w:rPr>
        <w:t xml:space="preserve"> after </w:t>
      </w:r>
      <w:r>
        <w:rPr>
          <w:rFonts w:ascii="Arial" w:hAnsi="Arial" w:eastAsia="Arial"/>
          <w:b w:val="0"/>
          <w:color w:val="000000"/>
          <w:sz w:val="24"/>
        </w:rPr>
        <w:t>expiresAt</w:t>
      </w:r>
      <w:r>
        <w:rPr>
          <w:rFonts w:ascii="Arial" w:hAnsi="Arial" w:eastAsia="Arial"/>
          <w:b w:val="0"/>
          <w:color w:val="000000"/>
          <w:sz w:val="24"/>
        </w:rPr>
        <w:t xml:space="preserve">, otherwise </w:t>
      </w:r>
      <w:r>
        <w:rPr>
          <w:rFonts w:ascii="Arial" w:hAnsi="Arial" w:eastAsia="Arial"/>
          <w:b w:val="0"/>
          <w:color w:val="000000"/>
          <w:sz w:val="24"/>
        </w:rPr>
        <w:t>OPEN</w:t>
      </w:r>
      <w:r>
        <w:rPr>
          <w:rFonts w:ascii="Arial" w:hAnsi="Arial" w:eastAsia="Arial"/>
          <w:b w:val="0"/>
          <w:color w:val="000000"/>
          <w:sz w:val="24"/>
        </w:rPr>
        <w: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708"/>
        <w:gridCol w:w="4930"/>
      </w:tblGrid>
      <w:tr>
        <w:tc>
          <w:tcPr>
            <w:tcW w:type="dxa" w:w="4708"/>
          </w:tcPr>
          <w:p>
            <w:pPr>
              <w:spacing w:after="0"/>
            </w:pPr>
            <w:r>
              <w:rPr>
                <w:rFonts w:ascii="Arial" w:hAnsi="Arial" w:eastAsia="Arial"/>
                <w:b/>
                <w:color w:val="000000"/>
                <w:sz w:val="24"/>
              </w:rPr>
              <w:t>Rejected alternative</w:t>
            </w:r>
          </w:p>
        </w:tc>
        <w:tc>
          <w:tcPr>
            <w:tcW w:type="dxa" w:w="4930"/>
          </w:tcPr>
          <w:p>
            <w:pPr>
              <w:spacing w:after="0"/>
            </w:pPr>
            <w:r>
              <w:rPr>
                <w:rFonts w:ascii="Arial" w:hAnsi="Arial" w:eastAsia="Arial"/>
                <w:b/>
                <w:color w:val="000000"/>
                <w:sz w:val="24"/>
              </w:rPr>
              <w:t>Why</w:t>
            </w:r>
          </w:p>
        </w:tc>
      </w:tr>
      <w:tr>
        <w:tc>
          <w:tcPr>
            <w:tcW w:type="dxa" w:w="4708"/>
          </w:tcPr>
          <w:p>
            <w:pPr>
              <w:spacing w:after="0"/>
            </w:pPr>
            <w:r>
              <w:rPr>
                <w:rFonts w:ascii="Arial" w:hAnsi="Arial" w:eastAsia="Arial"/>
                <w:b w:val="0"/>
                <w:color w:val="000000"/>
                <w:sz w:val="24"/>
              </w:rPr>
              <w:t>Copy the breakdown into the order</w:t>
            </w:r>
          </w:p>
        </w:tc>
        <w:tc>
          <w:tcPr>
            <w:tcW w:type="dxa" w:w="4930"/>
          </w:tcPr>
          <w:p>
            <w:pPr>
              <w:spacing w:after="0"/>
            </w:pPr>
            <w:r>
              <w:rPr>
                <w:rFonts w:ascii="Arial" w:hAnsi="Arial" w:eastAsia="Arial"/>
                <w:b w:val="0"/>
                <w:color w:val="000000"/>
                <w:sz w:val="24"/>
              </w:rPr>
              <w:t>Two copies can diverge</w:t>
            </w:r>
          </w:p>
        </w:tc>
      </w:tr>
      <w:tr>
        <w:tc>
          <w:tcPr>
            <w:tcW w:type="dxa" w:w="4708"/>
          </w:tcPr>
          <w:p>
            <w:pPr>
              <w:spacing w:after="0"/>
            </w:pPr>
            <w:r>
              <w:rPr>
                <w:rFonts w:ascii="Arial" w:hAnsi="Arial" w:eastAsia="Arial"/>
                <w:b w:val="0"/>
                <w:color w:val="000000"/>
                <w:sz w:val="24"/>
              </w:rPr>
              <w:t>Recompute at confirmation and compare</w:t>
            </w:r>
          </w:p>
        </w:tc>
        <w:tc>
          <w:tcPr>
            <w:tcW w:type="dxa" w:w="4930"/>
          </w:tcPr>
          <w:p>
            <w:pPr>
              <w:spacing w:after="0"/>
            </w:pPr>
            <w:r>
              <w:rPr>
                <w:rFonts w:ascii="Arial" w:hAnsi="Arial" w:eastAsia="Arial"/>
                <w:b w:val="0"/>
                <w:color w:val="000000"/>
                <w:sz w:val="24"/>
              </w:rPr>
              <w:t>It fails whenever a price or lever changes</w:t>
            </w:r>
          </w:p>
        </w:tc>
      </w:tr>
      <w:tr>
        <w:tc>
          <w:tcPr>
            <w:tcW w:type="dxa" w:w="4708"/>
          </w:tcPr>
          <w:p>
            <w:pPr>
              <w:spacing w:after="0"/>
            </w:pPr>
            <w:r>
              <w:rPr>
                <w:rFonts w:ascii="Arial" w:hAnsi="Arial" w:eastAsia="Arial"/>
                <w:b w:val="0"/>
                <w:color w:val="000000"/>
                <w:sz w:val="24"/>
              </w:rPr>
              <w:t>Lock prices while quotes are open</w:t>
            </w:r>
          </w:p>
        </w:tc>
        <w:tc>
          <w:tcPr>
            <w:tcW w:type="dxa" w:w="4930"/>
          </w:tcPr>
          <w:p>
            <w:pPr>
              <w:spacing w:after="0"/>
            </w:pPr>
            <w:r>
              <w:rPr>
                <w:rFonts w:ascii="Arial" w:hAnsi="Arial" w:eastAsia="Arial"/>
                <w:b w:val="0"/>
                <w:color w:val="000000"/>
                <w:sz w:val="24"/>
              </w:rPr>
              <w:t>It blocks catalog updates</w:t>
            </w:r>
          </w:p>
        </w:tc>
      </w:tr>
    </w:tbl>
    <w:p>
      <w:pPr>
        <w:spacing w:before="120"/>
      </w:pPr>
      <w:r>
        <w:rPr>
          <w:rFonts w:ascii="Arial" w:hAnsi="Arial" w:eastAsia="Arial"/>
          <w:b w:val="0"/>
          <w:color w:val="000000"/>
          <w:sz w:val="24"/>
        </w:rPr>
        <w:t>The trade-off is explicit: a price change applies to new quotes only, and an open quote keeps its price until it expires, 15 minutes by default. That is the risk recorded in the ADR.</w:t>
      </w:r>
    </w:p>
    <w:p>
      <w:pPr>
        <w:pStyle w:val="Heading3"/>
        <w:keepNext/>
        <w:spacing w:before="160" w:after="80"/>
      </w:pPr>
      <w:r>
        <w:rPr>
          <w:rFonts w:ascii="Arial" w:hAnsi="Arial" w:eastAsia="Arial"/>
          <w:b/>
          <w:color w:val="000000"/>
          <w:sz w:val="24"/>
        </w:rPr>
        <w:t>6.2 One transaction</w:t>
      </w:r>
    </w:p>
    <w:p>
      <w:pPr>
        <w:keepNext/>
        <w:spacing w:before="120" w:after="40"/>
        <w:jc w:val="center"/>
      </w:pPr>
      <w:r>
        <w:drawing>
          <wp:inline xmlns:a="http://schemas.openxmlformats.org/drawingml/2006/main" xmlns:pic="http://schemas.openxmlformats.org/drawingml/2006/picture" distT="0" distB="0" distL="0" distR="0">
            <wp:extent cx="6120130" cy="4326299"/>
            <wp:docPr id="2" name="Picture 2"/>
            <wp:cNvGraphicFramePr>
              <a:graphicFrameLocks noChangeAspect="1"/>
            </wp:cNvGraphicFramePr>
            <a:graphic>
              <a:graphicData uri="http://schemas.openxmlformats.org/drawingml/2006/picture">
                <pic:pic>
                  <pic:nvPicPr>
                    <pic:cNvPr id="0" name="07-confirm-transaction.png"/>
                    <pic:cNvPicPr/>
                  </pic:nvPicPr>
                  <pic:blipFill>
                    <a:blip r:embed="rId11"/>
                    <a:stretch>
                      <a:fillRect/>
                    </a:stretch>
                  </pic:blipFill>
                  <pic:spPr>
                    <a:xfrm>
                      <a:off x="0" y="0"/>
                      <a:ext cx="6120130" cy="4326299"/>
                    </a:xfrm>
                    <a:prstGeom prst="rect"/>
                  </pic:spPr>
                </pic:pic>
              </a:graphicData>
            </a:graphic>
          </wp:inline>
        </w:drawing>
      </w:r>
    </w:p>
    <w:p>
      <w:pPr>
        <w:spacing w:after="160"/>
        <w:jc w:val="center"/>
      </w:pPr>
      <w:r>
        <w:rPr>
          <w:rFonts w:ascii="Arial" w:hAnsi="Arial" w:eastAsia="Arial"/>
          <w:b/>
          <w:color w:val="000000"/>
          <w:sz w:val="24"/>
        </w:rPr>
        <w:t>Figure 2.</w:t>
      </w:r>
      <w:r>
        <w:rPr>
          <w:rFonts w:ascii="Arial" w:hAnsi="Arial" w:eastAsia="Arial"/>
          <w:b w:val="0"/>
          <w:color w:val="000000"/>
          <w:sz w:val="24"/>
        </w:rPr>
        <w:t xml:space="preserve"> </w:t>
      </w:r>
      <w:r>
        <w:rPr>
          <w:rFonts w:ascii="Arial" w:hAnsi="Arial" w:eastAsia="Arial"/>
          <w:b w:val="0"/>
          <w:color w:val="000000"/>
          <w:sz w:val="24"/>
        </w:rPr>
        <w:t>Confirmation: one transaction, and the reply only after commit</w:t>
      </w:r>
    </w:p>
    <w:p>
      <w:r>
        <w:rPr>
          <w:rFonts w:ascii="Arial" w:hAnsi="Arial" w:eastAsia="Arial"/>
          <w:b w:val="0"/>
          <w:color w:val="000000"/>
          <w:sz w:val="24"/>
        </w:rPr>
        <w:t xml:space="preserve">A confirmation is one ACID transaction in PostgreSQL, under READ COMMITTED with explicit row locks and a </w:t>
      </w:r>
      <w:r>
        <w:rPr>
          <w:rFonts w:ascii="Arial" w:hAnsi="Arial" w:eastAsia="Arial"/>
          <w:b w:val="0"/>
          <w:color w:val="000000"/>
          <w:sz w:val="24"/>
        </w:rPr>
        <w:t>lock_timeout</w:t>
      </w:r>
      <w:r>
        <w:rPr>
          <w:rFonts w:ascii="Arial" w:hAnsi="Arial" w:eastAsia="Arial"/>
          <w:b w:val="0"/>
          <w:color w:val="000000"/>
          <w:sz w:val="24"/>
        </w:rPr>
        <w:t>. Locks are always taken in the same order, idempotency key → quote → credit account, so concurrent confirmations cannot deadlock.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646"/>
        <w:gridCol w:w="4013"/>
      </w:tblGrid>
      <w:tr>
        <w:tc>
          <w:tcPr>
            <w:tcW w:type="dxa" w:w="980"/>
          </w:tcPr>
          <w:p>
            <w:pPr>
              <w:spacing w:after="0"/>
            </w:pPr>
            <w:r>
              <w:rPr>
                <w:rFonts w:ascii="Arial" w:hAnsi="Arial" w:eastAsia="Arial"/>
                <w:b/>
                <w:color w:val="000000"/>
                <w:sz w:val="24"/>
              </w:rPr>
              <w:t>Step</w:t>
            </w:r>
          </w:p>
        </w:tc>
        <w:tc>
          <w:tcPr>
            <w:tcW w:type="dxa" w:w="4646"/>
          </w:tcPr>
          <w:p>
            <w:pPr>
              <w:spacing w:after="0"/>
            </w:pPr>
            <w:r>
              <w:rPr>
                <w:rFonts w:ascii="Arial" w:hAnsi="Arial" w:eastAsia="Arial"/>
                <w:b/>
                <w:color w:val="000000"/>
                <w:sz w:val="24"/>
              </w:rPr>
              <w:t>Action</w:t>
            </w:r>
          </w:p>
        </w:tc>
        <w:tc>
          <w:tcPr>
            <w:tcW w:type="dxa" w:w="4013"/>
          </w:tcPr>
          <w:p>
            <w:pPr>
              <w:spacing w:after="0"/>
            </w:pPr>
            <w:r>
              <w:rPr>
                <w:rFonts w:ascii="Arial" w:hAnsi="Arial" w:eastAsia="Arial"/>
                <w:b/>
                <w:color w:val="000000"/>
                <w:sz w:val="24"/>
              </w:rPr>
              <w:t>Guarantee</w:t>
            </w:r>
          </w:p>
        </w:tc>
      </w:tr>
      <w:tr>
        <w:tc>
          <w:tcPr>
            <w:tcW w:type="dxa" w:w="980"/>
          </w:tcPr>
          <w:p>
            <w:pPr>
              <w:spacing w:after="0"/>
            </w:pPr>
            <w:r>
              <w:rPr>
                <w:rFonts w:ascii="Arial" w:hAnsi="Arial" w:eastAsia="Arial"/>
                <w:b w:val="0"/>
                <w:color w:val="000000"/>
                <w:sz w:val="24"/>
              </w:rPr>
              <w:t>1</w:t>
            </w:r>
          </w:p>
        </w:tc>
        <w:tc>
          <w:tcPr>
            <w:tcW w:type="dxa" w:w="4646"/>
          </w:tcPr>
          <w:p>
            <w:pPr>
              <w:spacing w:after="0"/>
            </w:pPr>
            <w:r>
              <w:rPr>
                <w:rFonts w:ascii="Arial" w:hAnsi="Arial" w:eastAsia="Arial"/>
                <w:b w:val="0"/>
                <w:color w:val="000000"/>
                <w:sz w:val="24"/>
              </w:rPr>
              <w:t xml:space="preserve">Insert the idempotency key with </w:t>
            </w:r>
            <w:r>
              <w:rPr>
                <w:rFonts w:ascii="Arial" w:hAnsi="Arial" w:eastAsia="Arial"/>
                <w:b w:val="0"/>
                <w:color w:val="000000"/>
                <w:sz w:val="24"/>
              </w:rPr>
              <w:t>ON CONFLICT DO NOTHING</w:t>
            </w:r>
            <w:r>
              <w:rPr>
                <w:rFonts w:ascii="Arial" w:hAnsi="Arial" w:eastAsia="Arial"/>
                <w:b w:val="0"/>
                <w:color w:val="000000"/>
                <w:sz w:val="24"/>
              </w:rPr>
              <w:t>, then read it back</w:t>
            </w:r>
          </w:p>
        </w:tc>
        <w:tc>
          <w:tcPr>
            <w:tcW w:type="dxa" w:w="4013"/>
          </w:tcPr>
          <w:p>
            <w:pPr>
              <w:spacing w:after="0"/>
            </w:pPr>
            <w:r>
              <w:rPr>
                <w:rFonts w:ascii="Arial" w:hAnsi="Arial" w:eastAsia="Arial"/>
                <w:b w:val="0"/>
                <w:color w:val="000000"/>
                <w:sz w:val="24"/>
              </w:rPr>
              <w:t>One owner per key. A concurrent duplicate waits on the uncommitted unique entry</w:t>
            </w:r>
          </w:p>
        </w:tc>
      </w:tr>
      <w:tr>
        <w:tc>
          <w:tcPr>
            <w:tcW w:type="dxa" w:w="980"/>
          </w:tcPr>
          <w:p>
            <w:pPr>
              <w:spacing w:after="0"/>
            </w:pPr>
            <w:r>
              <w:rPr>
                <w:rFonts w:ascii="Arial" w:hAnsi="Arial" w:eastAsia="Arial"/>
                <w:b w:val="0"/>
                <w:color w:val="000000"/>
                <w:sz w:val="24"/>
              </w:rPr>
              <w:t>2</w:t>
            </w:r>
          </w:p>
        </w:tc>
        <w:tc>
          <w:tcPr>
            <w:tcW w:type="dxa" w:w="4646"/>
          </w:tcPr>
          <w:p>
            <w:pPr>
              <w:spacing w:after="0"/>
            </w:pPr>
            <w:r>
              <w:rPr>
                <w:rFonts w:ascii="Arial" w:hAnsi="Arial" w:eastAsia="Arial"/>
                <w:b w:val="0"/>
                <w:color w:val="000000"/>
                <w:sz w:val="24"/>
              </w:rPr>
              <w:t xml:space="preserve">Lock the quote with </w:t>
            </w:r>
            <w:r>
              <w:rPr>
                <w:rFonts w:ascii="Arial" w:hAnsi="Arial" w:eastAsia="Arial"/>
                <w:b w:val="0"/>
                <w:color w:val="000000"/>
                <w:sz w:val="24"/>
              </w:rPr>
              <w:t>SELECT … FOR UPDATE</w:t>
            </w:r>
            <w:r>
              <w:rPr>
                <w:rFonts w:ascii="Arial" w:hAnsi="Arial" w:eastAsia="Arial"/>
                <w:b w:val="0"/>
                <w:color w:val="000000"/>
                <w:sz w:val="24"/>
              </w:rPr>
              <w:t>; check its owner, that it has no order and that it has not expired</w:t>
            </w:r>
          </w:p>
        </w:tc>
        <w:tc>
          <w:tcPr>
            <w:tcW w:type="dxa" w:w="4013"/>
          </w:tcPr>
          <w:p>
            <w:pPr>
              <w:spacing w:after="0"/>
            </w:pPr>
            <w:r>
              <w:rPr>
                <w:rFonts w:ascii="Arial" w:hAnsi="Arial" w:eastAsia="Arial"/>
                <w:b w:val="0"/>
                <w:color w:val="000000"/>
                <w:sz w:val="24"/>
              </w:rPr>
              <w:t>One confirmation per quote</w:t>
            </w:r>
          </w:p>
        </w:tc>
      </w:tr>
      <w:tr>
        <w:tc>
          <w:tcPr>
            <w:tcW w:type="dxa" w:w="980"/>
          </w:tcPr>
          <w:p>
            <w:pPr>
              <w:spacing w:after="0"/>
            </w:pPr>
            <w:r>
              <w:rPr>
                <w:rFonts w:ascii="Arial" w:hAnsi="Arial" w:eastAsia="Arial"/>
                <w:b w:val="0"/>
                <w:color w:val="000000"/>
                <w:sz w:val="24"/>
              </w:rPr>
              <w:t>3</w:t>
            </w:r>
          </w:p>
        </w:tc>
        <w:tc>
          <w:tcPr>
            <w:tcW w:type="dxa" w:w="4646"/>
          </w:tcPr>
          <w:p>
            <w:pPr>
              <w:spacing w:after="0"/>
            </w:pPr>
            <w:r>
              <w:rPr>
                <w:rFonts w:ascii="Arial" w:hAnsi="Arial" w:eastAsia="Arial"/>
                <w:b w:val="0"/>
                <w:color w:val="000000"/>
                <w:sz w:val="24"/>
              </w:rPr>
              <w:t>On credit, consume it with a conditional update</w:t>
            </w:r>
          </w:p>
        </w:tc>
        <w:tc>
          <w:tcPr>
            <w:tcW w:type="dxa" w:w="4013"/>
          </w:tcPr>
          <w:p>
            <w:pPr>
              <w:spacing w:after="0"/>
            </w:pPr>
            <w:r>
              <w:rPr>
                <w:rFonts w:ascii="Arial" w:hAnsi="Arial" w:eastAsia="Arial"/>
                <w:b w:val="0"/>
                <w:color w:val="000000"/>
                <w:sz w:val="24"/>
              </w:rPr>
              <w:t>Credit is never consumed over the limit</w:t>
            </w:r>
          </w:p>
        </w:tc>
      </w:tr>
      <w:tr>
        <w:tc>
          <w:tcPr>
            <w:tcW w:type="dxa" w:w="980"/>
          </w:tcPr>
          <w:p>
            <w:pPr>
              <w:spacing w:after="0"/>
            </w:pPr>
            <w:r>
              <w:rPr>
                <w:rFonts w:ascii="Arial" w:hAnsi="Arial" w:eastAsia="Arial"/>
                <w:b w:val="0"/>
                <w:color w:val="000000"/>
                <w:sz w:val="24"/>
              </w:rPr>
              <w:t>4</w:t>
            </w:r>
          </w:p>
        </w:tc>
        <w:tc>
          <w:tcPr>
            <w:tcW w:type="dxa" w:w="4646"/>
          </w:tcPr>
          <w:p>
            <w:pPr>
              <w:spacing w:after="0"/>
            </w:pPr>
            <w:r>
              <w:rPr>
                <w:rFonts w:ascii="Arial" w:hAnsi="Arial" w:eastAsia="Arial"/>
                <w:b w:val="0"/>
                <w:color w:val="000000"/>
                <w:sz w:val="24"/>
              </w:rPr>
              <w:t>Insert the order (unique per quote), then its ledger row on credit</w:t>
            </w:r>
          </w:p>
        </w:tc>
        <w:tc>
          <w:tcPr>
            <w:tcW w:type="dxa" w:w="4013"/>
          </w:tcPr>
          <w:p>
            <w:pPr>
              <w:spacing w:after="0"/>
            </w:pPr>
            <w:r>
              <w:rPr>
                <w:rFonts w:ascii="Arial" w:hAnsi="Arial" w:eastAsia="Arial"/>
                <w:b w:val="0"/>
                <w:color w:val="000000"/>
                <w:sz w:val="24"/>
              </w:rPr>
              <w:t>No order without its quote, no second order for one quote</w:t>
            </w:r>
          </w:p>
        </w:tc>
      </w:tr>
      <w:tr>
        <w:tc>
          <w:tcPr>
            <w:tcW w:type="dxa" w:w="980"/>
          </w:tcPr>
          <w:p>
            <w:pPr>
              <w:spacing w:after="0"/>
            </w:pPr>
            <w:r>
              <w:rPr>
                <w:rFonts w:ascii="Arial" w:hAnsi="Arial" w:eastAsia="Arial"/>
                <w:b w:val="0"/>
                <w:color w:val="000000"/>
                <w:sz w:val="24"/>
              </w:rPr>
              <w:t>5</w:t>
            </w:r>
          </w:p>
        </w:tc>
        <w:tc>
          <w:tcPr>
            <w:tcW w:type="dxa" w:w="4646"/>
          </w:tcPr>
          <w:p>
            <w:pPr>
              <w:spacing w:after="0"/>
            </w:pPr>
            <w:r>
              <w:rPr>
                <w:rFonts w:ascii="Arial" w:hAnsi="Arial" w:eastAsia="Arial"/>
                <w:b w:val="0"/>
                <w:color w:val="000000"/>
                <w:sz w:val="24"/>
              </w:rPr>
              <w:t>Insert one outbox event for push and one for the ERP</w:t>
            </w:r>
          </w:p>
        </w:tc>
        <w:tc>
          <w:tcPr>
            <w:tcW w:type="dxa" w:w="4013"/>
          </w:tcPr>
          <w:p>
            <w:pPr>
              <w:spacing w:after="0"/>
            </w:pPr>
            <w:r>
              <w:rPr>
                <w:rFonts w:ascii="Arial" w:hAnsi="Arial" w:eastAsia="Arial"/>
                <w:b w:val="0"/>
                <w:color w:val="000000"/>
                <w:sz w:val="24"/>
              </w:rPr>
              <w:t>Effects are recorded atomically with the order</w:t>
            </w:r>
          </w:p>
        </w:tc>
      </w:tr>
      <w:tr>
        <w:tc>
          <w:tcPr>
            <w:tcW w:type="dxa" w:w="980"/>
          </w:tcPr>
          <w:p>
            <w:pPr>
              <w:spacing w:after="0"/>
            </w:pPr>
            <w:r>
              <w:rPr>
                <w:rFonts w:ascii="Arial" w:hAnsi="Arial" w:eastAsia="Arial"/>
                <w:b w:val="0"/>
                <w:color w:val="000000"/>
                <w:sz w:val="24"/>
              </w:rPr>
              <w:t>6</w:t>
            </w:r>
          </w:p>
        </w:tc>
        <w:tc>
          <w:tcPr>
            <w:tcW w:type="dxa" w:w="4646"/>
          </w:tcPr>
          <w:p>
            <w:pPr>
              <w:spacing w:after="0"/>
            </w:pPr>
            <w:r>
              <w:rPr>
                <w:rFonts w:ascii="Arial" w:hAnsi="Arial" w:eastAsia="Arial"/>
                <w:b w:val="0"/>
                <w:color w:val="000000"/>
                <w:sz w:val="24"/>
              </w:rPr>
              <w:t>Store the 201 body on the idempotency row</w:t>
            </w:r>
          </w:p>
        </w:tc>
        <w:tc>
          <w:tcPr>
            <w:tcW w:type="dxa" w:w="4013"/>
          </w:tcPr>
          <w:p>
            <w:pPr>
              <w:spacing w:after="0"/>
            </w:pPr>
            <w:r>
              <w:rPr>
                <w:rFonts w:ascii="Arial" w:hAnsi="Arial" w:eastAsia="Arial"/>
                <w:b w:val="0"/>
                <w:color w:val="000000"/>
                <w:sz w:val="24"/>
              </w:rPr>
              <w:t>Replays return the same answer</w:t>
            </w:r>
          </w:p>
        </w:tc>
      </w:tr>
      <w:tr>
        <w:tc>
          <w:tcPr>
            <w:tcW w:type="dxa" w:w="980"/>
          </w:tcPr>
          <w:p>
            <w:pPr>
              <w:spacing w:after="0"/>
            </w:pPr>
            <w:r>
              <w:rPr>
                <w:rFonts w:ascii="Arial" w:hAnsi="Arial" w:eastAsia="Arial"/>
                <w:b w:val="0"/>
                <w:color w:val="000000"/>
                <w:sz w:val="24"/>
              </w:rPr>
              <w:t>7</w:t>
            </w:r>
          </w:p>
        </w:tc>
        <w:tc>
          <w:tcPr>
            <w:tcW w:type="dxa" w:w="4646"/>
          </w:tcPr>
          <w:p>
            <w:pPr>
              <w:spacing w:after="0"/>
            </w:pPr>
            <w:r>
              <w:rPr>
                <w:rFonts w:ascii="Arial" w:hAnsi="Arial" w:eastAsia="Arial"/>
                <w:b w:val="0"/>
                <w:color w:val="000000"/>
                <w:sz w:val="24"/>
              </w:rPr>
              <w:t>Commit, and only then serialize the 201</w:t>
            </w:r>
          </w:p>
        </w:tc>
        <w:tc>
          <w:tcPr>
            <w:tcW w:type="dxa" w:w="4013"/>
          </w:tcPr>
          <w:p>
            <w:pPr>
              <w:spacing w:after="0"/>
            </w:pPr>
            <w:r>
              <w:rPr>
                <w:rFonts w:ascii="Arial" w:hAnsi="Arial" w:eastAsia="Arial"/>
                <w:b w:val="0"/>
                <w:color w:val="000000"/>
                <w:sz w:val="24"/>
              </w:rPr>
              <w:t>Invariant I-201</w:t>
            </w:r>
          </w:p>
        </w:tc>
      </w:tr>
    </w:tbl>
    <w:p>
      <w:pPr>
        <w:spacing w:before="120"/>
      </w:pPr>
      <w:r>
        <w:rPr>
          <w:rFonts w:ascii="Arial" w:hAnsi="Arial" w:eastAsia="Arial"/>
          <w:b w:val="0"/>
          <w:color w:val="000000"/>
          <w:sz w:val="24"/>
        </w:rPr>
        <w:t xml:space="preserve">The technology choices follow from this transaction (plan DEC-01 … DEC-12): Spring Boot on the servlet stack, because a reactive stack complicates the single blocking transaction; a modular monolith, because splitting order, credit, key and outbox into services would need a saga; PostgreSQL, because an in-memory store cannot prove atomicity or row locks; </w:t>
      </w:r>
      <w:r>
        <w:rPr>
          <w:rFonts w:ascii="Arial" w:hAnsi="Arial" w:eastAsia="Arial"/>
          <w:b w:val="0"/>
          <w:color w:val="000000"/>
          <w:sz w:val="24"/>
        </w:rPr>
        <w:t>JdbcClient</w:t>
      </w:r>
      <w:r>
        <w:rPr>
          <w:rFonts w:ascii="Arial" w:hAnsi="Arial" w:eastAsia="Arial"/>
          <w:b w:val="0"/>
          <w:color w:val="000000"/>
          <w:sz w:val="24"/>
        </w:rPr>
        <w:t xml:space="preserve"> with explicit SQL instead of JPA, which hides locks and flush order; and Testcontainers instead of H2, whose locking and SQL dialect differ. </w:t>
      </w:r>
      <w:r>
        <w:rPr>
          <w:rFonts w:ascii="Arial" w:hAnsi="Arial" w:eastAsia="Arial"/>
          <w:b w:val="0"/>
          <w:color w:val="000000"/>
          <w:sz w:val="24"/>
        </w:rPr>
        <w:t>@Transactional</w:t>
      </w:r>
      <w:r>
        <w:rPr>
          <w:rFonts w:ascii="Arial" w:hAnsi="Arial" w:eastAsia="Arial"/>
          <w:b w:val="0"/>
          <w:color w:val="000000"/>
          <w:sz w:val="24"/>
        </w:rPr>
        <w:t xml:space="preserve"> appears only on application use cases, which an ArchUnit rule enforces.</w:t>
      </w:r>
    </w:p>
    <w:p>
      <w:pPr>
        <w:pStyle w:val="Heading3"/>
        <w:keepNext/>
        <w:spacing w:before="160" w:after="80"/>
      </w:pPr>
      <w:r>
        <w:rPr>
          <w:rFonts w:ascii="Arial" w:hAnsi="Arial" w:eastAsia="Arial"/>
          <w:b/>
          <w:color w:val="000000"/>
          <w:sz w:val="24"/>
        </w:rPr>
        <w:t>6.3 The idempotency key</w:t>
      </w:r>
    </w:p>
    <w:p>
      <w:r>
        <w:rPr>
          <w:rFonts w:ascii="Arial" w:hAnsi="Arial" w:eastAsia="Arial"/>
          <w:b w:val="0"/>
          <w:color w:val="000000"/>
          <w:sz w:val="24"/>
        </w:rPr>
        <w:t>Idempotency-Key</w:t>
      </w:r>
      <w:r>
        <w:rPr>
          <w:rFonts w:ascii="Arial" w:hAnsi="Arial" w:eastAsia="Arial"/>
          <w:b w:val="0"/>
          <w:color w:val="000000"/>
          <w:sz w:val="24"/>
        </w:rPr>
        <w:t xml:space="preserve"> is required on </w:t>
      </w:r>
      <w:r>
        <w:rPr>
          <w:rFonts w:ascii="Arial" w:hAnsi="Arial" w:eastAsia="Arial"/>
          <w:b w:val="0"/>
          <w:color w:val="000000"/>
          <w:sz w:val="24"/>
        </w:rPr>
        <w:t>POST /api/v1/orders</w:t>
      </w:r>
      <w:r>
        <w:rPr>
          <w:rFonts w:ascii="Arial" w:hAnsi="Arial" w:eastAsia="Arial"/>
          <w:b w:val="0"/>
          <w:color w:val="000000"/>
          <w:sz w:val="24"/>
        </w:rPr>
        <w:t xml:space="preserve"> and must match </w:t>
      </w:r>
      <w:r>
        <w:rPr>
          <w:rFonts w:ascii="Arial" w:hAnsi="Arial" w:eastAsia="Arial"/>
          <w:b w:val="0"/>
          <w:color w:val="000000"/>
          <w:sz w:val="24"/>
        </w:rPr>
        <w:t>^[A-Za-z0-9_-]{8,64}$</w:t>
      </w:r>
      <w:r>
        <w:rPr>
          <w:rFonts w:ascii="Arial" w:hAnsi="Arial" w:eastAsia="Arial"/>
          <w:b w:val="0"/>
          <w:color w:val="000000"/>
          <w:sz w:val="24"/>
        </w:rPr>
        <w:t>. The request hash is SHA-256 of method, path, customer id and canonical JSON body. The semantics follow the IETF draft "The Idempotency-Key HTTP Header Field":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17"/>
        <w:gridCol w:w="5920"/>
      </w:tblGrid>
      <w:tr>
        <w:tc>
          <w:tcPr>
            <w:tcW w:type="dxa" w:w="3717"/>
          </w:tcPr>
          <w:p>
            <w:pPr>
              <w:spacing w:after="0"/>
            </w:pPr>
            <w:r>
              <w:rPr>
                <w:rFonts w:ascii="Arial" w:hAnsi="Arial" w:eastAsia="Arial"/>
                <w:b/>
                <w:color w:val="000000"/>
                <w:sz w:val="24"/>
              </w:rPr>
              <w:t>Situation</w:t>
            </w:r>
          </w:p>
        </w:tc>
        <w:tc>
          <w:tcPr>
            <w:tcW w:type="dxa" w:w="5920"/>
          </w:tcPr>
          <w:p>
            <w:pPr>
              <w:spacing w:after="0"/>
            </w:pPr>
            <w:r>
              <w:rPr>
                <w:rFonts w:ascii="Arial" w:hAnsi="Arial" w:eastAsia="Arial"/>
                <w:b/>
                <w:color w:val="000000"/>
                <w:sz w:val="24"/>
              </w:rPr>
              <w:t>Response</w:t>
            </w:r>
          </w:p>
        </w:tc>
      </w:tr>
      <w:tr>
        <w:tc>
          <w:tcPr>
            <w:tcW w:type="dxa" w:w="3717"/>
          </w:tcPr>
          <w:p>
            <w:pPr>
              <w:spacing w:after="0"/>
            </w:pPr>
            <w:r>
              <w:rPr>
                <w:rFonts w:ascii="Arial" w:hAnsi="Arial" w:eastAsia="Arial"/>
                <w:b w:val="0"/>
                <w:color w:val="000000"/>
                <w:sz w:val="24"/>
              </w:rPr>
              <w:t>Same key, same body, already completed</w:t>
            </w:r>
          </w:p>
        </w:tc>
        <w:tc>
          <w:tcPr>
            <w:tcW w:type="dxa" w:w="5920"/>
          </w:tcPr>
          <w:p>
            <w:pPr>
              <w:spacing w:after="0"/>
            </w:pPr>
            <w:r>
              <w:rPr>
                <w:rFonts w:ascii="Arial" w:hAnsi="Arial" w:eastAsia="Arial"/>
                <w:b w:val="0"/>
                <w:color w:val="000000"/>
                <w:sz w:val="24"/>
              </w:rPr>
              <w:t xml:space="preserve">The stored response, byte-identical, with </w:t>
            </w:r>
            <w:r>
              <w:rPr>
                <w:rFonts w:ascii="Arial" w:hAnsi="Arial" w:eastAsia="Arial"/>
                <w:b w:val="0"/>
                <w:color w:val="000000"/>
                <w:sz w:val="24"/>
              </w:rPr>
              <w:t>Idempotent-Replayed: true</w:t>
            </w:r>
          </w:p>
        </w:tc>
      </w:tr>
      <w:tr>
        <w:tc>
          <w:tcPr>
            <w:tcW w:type="dxa" w:w="3717"/>
          </w:tcPr>
          <w:p>
            <w:pPr>
              <w:spacing w:after="0"/>
            </w:pPr>
            <w:r>
              <w:rPr>
                <w:rFonts w:ascii="Arial" w:hAnsi="Arial" w:eastAsia="Arial"/>
                <w:b w:val="0"/>
                <w:color w:val="000000"/>
                <w:sz w:val="24"/>
              </w:rPr>
              <w:t>Same key, different body</w:t>
            </w:r>
          </w:p>
        </w:tc>
        <w:tc>
          <w:tcPr>
            <w:tcW w:type="dxa" w:w="5920"/>
          </w:tcPr>
          <w:p>
            <w:pPr>
              <w:spacing w:after="0"/>
            </w:pPr>
            <w:r>
              <w:rPr>
                <w:rFonts w:ascii="Arial" w:hAnsi="Arial" w:eastAsia="Arial"/>
                <w:b w:val="0"/>
                <w:color w:val="000000"/>
                <w:sz w:val="24"/>
              </w:rPr>
              <w:t xml:space="preserve">422 </w:t>
            </w:r>
            <w:r>
              <w:rPr>
                <w:rFonts w:ascii="Arial" w:hAnsi="Arial" w:eastAsia="Arial"/>
                <w:b w:val="0"/>
                <w:color w:val="000000"/>
                <w:sz w:val="24"/>
              </w:rPr>
              <w:t>IDEMPOTENCY_KEY_REUSED</w:t>
            </w:r>
          </w:p>
        </w:tc>
      </w:tr>
      <w:tr>
        <w:tc>
          <w:tcPr>
            <w:tcW w:type="dxa" w:w="3717"/>
          </w:tcPr>
          <w:p>
            <w:pPr>
              <w:spacing w:after="0"/>
            </w:pPr>
            <w:r>
              <w:rPr>
                <w:rFonts w:ascii="Arial" w:hAnsi="Arial" w:eastAsia="Arial"/>
                <w:b w:val="0"/>
                <w:color w:val="000000"/>
                <w:sz w:val="24"/>
              </w:rPr>
              <w:t>Same key while the first request is still running</w:t>
            </w:r>
          </w:p>
        </w:tc>
        <w:tc>
          <w:tcPr>
            <w:tcW w:type="dxa" w:w="5920"/>
          </w:tcPr>
          <w:p>
            <w:pPr>
              <w:spacing w:after="0"/>
            </w:pPr>
            <w:r>
              <w:rPr>
                <w:rFonts w:ascii="Arial" w:hAnsi="Arial" w:eastAsia="Arial"/>
                <w:b w:val="0"/>
                <w:color w:val="000000"/>
                <w:sz w:val="24"/>
              </w:rPr>
              <w:t xml:space="preserve">Waits up to </w:t>
            </w:r>
            <w:r>
              <w:rPr>
                <w:rFonts w:ascii="Arial" w:hAnsi="Arial" w:eastAsia="Arial"/>
                <w:b w:val="0"/>
                <w:color w:val="000000"/>
                <w:sz w:val="24"/>
              </w:rPr>
              <w:t>lock_timeout</w:t>
            </w:r>
            <w:r>
              <w:rPr>
                <w:rFonts w:ascii="Arial" w:hAnsi="Arial" w:eastAsia="Arial"/>
                <w:b w:val="0"/>
                <w:color w:val="000000"/>
                <w:sz w:val="24"/>
              </w:rPr>
              <w:t xml:space="preserve">, then replays; 409 </w:t>
            </w:r>
            <w:r>
              <w:rPr>
                <w:rFonts w:ascii="Arial" w:hAnsi="Arial" w:eastAsia="Arial"/>
                <w:b w:val="0"/>
                <w:color w:val="000000"/>
                <w:sz w:val="24"/>
              </w:rPr>
              <w:t>IDEMPOTENCY_KEY_IN_PROGRESS</w:t>
            </w:r>
            <w:r>
              <w:rPr>
                <w:rFonts w:ascii="Arial" w:hAnsi="Arial" w:eastAsia="Arial"/>
                <w:b w:val="0"/>
                <w:color w:val="000000"/>
                <w:sz w:val="24"/>
              </w:rPr>
              <w:t xml:space="preserve"> if the timeout passes first</w:t>
            </w:r>
          </w:p>
        </w:tc>
      </w:tr>
      <w:tr>
        <w:tc>
          <w:tcPr>
            <w:tcW w:type="dxa" w:w="3717"/>
          </w:tcPr>
          <w:p>
            <w:pPr>
              <w:spacing w:after="0"/>
            </w:pPr>
            <w:r>
              <w:rPr>
                <w:rFonts w:ascii="Arial" w:hAnsi="Arial" w:eastAsia="Arial"/>
                <w:b w:val="0"/>
                <w:color w:val="000000"/>
                <w:sz w:val="24"/>
              </w:rPr>
              <w:t>Missing or malformed key</w:t>
            </w:r>
          </w:p>
        </w:tc>
        <w:tc>
          <w:tcPr>
            <w:tcW w:type="dxa" w:w="5920"/>
          </w:tcPr>
          <w:p>
            <w:pPr>
              <w:spacing w:after="0"/>
            </w:pPr>
            <w:r>
              <w:rPr>
                <w:rFonts w:ascii="Arial" w:hAnsi="Arial" w:eastAsia="Arial"/>
                <w:b w:val="0"/>
                <w:color w:val="000000"/>
                <w:sz w:val="24"/>
              </w:rPr>
              <w:t xml:space="preserve">400 </w:t>
            </w:r>
            <w:r>
              <w:rPr>
                <w:rFonts w:ascii="Arial" w:hAnsi="Arial" w:eastAsia="Arial"/>
                <w:b w:val="0"/>
                <w:color w:val="000000"/>
                <w:sz w:val="24"/>
              </w:rPr>
              <w:t>IDEMPOTENCY_KEY_MISSING</w:t>
            </w:r>
            <w:r>
              <w:rPr>
                <w:rFonts w:ascii="Arial" w:hAnsi="Arial" w:eastAsia="Arial"/>
                <w:b w:val="0"/>
                <w:color w:val="000000"/>
                <w:sz w:val="24"/>
              </w:rPr>
              <w:t xml:space="preserve"> or </w:t>
            </w:r>
            <w:r>
              <w:rPr>
                <w:rFonts w:ascii="Arial" w:hAnsi="Arial" w:eastAsia="Arial"/>
                <w:b w:val="0"/>
                <w:color w:val="000000"/>
                <w:sz w:val="24"/>
              </w:rPr>
              <w:t>IDEMPOTENCY_KEY_INVALID</w:t>
            </w:r>
          </w:p>
        </w:tc>
      </w:tr>
      <w:tr>
        <w:tc>
          <w:tcPr>
            <w:tcW w:type="dxa" w:w="3717"/>
          </w:tcPr>
          <w:p>
            <w:pPr>
              <w:spacing w:after="0"/>
            </w:pPr>
            <w:r>
              <w:rPr>
                <w:rFonts w:ascii="Arial" w:hAnsi="Arial" w:eastAsia="Arial"/>
                <w:b w:val="0"/>
                <w:color w:val="000000"/>
                <w:sz w:val="24"/>
              </w:rPr>
              <w:t>A failed request (validation, expired quote, credit exceeded)</w:t>
            </w:r>
          </w:p>
        </w:tc>
        <w:tc>
          <w:tcPr>
            <w:tcW w:type="dxa" w:w="5920"/>
          </w:tcPr>
          <w:p>
            <w:pPr>
              <w:spacing w:after="0"/>
            </w:pPr>
            <w:r>
              <w:rPr>
                <w:rFonts w:ascii="Arial" w:hAnsi="Arial" w:eastAsia="Arial"/>
                <w:b w:val="0"/>
                <w:color w:val="000000"/>
                <w:sz w:val="24"/>
              </w:rPr>
              <w:t>Not cached: the rollback releases the key, and the client can retry after fixing the cause</w:t>
            </w:r>
          </w:p>
        </w:tc>
      </w:tr>
      <w:tr>
        <w:tc>
          <w:tcPr>
            <w:tcW w:type="dxa" w:w="3717"/>
          </w:tcPr>
          <w:p>
            <w:pPr>
              <w:spacing w:after="0"/>
            </w:pPr>
            <w:r>
              <w:rPr>
                <w:rFonts w:ascii="Arial" w:hAnsi="Arial" w:eastAsia="Arial"/>
                <w:b w:val="0"/>
                <w:color w:val="000000"/>
                <w:sz w:val="24"/>
              </w:rPr>
              <w:t>A new key on a confirmed quote</w:t>
            </w:r>
          </w:p>
        </w:tc>
        <w:tc>
          <w:tcPr>
            <w:tcW w:type="dxa" w:w="5920"/>
          </w:tcPr>
          <w:p>
            <w:pPr>
              <w:spacing w:after="0"/>
            </w:pPr>
            <w:r>
              <w:rPr>
                <w:rFonts w:ascii="Arial" w:hAnsi="Arial" w:eastAsia="Arial"/>
                <w:b w:val="0"/>
                <w:color w:val="000000"/>
                <w:sz w:val="24"/>
              </w:rPr>
              <w:t xml:space="preserve">409 </w:t>
            </w:r>
            <w:r>
              <w:rPr>
                <w:rFonts w:ascii="Arial" w:hAnsi="Arial" w:eastAsia="Arial"/>
                <w:b w:val="0"/>
                <w:color w:val="000000"/>
                <w:sz w:val="24"/>
              </w:rPr>
              <w:t>QUOTE_ALREADY_CONFIRMED</w:t>
            </w:r>
            <w:r>
              <w:rPr>
                <w:rFonts w:ascii="Arial" w:hAnsi="Arial" w:eastAsia="Arial"/>
                <w:b w:val="0"/>
                <w:color w:val="000000"/>
                <w:sz w:val="24"/>
              </w:rPr>
              <w:t>, with the existing order number</w:t>
            </w:r>
          </w:p>
        </w:tc>
      </w:tr>
    </w:tbl>
    <w:p>
      <w:pPr>
        <w:spacing w:before="120"/>
      </w:pPr>
      <w:r>
        <w:rPr>
          <w:rFonts w:ascii="Arial" w:hAnsi="Arial" w:eastAsia="Arial"/>
          <w:b w:val="0"/>
          <w:color w:val="000000"/>
          <w:sz w:val="24"/>
        </w:rPr>
        <w:t xml:space="preserve">Keys are kept for 24 hours. After that, a retry still receives </w:t>
      </w:r>
      <w:r>
        <w:rPr>
          <w:rFonts w:ascii="Arial" w:hAnsi="Arial" w:eastAsia="Arial"/>
          <w:b w:val="0"/>
          <w:color w:val="000000"/>
          <w:sz w:val="24"/>
        </w:rPr>
        <w:t>QUOTE_ALREADY_CONFIRMED</w:t>
      </w:r>
      <w:r>
        <w:rPr>
          <w:rFonts w:ascii="Arial" w:hAnsi="Arial" w:eastAsia="Arial"/>
          <w:b w:val="0"/>
          <w:color w:val="000000"/>
          <w:sz w:val="24"/>
        </w:rPr>
        <w:t xml:space="preserve"> with the order number. The web client completes the guarantee on its side: one key per quote, created at the first tap of "Confirm order", stored in the browser and reused on every retry, with the button disabled while the request is in flight.</w:t>
      </w:r>
    </w:p>
    <w:p>
      <w:pPr>
        <w:pStyle w:val="Heading3"/>
        <w:keepNext/>
        <w:spacing w:before="160" w:after="80"/>
      </w:pPr>
      <w:r>
        <w:rPr>
          <w:rFonts w:ascii="Arial" w:hAnsi="Arial" w:eastAsia="Arial"/>
          <w:b/>
          <w:color w:val="000000"/>
          <w:sz w:val="24"/>
        </w:rPr>
        <w:t>6.4 The credit ledger</w:t>
      </w:r>
    </w:p>
    <w:p>
      <w:r>
        <w:rPr>
          <w:rFonts w:ascii="Arial" w:hAnsi="Arial" w:eastAsia="Arial"/>
          <w:b w:val="0"/>
          <w:color w:val="000000"/>
          <w:sz w:val="24"/>
        </w:rPr>
        <w:t xml:space="preserve">At quote time a credit quote reports </w:t>
      </w:r>
      <w:r>
        <w:rPr>
          <w:rFonts w:ascii="Arial" w:hAnsi="Arial" w:eastAsia="Arial"/>
          <w:b w:val="0"/>
          <w:color w:val="000000"/>
          <w:sz w:val="24"/>
        </w:rPr>
        <w:t>credit {fits, available, shortfall}</w:t>
      </w:r>
      <w:r>
        <w:rPr>
          <w:rFonts w:ascii="Arial" w:hAnsi="Arial" w:eastAsia="Arial"/>
          <w:b w:val="0"/>
          <w:color w:val="000000"/>
          <w:sz w:val="24"/>
        </w:rPr>
        <w:t>, where available = limit − consumed and a total equal to the available amount fits. Nothing is reserved. At confirmation, inside the transaction:</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UPDATE credit_accounts SET consumed = consumed + :total … WHERE … AND consumed + :total &lt;= credit_limit</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If no row is updated, the answer is 409 </w:t>
      </w:r>
      <w:r>
        <w:rPr>
          <w:rFonts w:ascii="Arial" w:hAnsi="Arial" w:eastAsia="Arial"/>
          <w:b w:val="0"/>
          <w:color w:val="000000"/>
          <w:sz w:val="24"/>
        </w:rPr>
        <w:t>CREDIT_LIMIT_EXCEEDED</w:t>
      </w:r>
      <w:r>
        <w:rPr>
          <w:rFonts w:ascii="Arial" w:hAnsi="Arial" w:eastAsia="Arial"/>
          <w:b w:val="0"/>
          <w:color w:val="000000"/>
          <w:sz w:val="24"/>
        </w:rPr>
        <w:t xml:space="preserve"> and the rollback leaves no order and no ledger row.</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Otherwise a ledger row </w:t>
      </w:r>
      <w:r>
        <w:rPr>
          <w:rFonts w:ascii="Arial" w:hAnsi="Arial" w:eastAsia="Arial"/>
          <w:b w:val="0"/>
          <w:color w:val="000000"/>
          <w:sz w:val="24"/>
        </w:rPr>
        <w:t>(order_id, amount)</w:t>
      </w:r>
      <w:r>
        <w:rPr>
          <w:rFonts w:ascii="Arial" w:hAnsi="Arial" w:eastAsia="Arial"/>
          <w:b w:val="0"/>
          <w:color w:val="000000"/>
          <w:sz w:val="24"/>
        </w:rPr>
        <w:t xml:space="preserve"> is inserted right after the order. The ledger is append-only, with one row per order at most.</w:t>
      </w:r>
    </w:p>
    <w:p>
      <w:r>
        <w:rPr>
          <w:rFonts w:ascii="Arial" w:hAnsi="Arial" w:eastAsia="Arial"/>
          <w:b w:val="0"/>
          <w:color w:val="000000"/>
          <w:sz w:val="24"/>
        </w:rPr>
        <w:t xml:space="preserve">The database backs the code: a </w:t>
      </w:r>
      <w:r>
        <w:rPr>
          <w:rFonts w:ascii="Arial" w:hAnsi="Arial" w:eastAsia="Arial"/>
          <w:b w:val="0"/>
          <w:color w:val="000000"/>
          <w:sz w:val="24"/>
        </w:rPr>
        <w:t>CHECK</w:t>
      </w:r>
      <w:r>
        <w:rPr>
          <w:rFonts w:ascii="Arial" w:hAnsi="Arial" w:eastAsia="Arial"/>
          <w:b w:val="0"/>
          <w:color w:val="000000"/>
          <w:sz w:val="24"/>
        </w:rPr>
        <w:t xml:space="preserve"> keeps </w:t>
      </w:r>
      <w:r>
        <w:rPr>
          <w:rFonts w:ascii="Arial" w:hAnsi="Arial" w:eastAsia="Arial"/>
          <w:b w:val="0"/>
          <w:color w:val="000000"/>
          <w:sz w:val="24"/>
        </w:rPr>
        <w:t>consumed</w:t>
      </w:r>
      <w:r>
        <w:rPr>
          <w:rFonts w:ascii="Arial" w:hAnsi="Arial" w:eastAsia="Arial"/>
          <w:b w:val="0"/>
          <w:color w:val="000000"/>
          <w:sz w:val="24"/>
        </w:rPr>
        <w:t xml:space="preserve"> between 0 and the limit even if application code were wrong, and </w:t>
      </w:r>
      <w:r>
        <w:rPr>
          <w:rFonts w:ascii="Arial" w:hAnsi="Arial" w:eastAsia="Arial"/>
          <w:b w:val="0"/>
          <w:color w:val="000000"/>
          <w:sz w:val="24"/>
        </w:rPr>
        <w:t>consumed = Σ ledger amounts</w:t>
      </w:r>
      <w:r>
        <w:rPr>
          <w:rFonts w:ascii="Arial" w:hAnsi="Arial" w:eastAsia="Arial"/>
          <w:b w:val="0"/>
          <w:color w:val="000000"/>
          <w:sz w:val="24"/>
        </w:rPr>
        <w:t xml:space="preserve"> always holds. </w:t>
      </w:r>
      <w:r>
        <w:rPr>
          <w:rFonts w:ascii="Arial" w:hAnsi="Arial" w:eastAsia="Arial"/>
          <w:b w:val="0"/>
          <w:color w:val="000000"/>
          <w:sz w:val="24"/>
        </w:rPr>
        <w:t>CreditLimitIT</w:t>
      </w:r>
      <w:r>
        <w:rPr>
          <w:rFonts w:ascii="Arial" w:hAnsi="Arial" w:eastAsia="Arial"/>
          <w:b w:val="0"/>
          <w:color w:val="000000"/>
          <w:sz w:val="24"/>
        </w:rPr>
        <w:t xml:space="preserve"> and </w:t>
      </w:r>
      <w:r>
        <w:rPr>
          <w:rFonts w:ascii="Arial" w:hAnsi="Arial" w:eastAsia="Arial"/>
          <w:b w:val="0"/>
          <w:color w:val="000000"/>
          <w:sz w:val="24"/>
        </w:rPr>
        <w:t>ConfirmOrderConcurrencyIT</w:t>
      </w:r>
      <w:r>
        <w:rPr>
          <w:rFonts w:ascii="Arial" w:hAnsi="Arial" w:eastAsia="Arial"/>
          <w:b w:val="0"/>
          <w:color w:val="000000"/>
          <w:sz w:val="24"/>
        </w:rPr>
        <w:t xml:space="preserve"> prove it.</w:t>
      </w:r>
    </w:p>
    <w:p>
      <w:pPr>
        <w:pStyle w:val="Heading3"/>
        <w:keepNext/>
        <w:spacing w:before="160" w:after="80"/>
      </w:pPr>
      <w:r>
        <w:rPr>
          <w:rFonts w:ascii="Arial" w:hAnsi="Arial" w:eastAsia="Arial"/>
          <w:b/>
          <w:color w:val="000000"/>
          <w:sz w:val="24"/>
        </w:rPr>
        <w:t>6.5 The outbox</w:t>
      </w:r>
    </w:p>
    <w:p>
      <w:pPr>
        <w:keepNext/>
        <w:spacing w:before="120" w:after="40"/>
        <w:jc w:val="center"/>
      </w:pPr>
      <w:r>
        <w:drawing>
          <wp:inline xmlns:a="http://schemas.openxmlformats.org/drawingml/2006/main" xmlns:pic="http://schemas.openxmlformats.org/drawingml/2006/picture" distT="0" distB="0" distL="0" distR="0">
            <wp:extent cx="6120130" cy="2876461"/>
            <wp:docPr id="3" name="Picture 3"/>
            <wp:cNvGraphicFramePr>
              <a:graphicFrameLocks noChangeAspect="1"/>
            </wp:cNvGraphicFramePr>
            <a:graphic>
              <a:graphicData uri="http://schemas.openxmlformats.org/drawingml/2006/picture">
                <pic:pic>
                  <pic:nvPicPr>
                    <pic:cNvPr id="0" name="09-outbox-lifecycle.png"/>
                    <pic:cNvPicPr/>
                  </pic:nvPicPr>
                  <pic:blipFill>
                    <a:blip r:embed="rId12"/>
                    <a:stretch>
                      <a:fillRect/>
                    </a:stretch>
                  </pic:blipFill>
                  <pic:spPr>
                    <a:xfrm>
                      <a:off x="0" y="0"/>
                      <a:ext cx="6120130" cy="2876461"/>
                    </a:xfrm>
                    <a:prstGeom prst="rect"/>
                  </pic:spPr>
                </pic:pic>
              </a:graphicData>
            </a:graphic>
          </wp:inline>
        </w:drawing>
      </w:r>
    </w:p>
    <w:p>
      <w:pPr>
        <w:spacing w:after="160"/>
        <w:jc w:val="center"/>
      </w:pPr>
      <w:r>
        <w:rPr>
          <w:rFonts w:ascii="Arial" w:hAnsi="Arial" w:eastAsia="Arial"/>
          <w:b/>
          <w:color w:val="000000"/>
          <w:sz w:val="24"/>
        </w:rPr>
        <w:t>Figure 3.</w:t>
      </w:r>
      <w:r>
        <w:rPr>
          <w:rFonts w:ascii="Arial" w:hAnsi="Arial" w:eastAsia="Arial"/>
          <w:b w:val="0"/>
          <w:color w:val="000000"/>
          <w:sz w:val="24"/>
        </w:rPr>
        <w:t xml:space="preserve"> </w:t>
      </w:r>
      <w:r>
        <w:rPr>
          <w:rFonts w:ascii="Arial" w:hAnsi="Arial" w:eastAsia="Arial"/>
          <w:b w:val="0"/>
          <w:color w:val="000000"/>
          <w:sz w:val="24"/>
        </w:rPr>
        <w:t>Outbox lifecycle: at-least-once delivery, consumers deduplicate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49"/>
        <w:gridCol w:w="7889"/>
      </w:tblGrid>
      <w:tr>
        <w:tc>
          <w:tcPr>
            <w:tcW w:type="dxa" w:w="1749"/>
          </w:tcPr>
          <w:p>
            <w:pPr>
              <w:spacing w:after="0"/>
            </w:pPr>
            <w:r>
              <w:rPr>
                <w:rFonts w:ascii="Arial" w:hAnsi="Arial" w:eastAsia="Arial"/>
                <w:b/>
                <w:color w:val="000000"/>
                <w:sz w:val="24"/>
              </w:rPr>
              <w:t>Stage</w:t>
            </w:r>
          </w:p>
        </w:tc>
        <w:tc>
          <w:tcPr>
            <w:tcW w:type="dxa" w:w="7889"/>
          </w:tcPr>
          <w:p>
            <w:pPr>
              <w:spacing w:after="0"/>
            </w:pPr>
            <w:r>
              <w:rPr>
                <w:rFonts w:ascii="Arial" w:hAnsi="Arial" w:eastAsia="Arial"/>
                <w:b/>
                <w:color w:val="000000"/>
                <w:sz w:val="24"/>
              </w:rPr>
              <w:t>Behavior</w:t>
            </w:r>
          </w:p>
        </w:tc>
      </w:tr>
      <w:tr>
        <w:tc>
          <w:tcPr>
            <w:tcW w:type="dxa" w:w="1749"/>
          </w:tcPr>
          <w:p>
            <w:pPr>
              <w:spacing w:after="0"/>
            </w:pPr>
            <w:r>
              <w:rPr>
                <w:rFonts w:ascii="Arial" w:hAnsi="Arial" w:eastAsia="Arial"/>
                <w:b w:val="0"/>
                <w:color w:val="000000"/>
                <w:sz w:val="24"/>
              </w:rPr>
              <w:t>Write</w:t>
            </w:r>
          </w:p>
        </w:tc>
        <w:tc>
          <w:tcPr>
            <w:tcW w:type="dxa" w:w="7889"/>
          </w:tcPr>
          <w:p>
            <w:pPr>
              <w:spacing w:after="0"/>
            </w:pPr>
            <w:r>
              <w:rPr>
                <w:rFonts w:ascii="Arial" w:hAnsi="Arial" w:eastAsia="Arial"/>
                <w:b w:val="0"/>
                <w:color w:val="000000"/>
                <w:sz w:val="24"/>
              </w:rPr>
              <w:t>One event per destination (</w:t>
            </w:r>
            <w:r>
              <w:rPr>
                <w:rFonts w:ascii="Arial" w:hAnsi="Arial" w:eastAsia="Arial"/>
                <w:b w:val="0"/>
                <w:color w:val="000000"/>
                <w:sz w:val="24"/>
              </w:rPr>
              <w:t>PUSH</w:t>
            </w:r>
            <w:r>
              <w:rPr>
                <w:rFonts w:ascii="Arial" w:hAnsi="Arial" w:eastAsia="Arial"/>
                <w:b w:val="0"/>
                <w:color w:val="000000"/>
                <w:sz w:val="24"/>
              </w:rPr>
              <w:t xml:space="preserve">, </w:t>
            </w:r>
            <w:r>
              <w:rPr>
                <w:rFonts w:ascii="Arial" w:hAnsi="Arial" w:eastAsia="Arial"/>
                <w:b w:val="0"/>
                <w:color w:val="000000"/>
                <w:sz w:val="24"/>
              </w:rPr>
              <w:t>ERP</w:t>
            </w:r>
            <w:r>
              <w:rPr>
                <w:rFonts w:ascii="Arial" w:hAnsi="Arial" w:eastAsia="Arial"/>
                <w:b w:val="0"/>
                <w:color w:val="000000"/>
                <w:sz w:val="24"/>
              </w:rPr>
              <w:t xml:space="preserve">), written in the order transaction. Its id is the </w:t>
            </w:r>
            <w:r>
              <w:rPr>
                <w:rFonts w:ascii="Arial" w:hAnsi="Arial" w:eastAsia="Arial"/>
                <w:b w:val="0"/>
                <w:color w:val="000000"/>
                <w:sz w:val="24"/>
              </w:rPr>
              <w:t>event_id</w:t>
            </w:r>
          </w:p>
        </w:tc>
      </w:tr>
      <w:tr>
        <w:tc>
          <w:tcPr>
            <w:tcW w:type="dxa" w:w="1749"/>
          </w:tcPr>
          <w:p>
            <w:pPr>
              <w:spacing w:after="0"/>
            </w:pPr>
            <w:r>
              <w:rPr>
                <w:rFonts w:ascii="Arial" w:hAnsi="Arial" w:eastAsia="Arial"/>
                <w:b w:val="0"/>
                <w:color w:val="000000"/>
                <w:sz w:val="24"/>
              </w:rPr>
              <w:t>Claim</w:t>
            </w:r>
          </w:p>
        </w:tc>
        <w:tc>
          <w:tcPr>
            <w:tcW w:type="dxa" w:w="7889"/>
          </w:tcPr>
          <w:p>
            <w:pPr>
              <w:spacing w:after="0"/>
            </w:pPr>
            <w:r>
              <w:rPr>
                <w:rFonts w:ascii="Arial" w:hAnsi="Arial" w:eastAsia="Arial"/>
                <w:b w:val="0"/>
                <w:color w:val="000000"/>
                <w:sz w:val="24"/>
              </w:rPr>
              <w:t xml:space="preserve">The relay polls every second by default and leases due </w:t>
            </w:r>
            <w:r>
              <w:rPr>
                <w:rFonts w:ascii="Arial" w:hAnsi="Arial" w:eastAsia="Arial"/>
                <w:b w:val="0"/>
                <w:color w:val="000000"/>
                <w:sz w:val="24"/>
              </w:rPr>
              <w:t>PENDING</w:t>
            </w:r>
            <w:r>
              <w:rPr>
                <w:rFonts w:ascii="Arial" w:hAnsi="Arial" w:eastAsia="Arial"/>
                <w:b w:val="0"/>
                <w:color w:val="000000"/>
                <w:sz w:val="24"/>
              </w:rPr>
              <w:t xml:space="preserve"> events with </w:t>
            </w:r>
            <w:r>
              <w:rPr>
                <w:rFonts w:ascii="Arial" w:hAnsi="Arial" w:eastAsia="Arial"/>
                <w:b w:val="0"/>
                <w:color w:val="000000"/>
                <w:sz w:val="24"/>
              </w:rPr>
              <w:t>FOR UPDATE SKIP LOCKED</w:t>
            </w:r>
            <w:r>
              <w:rPr>
                <w:rFonts w:ascii="Arial" w:hAnsi="Arial" w:eastAsia="Arial"/>
                <w:b w:val="0"/>
                <w:color w:val="000000"/>
                <w:sz w:val="24"/>
              </w:rPr>
              <w:t xml:space="preserve"> for 30 seconds, so several instances can run at once</w:t>
            </w:r>
          </w:p>
        </w:tc>
      </w:tr>
      <w:tr>
        <w:tc>
          <w:tcPr>
            <w:tcW w:type="dxa" w:w="1749"/>
          </w:tcPr>
          <w:p>
            <w:pPr>
              <w:spacing w:after="0"/>
            </w:pPr>
            <w:r>
              <w:rPr>
                <w:rFonts w:ascii="Arial" w:hAnsi="Arial" w:eastAsia="Arial"/>
                <w:b w:val="0"/>
                <w:color w:val="000000"/>
                <w:sz w:val="24"/>
              </w:rPr>
              <w:t>Send</w:t>
            </w:r>
          </w:p>
        </w:tc>
        <w:tc>
          <w:tcPr>
            <w:tcW w:type="dxa" w:w="7889"/>
          </w:tcPr>
          <w:p>
            <w:pPr>
              <w:spacing w:after="0"/>
            </w:pPr>
            <w:r>
              <w:rPr>
                <w:rFonts w:ascii="Arial" w:hAnsi="Arial" w:eastAsia="Arial"/>
                <w:b w:val="0"/>
                <w:color w:val="000000"/>
                <w:sz w:val="24"/>
              </w:rPr>
              <w:t xml:space="preserve">Outside any database transaction, passing the </w:t>
            </w:r>
            <w:r>
              <w:rPr>
                <w:rFonts w:ascii="Arial" w:hAnsi="Arial" w:eastAsia="Arial"/>
                <w:b w:val="0"/>
                <w:color w:val="000000"/>
                <w:sz w:val="24"/>
              </w:rPr>
              <w:t>event_id</w:t>
            </w:r>
            <w:r>
              <w:rPr>
                <w:rFonts w:ascii="Arial" w:hAnsi="Arial" w:eastAsia="Arial"/>
                <w:b w:val="0"/>
                <w:color w:val="000000"/>
                <w:sz w:val="24"/>
              </w:rPr>
              <w:t xml:space="preserve"> downstream</w:t>
            </w:r>
          </w:p>
        </w:tc>
      </w:tr>
      <w:tr>
        <w:tc>
          <w:tcPr>
            <w:tcW w:type="dxa" w:w="1749"/>
          </w:tcPr>
          <w:p>
            <w:pPr>
              <w:spacing w:after="0"/>
            </w:pPr>
            <w:r>
              <w:rPr>
                <w:rFonts w:ascii="Arial" w:hAnsi="Arial" w:eastAsia="Arial"/>
                <w:b w:val="0"/>
                <w:color w:val="000000"/>
                <w:sz w:val="24"/>
              </w:rPr>
              <w:t>Mark</w:t>
            </w:r>
          </w:p>
        </w:tc>
        <w:tc>
          <w:tcPr>
            <w:tcW w:type="dxa" w:w="7889"/>
          </w:tcPr>
          <w:p>
            <w:pPr>
              <w:spacing w:after="0"/>
            </w:pPr>
            <w:r>
              <w:rPr>
                <w:rFonts w:ascii="Arial" w:hAnsi="Arial" w:eastAsia="Arial"/>
                <w:b w:val="0"/>
                <w:color w:val="000000"/>
                <w:sz w:val="24"/>
              </w:rPr>
              <w:t xml:space="preserve">Success → </w:t>
            </w:r>
            <w:r>
              <w:rPr>
                <w:rFonts w:ascii="Arial" w:hAnsi="Arial" w:eastAsia="Arial"/>
                <w:b w:val="0"/>
                <w:color w:val="000000"/>
                <w:sz w:val="24"/>
              </w:rPr>
              <w:t>SENT</w:t>
            </w:r>
            <w:r>
              <w:rPr>
                <w:rFonts w:ascii="Arial" w:hAnsi="Arial" w:eastAsia="Arial"/>
                <w:b w:val="0"/>
                <w:color w:val="000000"/>
                <w:sz w:val="24"/>
              </w:rPr>
              <w:t xml:space="preserve">. A retryable failure is retried with exponential backoff and full jitter, from 2 seconds up to 5 minutes. After 8 attempts, or at once on an error that retrying cannot fix such as an ERP 4xx → </w:t>
            </w:r>
            <w:r>
              <w:rPr>
                <w:rFonts w:ascii="Arial" w:hAnsi="Arial" w:eastAsia="Arial"/>
                <w:b w:val="0"/>
                <w:color w:val="000000"/>
                <w:sz w:val="24"/>
              </w:rPr>
              <w:t>DEAD</w:t>
            </w:r>
            <w:r>
              <w:rPr>
                <w:rFonts w:ascii="Arial" w:hAnsi="Arial" w:eastAsia="Arial"/>
                <w:b w:val="0"/>
                <w:color w:val="000000"/>
                <w:sz w:val="24"/>
              </w:rPr>
              <w:t xml:space="preserve">, counted by the </w:t>
            </w:r>
            <w:r>
              <w:rPr>
                <w:rFonts w:ascii="Arial" w:hAnsi="Arial" w:eastAsia="Arial"/>
                <w:b w:val="0"/>
                <w:color w:val="000000"/>
                <w:sz w:val="24"/>
              </w:rPr>
              <w:t>outbox_dead</w:t>
            </w:r>
            <w:r>
              <w:rPr>
                <w:rFonts w:ascii="Arial" w:hAnsi="Arial" w:eastAsia="Arial"/>
                <w:b w:val="0"/>
                <w:color w:val="000000"/>
                <w:sz w:val="24"/>
              </w:rPr>
              <w:t xml:space="preserve"> gauge and requeued by the procedure in the API README</w:t>
            </w:r>
          </w:p>
        </w:tc>
      </w:tr>
      <w:tr>
        <w:tc>
          <w:tcPr>
            <w:tcW w:type="dxa" w:w="1749"/>
          </w:tcPr>
          <w:p>
            <w:pPr>
              <w:spacing w:after="0"/>
            </w:pPr>
            <w:r>
              <w:rPr>
                <w:rFonts w:ascii="Arial" w:hAnsi="Arial" w:eastAsia="Arial"/>
                <w:b w:val="0"/>
                <w:color w:val="000000"/>
                <w:sz w:val="24"/>
              </w:rPr>
              <w:t>Never lost</w:t>
            </w:r>
          </w:p>
        </w:tc>
        <w:tc>
          <w:tcPr>
            <w:tcW w:type="dxa" w:w="7889"/>
          </w:tcPr>
          <w:p>
            <w:pPr>
              <w:spacing w:after="0"/>
            </w:pPr>
            <w:r>
              <w:rPr>
                <w:rFonts w:ascii="Arial" w:hAnsi="Arial" w:eastAsia="Arial"/>
                <w:b w:val="0"/>
                <w:color w:val="000000"/>
                <w:sz w:val="24"/>
              </w:rPr>
              <w:t>If the service stops between send and mark, the lease expires and the event is sent again</w:t>
            </w:r>
          </w:p>
        </w:tc>
      </w:tr>
      <w:tr>
        <w:tc>
          <w:tcPr>
            <w:tcW w:type="dxa" w:w="1749"/>
          </w:tcPr>
          <w:p>
            <w:pPr>
              <w:spacing w:after="0"/>
            </w:pPr>
            <w:r>
              <w:rPr>
                <w:rFonts w:ascii="Arial" w:hAnsi="Arial" w:eastAsia="Arial"/>
                <w:b w:val="0"/>
                <w:color w:val="000000"/>
                <w:sz w:val="24"/>
              </w:rPr>
              <w:t>Never applied twice</w:t>
            </w:r>
          </w:p>
        </w:tc>
        <w:tc>
          <w:tcPr>
            <w:tcW w:type="dxa" w:w="7889"/>
          </w:tcPr>
          <w:p>
            <w:pPr>
              <w:spacing w:after="0"/>
            </w:pPr>
            <w:r>
              <w:rPr>
                <w:rFonts w:ascii="Arial" w:hAnsi="Arial" w:eastAsia="Arial"/>
                <w:b w:val="0"/>
                <w:color w:val="000000"/>
                <w:sz w:val="24"/>
              </w:rPr>
              <w:t xml:space="preserve">Consumers deduplicate by </w:t>
            </w:r>
            <w:r>
              <w:rPr>
                <w:rFonts w:ascii="Arial" w:hAnsi="Arial" w:eastAsia="Arial"/>
                <w:b w:val="0"/>
                <w:color w:val="000000"/>
                <w:sz w:val="24"/>
              </w:rPr>
              <w:t>event_id</w:t>
            </w:r>
            <w:r>
              <w:rPr>
                <w:rFonts w:ascii="Arial" w:hAnsi="Arial" w:eastAsia="Arial"/>
                <w:b w:val="0"/>
                <w:color w:val="000000"/>
                <w:sz w:val="24"/>
              </w:rPr>
              <w:t>: push uses it as the collapse id, and the ERP upserts by order number. The fake gateways of the repository deduplicate the same way and can be told to fail</w:t>
            </w:r>
          </w:p>
        </w:tc>
      </w:tr>
      <w:tr>
        <w:tc>
          <w:tcPr>
            <w:tcW w:type="dxa" w:w="1749"/>
          </w:tcPr>
          <w:p>
            <w:pPr>
              <w:spacing w:after="0"/>
            </w:pPr>
            <w:r>
              <w:rPr>
                <w:rFonts w:ascii="Arial" w:hAnsi="Arial" w:eastAsia="Arial"/>
                <w:b w:val="0"/>
                <w:color w:val="000000"/>
                <w:sz w:val="24"/>
              </w:rPr>
              <w:t>External system down</w:t>
            </w:r>
          </w:p>
        </w:tc>
        <w:tc>
          <w:tcPr>
            <w:tcW w:type="dxa" w:w="7889"/>
          </w:tcPr>
          <w:p>
            <w:pPr>
              <w:spacing w:after="0"/>
            </w:pPr>
            <w:r>
              <w:rPr>
                <w:rFonts w:ascii="Arial" w:hAnsi="Arial" w:eastAsia="Arial"/>
                <w:b w:val="0"/>
                <w:color w:val="000000"/>
                <w:sz w:val="24"/>
              </w:rPr>
              <w:t xml:space="preserve">The order stays confirmed. The effect waits in the outbox, </w:t>
            </w:r>
            <w:r>
              <w:rPr>
                <w:rFonts w:ascii="Arial" w:hAnsi="Arial" w:eastAsia="Arial"/>
                <w:b w:val="0"/>
                <w:color w:val="000000"/>
                <w:sz w:val="24"/>
              </w:rPr>
              <w:t>outbox_pending</w:t>
            </w:r>
            <w:r>
              <w:rPr>
                <w:rFonts w:ascii="Arial" w:hAnsi="Arial" w:eastAsia="Arial"/>
                <w:b w:val="0"/>
                <w:color w:val="000000"/>
                <w:sz w:val="24"/>
              </w:rPr>
              <w:t xml:space="preserve"> shows the backlog, and delivery resumes on recovery</w:t>
            </w:r>
          </w:p>
        </w:tc>
      </w:tr>
    </w:tbl>
    <w:p>
      <w:pPr>
        <w:spacing w:before="120"/>
      </w:pPr>
      <w:r>
        <w:rPr>
          <w:rFonts w:ascii="Arial" w:hAnsi="Arial" w:eastAsia="Arial"/>
          <w:b w:val="0"/>
          <w:color w:val="000000"/>
          <w:sz w:val="24"/>
        </w:rPr>
        <w:t xml:space="preserve">Publishing after commit was rejected because a crash loses the event; two-phase commit, because push and the ERP cannot join it; change data capture, because it is too much infrastructure for this scope. The tests are </w:t>
      </w:r>
      <w:r>
        <w:rPr>
          <w:rFonts w:ascii="Arial" w:hAnsi="Arial" w:eastAsia="Arial"/>
          <w:b w:val="0"/>
          <w:color w:val="000000"/>
          <w:sz w:val="24"/>
        </w:rPr>
        <w:t>OutboxWriteIT</w:t>
      </w:r>
      <w:r>
        <w:rPr>
          <w:rFonts w:ascii="Arial" w:hAnsi="Arial" w:eastAsia="Arial"/>
          <w:b w:val="0"/>
          <w:color w:val="000000"/>
          <w:sz w:val="24"/>
        </w:rPr>
        <w:t xml:space="preserve"> (exactly one push and one ERP event per order) and </w:t>
      </w:r>
      <w:r>
        <w:rPr>
          <w:rFonts w:ascii="Arial" w:hAnsi="Arial" w:eastAsia="Arial"/>
          <w:b w:val="0"/>
          <w:color w:val="000000"/>
          <w:sz w:val="24"/>
        </w:rPr>
        <w:t>OutboxRelayIT</w:t>
      </w:r>
      <w:r>
        <w:rPr>
          <w:rFonts w:ascii="Arial" w:hAnsi="Arial" w:eastAsia="Arial"/>
          <w:b w:val="0"/>
          <w:color w:val="000000"/>
          <w:sz w:val="24"/>
        </w:rPr>
        <w:t xml:space="preserve"> (outage recovery, lease expiry with deduplication, </w:t>
      </w:r>
      <w:r>
        <w:rPr>
          <w:rFonts w:ascii="Arial" w:hAnsi="Arial" w:eastAsia="Arial"/>
          <w:b w:val="0"/>
          <w:color w:val="000000"/>
          <w:sz w:val="24"/>
        </w:rPr>
        <w:t>DEAD</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6.6 Consistency model and what it sacrifices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66"/>
        <w:gridCol w:w="2946"/>
        <w:gridCol w:w="4226"/>
      </w:tblGrid>
      <w:tr>
        <w:tc>
          <w:tcPr>
            <w:tcW w:type="dxa" w:w="2466"/>
          </w:tcPr>
          <w:p>
            <w:pPr>
              <w:spacing w:after="0"/>
            </w:pPr>
            <w:r>
              <w:rPr>
                <w:rFonts w:ascii="Arial" w:hAnsi="Arial" w:eastAsia="Arial"/>
                <w:b/>
                <w:color w:val="000000"/>
                <w:sz w:val="24"/>
              </w:rPr>
              <w:t>Scope</w:t>
            </w:r>
          </w:p>
        </w:tc>
        <w:tc>
          <w:tcPr>
            <w:tcW w:type="dxa" w:w="2946"/>
          </w:tcPr>
          <w:p>
            <w:pPr>
              <w:spacing w:after="0"/>
            </w:pPr>
            <w:r>
              <w:rPr>
                <w:rFonts w:ascii="Arial" w:hAnsi="Arial" w:eastAsia="Arial"/>
                <w:b/>
                <w:color w:val="000000"/>
                <w:sz w:val="24"/>
              </w:rPr>
              <w:t>Model</w:t>
            </w:r>
          </w:p>
        </w:tc>
        <w:tc>
          <w:tcPr>
            <w:tcW w:type="dxa" w:w="4226"/>
          </w:tcPr>
          <w:p>
            <w:pPr>
              <w:spacing w:after="0"/>
            </w:pPr>
            <w:r>
              <w:rPr>
                <w:rFonts w:ascii="Arial" w:hAnsi="Arial" w:eastAsia="Arial"/>
                <w:b/>
                <w:color w:val="000000"/>
                <w:sz w:val="24"/>
              </w:rPr>
              <w:t>Sacrificed</w:t>
            </w:r>
          </w:p>
        </w:tc>
      </w:tr>
      <w:tr>
        <w:tc>
          <w:tcPr>
            <w:tcW w:type="dxa" w:w="2466"/>
          </w:tcPr>
          <w:p>
            <w:pPr>
              <w:spacing w:after="0"/>
            </w:pPr>
            <w:r>
              <w:rPr>
                <w:rFonts w:ascii="Arial" w:hAnsi="Arial" w:eastAsia="Arial"/>
                <w:b w:val="0"/>
                <w:color w:val="000000"/>
                <w:sz w:val="24"/>
              </w:rPr>
              <w:t>Order, credit, idempotency key, outbox events</w:t>
            </w:r>
          </w:p>
        </w:tc>
        <w:tc>
          <w:tcPr>
            <w:tcW w:type="dxa" w:w="2946"/>
          </w:tcPr>
          <w:p>
            <w:pPr>
              <w:spacing w:after="0"/>
            </w:pPr>
            <w:r>
              <w:rPr>
                <w:rFonts w:ascii="Arial" w:hAnsi="Arial" w:eastAsia="Arial"/>
                <w:b w:val="0"/>
                <w:color w:val="000000"/>
                <w:sz w:val="24"/>
              </w:rPr>
              <w:t>Strong: one ACID transaction in one database</w:t>
            </w:r>
          </w:p>
        </w:tc>
        <w:tc>
          <w:tcPr>
            <w:tcW w:type="dxa" w:w="4226"/>
          </w:tcPr>
          <w:p>
            <w:pPr>
              <w:spacing w:after="0"/>
            </w:pPr>
            <w:r>
              <w:rPr>
                <w:rFonts w:ascii="Arial" w:hAnsi="Arial" w:eastAsia="Arial"/>
                <w:b w:val="0"/>
                <w:color w:val="000000"/>
                <w:sz w:val="24"/>
              </w:rPr>
              <w:t>Availability while the database is down. Confirmations of the same customer serialize on its credit row. The write path depends on a single database</w:t>
            </w:r>
          </w:p>
        </w:tc>
      </w:tr>
      <w:tr>
        <w:tc>
          <w:tcPr>
            <w:tcW w:type="dxa" w:w="2466"/>
          </w:tcPr>
          <w:p>
            <w:pPr>
              <w:spacing w:after="0"/>
            </w:pPr>
            <w:r>
              <w:rPr>
                <w:rFonts w:ascii="Arial" w:hAnsi="Arial" w:eastAsia="Arial"/>
                <w:b w:val="0"/>
                <w:color w:val="000000"/>
                <w:sz w:val="24"/>
              </w:rPr>
              <w:t>Push and ERP</w:t>
            </w:r>
          </w:p>
        </w:tc>
        <w:tc>
          <w:tcPr>
            <w:tcW w:type="dxa" w:w="2946"/>
          </w:tcPr>
          <w:p>
            <w:pPr>
              <w:spacing w:after="0"/>
            </w:pPr>
            <w:r>
              <w:rPr>
                <w:rFonts w:ascii="Arial" w:hAnsi="Arial" w:eastAsia="Arial"/>
                <w:b w:val="0"/>
                <w:color w:val="000000"/>
                <w:sz w:val="24"/>
              </w:rPr>
              <w:t>Eventual: at-least-once delivery, deduplicated by consumers</w:t>
            </w:r>
          </w:p>
        </w:tc>
        <w:tc>
          <w:tcPr>
            <w:tcW w:type="dxa" w:w="4226"/>
          </w:tcPr>
          <w:p>
            <w:pPr>
              <w:spacing w:after="0"/>
            </w:pPr>
            <w:r>
              <w:rPr>
                <w:rFonts w:ascii="Arial" w:hAnsi="Arial" w:eastAsia="Arial"/>
                <w:b w:val="0"/>
                <w:color w:val="000000"/>
                <w:sz w:val="24"/>
              </w:rPr>
              <w:t>They lag behind the confirmation by the poll interval plus any retries</w:t>
            </w:r>
          </w:p>
        </w:tc>
      </w:tr>
    </w:tbl>
    <w:p>
      <w:pPr>
        <w:pStyle w:val="Heading3"/>
        <w:keepNext/>
        <w:spacing w:before="160" w:after="80"/>
      </w:pPr>
      <w:r>
        <w:rPr>
          <w:rFonts w:ascii="Arial" w:hAnsi="Arial" w:eastAsia="Arial"/>
          <w:b/>
          <w:color w:val="000000"/>
          <w:sz w:val="24"/>
        </w:rPr>
        <w:t>6.7 The "three releases": root-cause hypotheses and the test that closes each</w:t>
      </w:r>
    </w:p>
    <w:p>
      <w:r>
        <w:rPr>
          <w:rFonts w:ascii="Arial" w:hAnsi="Arial" w:eastAsia="Arial"/>
          <w:b w:val="0"/>
          <w:color w:val="000000"/>
          <w:sz w:val="24"/>
        </w:rPr>
        <w:t>The assignment reports orders that were confirmed, given a number, and then missing. The cause was never stated, so each plausible root cause was listed (SPEC §7.6), answered by a design rule, and closed by a test that fails if the rule is broken: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07"/>
        <w:gridCol w:w="2517"/>
        <w:gridCol w:w="4414"/>
      </w:tblGrid>
      <w:tr>
        <w:tc>
          <w:tcPr>
            <w:tcW w:type="dxa" w:w="2707"/>
          </w:tcPr>
          <w:p>
            <w:pPr>
              <w:spacing w:after="0"/>
            </w:pPr>
            <w:r>
              <w:rPr>
                <w:rFonts w:ascii="Arial" w:hAnsi="Arial" w:eastAsia="Arial"/>
                <w:b/>
                <w:color w:val="000000"/>
                <w:sz w:val="24"/>
              </w:rPr>
              <w:t>Plausible root cause</w:t>
            </w:r>
          </w:p>
        </w:tc>
        <w:tc>
          <w:tcPr>
            <w:tcW w:type="dxa" w:w="2517"/>
          </w:tcPr>
          <w:p>
            <w:pPr>
              <w:spacing w:after="0"/>
            </w:pPr>
            <w:r>
              <w:rPr>
                <w:rFonts w:ascii="Arial" w:hAnsi="Arial" w:eastAsia="Arial"/>
                <w:b/>
                <w:color w:val="000000"/>
                <w:sz w:val="24"/>
              </w:rPr>
              <w:t>Design answer</w:t>
            </w:r>
          </w:p>
        </w:tc>
        <w:tc>
          <w:tcPr>
            <w:tcW w:type="dxa" w:w="4414"/>
          </w:tcPr>
          <w:p>
            <w:pPr>
              <w:spacing w:after="0"/>
            </w:pPr>
            <w:r>
              <w:rPr>
                <w:rFonts w:ascii="Arial" w:hAnsi="Arial" w:eastAsia="Arial"/>
                <w:b/>
                <w:color w:val="000000"/>
                <w:sz w:val="24"/>
              </w:rPr>
              <w:t>Test that closes it</w:t>
            </w:r>
          </w:p>
        </w:tc>
      </w:tr>
      <w:tr>
        <w:tc>
          <w:tcPr>
            <w:tcW w:type="dxa" w:w="2707"/>
          </w:tcPr>
          <w:p>
            <w:pPr>
              <w:spacing w:after="0"/>
            </w:pPr>
            <w:r>
              <w:rPr>
                <w:rFonts w:ascii="Arial" w:hAnsi="Arial" w:eastAsia="Arial"/>
                <w:b w:val="0"/>
                <w:color w:val="000000"/>
                <w:sz w:val="24"/>
              </w:rPr>
              <w:t>The response was sent before the commit</w:t>
            </w:r>
          </w:p>
        </w:tc>
        <w:tc>
          <w:tcPr>
            <w:tcW w:type="dxa" w:w="2517"/>
          </w:tcPr>
          <w:p>
            <w:pPr>
              <w:spacing w:after="0"/>
            </w:pPr>
            <w:r>
              <w:rPr>
                <w:rFonts w:ascii="Arial" w:hAnsi="Arial" w:eastAsia="Arial"/>
                <w:b w:val="0"/>
                <w:color w:val="000000"/>
                <w:sz w:val="24"/>
              </w:rPr>
              <w:t>The 201 is serialized only after the commit (I-201)</w:t>
            </w:r>
          </w:p>
        </w:tc>
        <w:tc>
          <w:tcPr>
            <w:tcW w:type="dxa" w:w="4414"/>
          </w:tcPr>
          <w:p>
            <w:pPr>
              <w:spacing w:after="0"/>
            </w:pPr>
            <w:r>
              <w:rPr>
                <w:rFonts w:ascii="Arial" w:hAnsi="Arial" w:eastAsia="Arial"/>
                <w:b w:val="0"/>
                <w:color w:val="000000"/>
                <w:sz w:val="24"/>
              </w:rPr>
              <w:t>ConfirmOrderCommitOrderingIT</w:t>
            </w:r>
            <w:r>
              <w:rPr>
                <w:rFonts w:ascii="Arial" w:hAnsi="Arial" w:eastAsia="Arial"/>
                <w:b w:val="0"/>
                <w:color w:val="000000"/>
                <w:sz w:val="24"/>
              </w:rPr>
              <w:t>: when the answer is written, no transaction is open and another connection already reads the order. A failure raised by the commit itself, through a deferred constraint trigger, is never answered with a 201, and a retry then confirms once</w:t>
            </w:r>
          </w:p>
        </w:tc>
      </w:tr>
      <w:tr>
        <w:tc>
          <w:tcPr>
            <w:tcW w:type="dxa" w:w="2707"/>
          </w:tcPr>
          <w:p>
            <w:pPr>
              <w:spacing w:after="0"/>
            </w:pPr>
            <w:r>
              <w:rPr>
                <w:rFonts w:ascii="Arial" w:hAnsi="Arial" w:eastAsia="Arial"/>
                <w:b w:val="0"/>
                <w:color w:val="000000"/>
                <w:sz w:val="24"/>
              </w:rPr>
              <w:t>@Transactional</w:t>
            </w:r>
            <w:r>
              <w:rPr>
                <w:rFonts w:ascii="Arial" w:hAnsi="Arial" w:eastAsia="Arial"/>
                <w:b w:val="0"/>
                <w:color w:val="000000"/>
                <w:sz w:val="24"/>
              </w:rPr>
              <w:t xml:space="preserve"> was bypassed by self-invocation</w:t>
            </w:r>
          </w:p>
        </w:tc>
        <w:tc>
          <w:tcPr>
            <w:tcW w:type="dxa" w:w="2517"/>
          </w:tcPr>
          <w:p>
            <w:pPr>
              <w:spacing w:after="0"/>
            </w:pPr>
            <w:r>
              <w:rPr>
                <w:rFonts w:ascii="Arial" w:hAnsi="Arial" w:eastAsia="Arial"/>
                <w:b w:val="0"/>
                <w:color w:val="000000"/>
                <w:sz w:val="24"/>
              </w:rPr>
              <w:t>The transaction boundary is a separate use-case bean, enforced by ArchUnit</w:t>
            </w:r>
          </w:p>
        </w:tc>
        <w:tc>
          <w:tcPr>
            <w:tcW w:type="dxa" w:w="4414"/>
          </w:tcPr>
          <w:p>
            <w:pPr>
              <w:spacing w:after="0"/>
            </w:pPr>
            <w:r>
              <w:rPr>
                <w:rFonts w:ascii="Arial" w:hAnsi="Arial" w:eastAsia="Arial"/>
                <w:b w:val="0"/>
                <w:color w:val="000000"/>
                <w:sz w:val="24"/>
              </w:rPr>
              <w:t>TransactionBoundaryArchTest</w:t>
            </w:r>
            <w:r>
              <w:rPr>
                <w:rFonts w:ascii="Arial" w:hAnsi="Arial" w:eastAsia="Arial"/>
                <w:b w:val="0"/>
                <w:color w:val="000000"/>
                <w:sz w:val="24"/>
              </w:rPr>
              <w:t xml:space="preserve">, </w:t>
            </w:r>
            <w:r>
              <w:rPr>
                <w:rFonts w:ascii="Arial" w:hAnsi="Arial" w:eastAsia="Arial"/>
                <w:b w:val="0"/>
                <w:color w:val="000000"/>
                <w:sz w:val="24"/>
              </w:rPr>
              <w:t>ConfirmOrderFailureInjectionIT</w:t>
            </w:r>
          </w:p>
        </w:tc>
      </w:tr>
      <w:tr>
        <w:tc>
          <w:tcPr>
            <w:tcW w:type="dxa" w:w="2707"/>
          </w:tcPr>
          <w:p>
            <w:pPr>
              <w:spacing w:after="0"/>
            </w:pPr>
            <w:r>
              <w:rPr>
                <w:rFonts w:ascii="Arial" w:hAnsi="Arial" w:eastAsia="Arial"/>
                <w:b w:val="0"/>
                <w:color w:val="000000"/>
                <w:sz w:val="24"/>
              </w:rPr>
              <w:t>The history was read from a replica or from the ERP</w:t>
            </w:r>
          </w:p>
        </w:tc>
        <w:tc>
          <w:tcPr>
            <w:tcW w:type="dxa" w:w="2517"/>
          </w:tcPr>
          <w:p>
            <w:pPr>
              <w:spacing w:after="0"/>
            </w:pPr>
            <w:r>
              <w:rPr>
                <w:rFonts w:ascii="Arial" w:hAnsi="Arial" w:eastAsia="Arial"/>
                <w:b w:val="0"/>
                <w:color w:val="000000"/>
                <w:sz w:val="24"/>
              </w:rPr>
              <w:t>Order detail and history read the primary tables synchronously</w:t>
            </w:r>
          </w:p>
        </w:tc>
        <w:tc>
          <w:tcPr>
            <w:tcW w:type="dxa" w:w="4414"/>
          </w:tcPr>
          <w:p>
            <w:pPr>
              <w:spacing w:after="0"/>
            </w:pPr>
            <w:r>
              <w:rPr>
                <w:rFonts w:ascii="Arial" w:hAnsi="Arial" w:eastAsia="Arial"/>
                <w:b w:val="0"/>
                <w:color w:val="000000"/>
                <w:sz w:val="24"/>
              </w:rPr>
              <w:t>OrderReadYourWritesIT</w:t>
            </w:r>
            <w:r>
              <w:rPr>
                <w:rFonts w:ascii="Arial" w:hAnsi="Arial" w:eastAsia="Arial"/>
                <w:b w:val="0"/>
                <w:color w:val="000000"/>
                <w:sz w:val="24"/>
              </w:rPr>
              <w:t>: every 201 order is immediately readable by id and in the history</w:t>
            </w:r>
          </w:p>
        </w:tc>
      </w:tr>
      <w:tr>
        <w:tc>
          <w:tcPr>
            <w:tcW w:type="dxa" w:w="2707"/>
          </w:tcPr>
          <w:p>
            <w:pPr>
              <w:spacing w:after="0"/>
            </w:pPr>
            <w:r>
              <w:rPr>
                <w:rFonts w:ascii="Arial" w:hAnsi="Arial" w:eastAsia="Arial"/>
                <w:b w:val="0"/>
                <w:color w:val="000000"/>
                <w:sz w:val="24"/>
              </w:rPr>
              <w:t>The order was written asynchronously after replying</w:t>
            </w:r>
          </w:p>
        </w:tc>
        <w:tc>
          <w:tcPr>
            <w:tcW w:type="dxa" w:w="2517"/>
          </w:tcPr>
          <w:p>
            <w:pPr>
              <w:spacing w:after="0"/>
            </w:pPr>
            <w:r>
              <w:rPr>
                <w:rFonts w:ascii="Arial" w:hAnsi="Arial" w:eastAsia="Arial"/>
                <w:b w:val="0"/>
                <w:color w:val="000000"/>
                <w:sz w:val="24"/>
              </w:rPr>
              <w:t>The order row is written in the request transaction; only the effects are asynchronous</w:t>
            </w:r>
          </w:p>
        </w:tc>
        <w:tc>
          <w:tcPr>
            <w:tcW w:type="dxa" w:w="4414"/>
          </w:tcPr>
          <w:p>
            <w:pPr>
              <w:spacing w:after="0"/>
            </w:pPr>
            <w:r>
              <w:rPr>
                <w:rFonts w:ascii="Arial" w:hAnsi="Arial" w:eastAsia="Arial"/>
                <w:b w:val="0"/>
                <w:color w:val="000000"/>
                <w:sz w:val="24"/>
              </w:rPr>
              <w:t>ConfirmOrderFailureInjectionIT</w:t>
            </w:r>
            <w:r>
              <w:rPr>
                <w:rFonts w:ascii="Arial" w:hAnsi="Arial" w:eastAsia="Arial"/>
                <w:b w:val="0"/>
                <w:color w:val="000000"/>
                <w:sz w:val="24"/>
              </w:rPr>
              <w:t>: a database trigger makes one of five writes fail before the commit (credit update, order, ledger, outbox, key). Nothing persists and the key is released; the retry with the same key creates exactly one order. When the answer is lost after the commit, the retry returns the same order number, byte for byte, as a replay</w:t>
            </w:r>
          </w:p>
        </w:tc>
      </w:tr>
      <w:tr>
        <w:tc>
          <w:tcPr>
            <w:tcW w:type="dxa" w:w="2707"/>
          </w:tcPr>
          <w:p>
            <w:pPr>
              <w:spacing w:after="0"/>
            </w:pPr>
            <w:r>
              <w:rPr>
                <w:rFonts w:ascii="Arial" w:hAnsi="Arial" w:eastAsia="Arial"/>
                <w:b w:val="0"/>
                <w:color w:val="000000"/>
                <w:sz w:val="24"/>
              </w:rPr>
              <w:t>A lost update or a duplicate on a double tap</w:t>
            </w:r>
          </w:p>
        </w:tc>
        <w:tc>
          <w:tcPr>
            <w:tcW w:type="dxa" w:w="2517"/>
          </w:tcPr>
          <w:p>
            <w:pPr>
              <w:spacing w:after="0"/>
            </w:pPr>
            <w:r>
              <w:rPr>
                <w:rFonts w:ascii="Arial" w:hAnsi="Arial" w:eastAsia="Arial"/>
                <w:b w:val="0"/>
                <w:color w:val="000000"/>
                <w:sz w:val="24"/>
              </w:rPr>
              <w:t>Unique idempotency key, unique quote per order, conditional credit update</w:t>
            </w:r>
          </w:p>
        </w:tc>
        <w:tc>
          <w:tcPr>
            <w:tcW w:type="dxa" w:w="4414"/>
          </w:tcPr>
          <w:p>
            <w:pPr>
              <w:spacing w:after="0"/>
            </w:pPr>
            <w:r>
              <w:rPr>
                <w:rFonts w:ascii="Arial" w:hAnsi="Arial" w:eastAsia="Arial"/>
                <w:b w:val="0"/>
                <w:color w:val="000000"/>
                <w:sz w:val="24"/>
              </w:rPr>
              <w:t>ConfirmOrderConcurrencyIT</w:t>
            </w:r>
            <w:r>
              <w:rPr>
                <w:rFonts w:ascii="Arial" w:hAnsi="Arial" w:eastAsia="Arial"/>
                <w:b w:val="0"/>
                <w:color w:val="000000"/>
                <w:sz w:val="24"/>
              </w:rPr>
              <w:t>: 6 concurrent requests with one key, sent while the credit row is held, all get a 201 with the same body, only one is not a replay, and there is one order, one ledger row and two outbox events. Two confirmations that together exceed the limit: exactly one succeeds</w:t>
            </w:r>
          </w:p>
        </w:tc>
      </w:tr>
    </w:tbl>
    <w:p>
      <w:pPr>
        <w:spacing w:before="120"/>
      </w:pPr>
      <w:r>
        <w:rPr>
          <w:rFonts w:ascii="Arial" w:hAnsi="Arial" w:eastAsia="Arial"/>
          <w:b w:val="0"/>
          <w:color w:val="000000"/>
          <w:sz w:val="24"/>
        </w:rPr>
        <w:t xml:space="preserve">The web client closes the same defect on its side: it keeps no copy of orders, and My orders reads the history on every visit, so a committed order cannot be hidden by a client cache (AC-52, proven by </w:t>
      </w:r>
      <w:r>
        <w:rPr>
          <w:rFonts w:ascii="Arial" w:hAnsi="Arial" w:eastAsia="Arial"/>
          <w:b w:val="0"/>
          <w:color w:val="000000"/>
          <w:sz w:val="24"/>
        </w:rPr>
        <w:t>history-read-your-writes.spec.ts</w:t>
      </w:r>
      <w:r>
        <w:rPr>
          <w:rFonts w:ascii="Arial" w:hAnsi="Arial" w:eastAsia="Arial"/>
          <w:b w:val="0"/>
          <w:color w:val="000000"/>
          <w:sz w:val="24"/>
        </w:rPr>
        <w:t xml:space="preserve"> and the end-to-end flow).</w:t>
      </w:r>
    </w:p>
    <w:p>
      <w:pPr>
        <w:pStyle w:val="Heading2"/>
        <w:keepNext/>
        <w:spacing w:before="160" w:after="80"/>
      </w:pPr>
      <w:r>
        <w:rPr>
          <w:rFonts w:ascii="Arial" w:hAnsi="Arial" w:eastAsia="Arial"/>
          <w:b/>
          <w:color w:val="000000"/>
          <w:sz w:val="24"/>
        </w:rPr>
        <w:t>7. The ADR (A3)</w:t>
      </w:r>
    </w:p>
    <w:p>
      <w:r>
        <w:rPr>
          <w:rFonts w:ascii="Arial" w:hAnsi="Arial" w:eastAsia="Arial"/>
          <w:b w:val="0"/>
          <w:color w:val="000000"/>
          <w:sz w:val="24"/>
        </w:rPr>
        <w:t xml:space="preserve">The assignment asks for one ADR of at most one page, so the delivery has exactly one: </w:t>
      </w:r>
      <w:r>
        <w:rPr>
          <w:rFonts w:ascii="Arial" w:hAnsi="Arial" w:eastAsia="Arial"/>
          <w:b w:val="0"/>
          <w:color w:val="000000"/>
          <w:sz w:val="24"/>
        </w:rPr>
        <w:t>orderflow-engine-api/docs/adr/0001-order-pricing-and-confirmation.md</w:t>
      </w:r>
      <w:r>
        <w:rPr>
          <w:rFonts w:ascii="Arial" w:hAnsi="Arial" w:eastAsia="Arial"/>
          <w:b w:val="0"/>
          <w:color w:val="000000"/>
          <w:sz w:val="24"/>
        </w:rPr>
        <w:t>, "Sealed quotes and a single-transaction confirmation", with its Spanish pair. It uses the header table of MADR 4.0.0 (status, date, decision makers, confidence) and the four sections A3 requires.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8"/>
        <w:gridCol w:w="7290"/>
      </w:tblGrid>
      <w:tr>
        <w:tc>
          <w:tcPr>
            <w:tcW w:type="dxa" w:w="2348"/>
          </w:tcPr>
          <w:p>
            <w:pPr>
              <w:spacing w:after="0"/>
            </w:pPr>
            <w:r>
              <w:rPr>
                <w:rFonts w:ascii="Arial" w:hAnsi="Arial" w:eastAsia="Arial"/>
                <w:b/>
                <w:color w:val="000000"/>
                <w:sz w:val="24"/>
              </w:rPr>
              <w:t>Section</w:t>
            </w:r>
          </w:p>
        </w:tc>
        <w:tc>
          <w:tcPr>
            <w:tcW w:type="dxa" w:w="7290"/>
          </w:tcPr>
          <w:p>
            <w:pPr>
              <w:spacing w:after="0"/>
            </w:pPr>
            <w:r>
              <w:rPr>
                <w:rFonts w:ascii="Arial" w:hAnsi="Arial" w:eastAsia="Arial"/>
                <w:b/>
                <w:color w:val="000000"/>
                <w:sz w:val="24"/>
              </w:rPr>
              <w:t>Content in short</w:t>
            </w:r>
          </w:p>
        </w:tc>
      </w:tr>
      <w:tr>
        <w:tc>
          <w:tcPr>
            <w:tcW w:type="dxa" w:w="2348"/>
          </w:tcPr>
          <w:p>
            <w:pPr>
              <w:spacing w:after="0"/>
            </w:pPr>
            <w:r>
              <w:rPr>
                <w:rFonts w:ascii="Arial" w:hAnsi="Arial" w:eastAsia="Arial"/>
                <w:b w:val="0"/>
                <w:color w:val="000000"/>
                <w:sz w:val="24"/>
              </w:rPr>
              <w:t>Decisions and discarded alternatives</w:t>
            </w:r>
          </w:p>
        </w:tc>
        <w:tc>
          <w:tcPr>
            <w:tcW w:type="dxa" w:w="7290"/>
          </w:tcPr>
          <w:p>
            <w:pPr>
              <w:spacing w:after="0"/>
            </w:pPr>
            <w:r>
              <w:rPr>
                <w:rFonts w:ascii="Arial" w:hAnsi="Arial" w:eastAsia="Arial"/>
                <w:b w:val="0"/>
                <w:color w:val="000000"/>
                <w:sz w:val="24"/>
              </w:rPr>
              <w:t xml:space="preserve">Sealed quote referenced by the order (not copying, not recomputing); </w:t>
            </w:r>
            <w:r>
              <w:rPr>
                <w:rFonts w:ascii="Arial" w:hAnsi="Arial" w:eastAsia="Arial"/>
                <w:b w:val="0"/>
                <w:color w:val="000000"/>
                <w:sz w:val="24"/>
              </w:rPr>
              <w:t>BigDecimal</w:t>
            </w:r>
            <w:r>
              <w:rPr>
                <w:rFonts w:ascii="Arial" w:hAnsi="Arial" w:eastAsia="Arial"/>
                <w:b w:val="0"/>
                <w:color w:val="000000"/>
                <w:sz w:val="24"/>
              </w:rPr>
              <w:t xml:space="preserve"> rounded per line, combos before tiers (not </w:t>
            </w:r>
            <w:r>
              <w:rPr>
                <w:rFonts w:ascii="Arial" w:hAnsi="Arial" w:eastAsia="Arial"/>
                <w:b w:val="0"/>
                <w:color w:val="000000"/>
                <w:sz w:val="24"/>
              </w:rPr>
              <w:t>long</w:t>
            </w:r>
            <w:r>
              <w:rPr>
                <w:rFonts w:ascii="Arial" w:hAnsi="Arial" w:eastAsia="Arial"/>
                <w:b w:val="0"/>
                <w:color w:val="000000"/>
                <w:sz w:val="24"/>
              </w:rPr>
              <w:t xml:space="preserve"> minor units, not rounding the total, not tiers first); one PostgreSQL transaction with locks key → quote → credit and the 201 after commit (not in-memory, not asynchronous write or saga, not keys in a cache); transactional outbox with lease and backoff (not publishing after commit, not two-phase commit); hexagonal monolith, explicit SQL, separate repositories (not microservices, not JPA, not a monorepo)</w:t>
            </w:r>
          </w:p>
        </w:tc>
      </w:tr>
      <w:tr>
        <w:tc>
          <w:tcPr>
            <w:tcW w:type="dxa" w:w="2348"/>
          </w:tcPr>
          <w:p>
            <w:pPr>
              <w:spacing w:after="0"/>
            </w:pPr>
            <w:r>
              <w:rPr>
                <w:rFonts w:ascii="Arial" w:hAnsi="Arial" w:eastAsia="Arial"/>
                <w:b w:val="0"/>
                <w:color w:val="000000"/>
                <w:sz w:val="24"/>
              </w:rPr>
              <w:t>Not implemented, on purpose</w:t>
            </w:r>
          </w:p>
        </w:tc>
        <w:tc>
          <w:tcPr>
            <w:tcW w:type="dxa" w:w="7290"/>
          </w:tcPr>
          <w:p>
            <w:pPr>
              <w:spacing w:after="0"/>
            </w:pPr>
            <w:r>
              <w:rPr>
                <w:rFonts w:ascii="Arial" w:hAnsi="Arial" w:eastAsia="Arial"/>
                <w:b w:val="0"/>
                <w:color w:val="000000"/>
                <w:sz w:val="24"/>
              </w:rPr>
              <w:t>Authentication, real push and ERP clients, and what was not asked for</w:t>
            </w:r>
          </w:p>
        </w:tc>
      </w:tr>
      <w:tr>
        <w:tc>
          <w:tcPr>
            <w:tcW w:type="dxa" w:w="2348"/>
          </w:tcPr>
          <w:p>
            <w:pPr>
              <w:spacing w:after="0"/>
            </w:pPr>
            <w:r>
              <w:rPr>
                <w:rFonts w:ascii="Arial" w:hAnsi="Arial" w:eastAsia="Arial"/>
                <w:b w:val="0"/>
                <w:color w:val="000000"/>
                <w:sz w:val="24"/>
              </w:rPr>
              <w:t>Code review checklist</w:t>
            </w:r>
          </w:p>
        </w:tc>
        <w:tc>
          <w:tcPr>
            <w:tcW w:type="dxa" w:w="7290"/>
          </w:tcPr>
          <w:p>
            <w:pPr>
              <w:spacing w:after="0"/>
            </w:pPr>
            <w:r>
              <w:rPr>
                <w:rFonts w:ascii="Arial" w:hAnsi="Arial" w:eastAsia="Arial"/>
                <w:b w:val="0"/>
                <w:color w:val="000000"/>
                <w:sz w:val="24"/>
              </w:rPr>
              <w:t xml:space="preserve">No </w:t>
            </w:r>
            <w:r>
              <w:rPr>
                <w:rFonts w:ascii="Arial" w:hAnsi="Arial" w:eastAsia="Arial"/>
                <w:b w:val="0"/>
                <w:color w:val="000000"/>
                <w:sz w:val="24"/>
              </w:rPr>
              <w:t>float</w:t>
            </w:r>
            <w:r>
              <w:rPr>
                <w:rFonts w:ascii="Arial" w:hAnsi="Arial" w:eastAsia="Arial"/>
                <w:b w:val="0"/>
                <w:color w:val="000000"/>
                <w:sz w:val="24"/>
              </w:rPr>
              <w:t xml:space="preserve"> or </w:t>
            </w:r>
            <w:r>
              <w:rPr>
                <w:rFonts w:ascii="Arial" w:hAnsi="Arial" w:eastAsia="Arial"/>
                <w:b w:val="0"/>
                <w:color w:val="000000"/>
                <w:sz w:val="24"/>
              </w:rPr>
              <w:t>double</w:t>
            </w:r>
            <w:r>
              <w:rPr>
                <w:rFonts w:ascii="Arial" w:hAnsi="Arial" w:eastAsia="Arial"/>
                <w:b w:val="0"/>
                <w:color w:val="000000"/>
                <w:sz w:val="24"/>
              </w:rPr>
              <w:t xml:space="preserve">; </w:t>
            </w:r>
            <w:r>
              <w:rPr>
                <w:rFonts w:ascii="Arial" w:hAnsi="Arial" w:eastAsia="Arial"/>
                <w:b w:val="0"/>
                <w:color w:val="000000"/>
                <w:sz w:val="24"/>
              </w:rPr>
              <w:t>compareTo</w:t>
            </w:r>
            <w:r>
              <w:rPr>
                <w:rFonts w:ascii="Arial" w:hAnsi="Arial" w:eastAsia="Arial"/>
                <w:b w:val="0"/>
                <w:color w:val="000000"/>
                <w:sz w:val="24"/>
              </w:rPr>
              <w:t xml:space="preserve"> for money; no UPDATE on quotes; </w:t>
            </w:r>
            <w:r>
              <w:rPr>
                <w:rFonts w:ascii="Arial" w:hAnsi="Arial" w:eastAsia="Arial"/>
                <w:b w:val="0"/>
                <w:color w:val="000000"/>
                <w:sz w:val="24"/>
              </w:rPr>
              <w:t>@Transactional</w:t>
            </w:r>
            <w:r>
              <w:rPr>
                <w:rFonts w:ascii="Arial" w:hAnsi="Arial" w:eastAsia="Arial"/>
                <w:b w:val="0"/>
                <w:color w:val="000000"/>
                <w:sz w:val="24"/>
              </w:rPr>
              <w:t xml:space="preserve"> only on use cases; lock order; 201 after commit; no cached failure; relay outside transactions; every lever with a golden test seen failing; user text only in i18n</w:t>
            </w:r>
          </w:p>
        </w:tc>
      </w:tr>
      <w:tr>
        <w:tc>
          <w:tcPr>
            <w:tcW w:type="dxa" w:w="2348"/>
          </w:tcPr>
          <w:p>
            <w:pPr>
              <w:spacing w:after="0"/>
            </w:pPr>
            <w:r>
              <w:rPr>
                <w:rFonts w:ascii="Arial" w:hAnsi="Arial" w:eastAsia="Arial"/>
                <w:b w:val="0"/>
                <w:color w:val="000000"/>
                <w:sz w:val="24"/>
              </w:rPr>
              <w:t>Risk and mitigation</w:t>
            </w:r>
          </w:p>
        </w:tc>
        <w:tc>
          <w:tcPr>
            <w:tcW w:type="dxa" w:w="7290"/>
          </w:tcPr>
          <w:p>
            <w:pPr>
              <w:spacing w:after="0"/>
            </w:pPr>
            <w:r>
              <w:rPr>
                <w:rFonts w:ascii="Arial" w:hAnsi="Arial" w:eastAsia="Arial"/>
                <w:b w:val="0"/>
                <w:color w:val="000000"/>
                <w:sz w:val="24"/>
              </w:rPr>
              <w:t>A sealed quote honors a wrong price until it expires. Mitigation: a 15-minute TTL per country, then revocation (OPEN → REVOKED, 409). Revisit if an incident affects more than 100 quotes or the TTL exceeds one hour</w:t>
            </w:r>
          </w:p>
        </w:tc>
      </w:tr>
    </w:tbl>
    <w:p>
      <w:pPr>
        <w:spacing w:before="120"/>
      </w:pPr>
      <w:r>
        <w:rPr>
          <w:rFonts w:ascii="Arial" w:hAnsi="Arial" w:eastAsia="Arial"/>
          <w:b w:val="0"/>
          <w:color w:val="000000"/>
          <w:sz w:val="24"/>
        </w:rPr>
        <w:t xml:space="preserve">The one-page limit is enforced twice: </w:t>
      </w:r>
      <w:r>
        <w:rPr>
          <w:rFonts w:ascii="Arial" w:hAnsi="Arial" w:eastAsia="Arial"/>
          <w:b w:val="0"/>
          <w:color w:val="000000"/>
          <w:sz w:val="24"/>
        </w:rPr>
        <w:t>check-docs</w:t>
      </w:r>
      <w:r>
        <w:rPr>
          <w:rFonts w:ascii="Arial" w:hAnsi="Arial" w:eastAsia="Arial"/>
          <w:b w:val="0"/>
          <w:color w:val="000000"/>
          <w:sz w:val="24"/>
        </w:rPr>
        <w:t xml:space="preserve"> fails above 500 words per language, and the Word and PDF build (Arial 12, A4, 2 cm margins) fails above one page. The ADR entered as a draft in T-00 (</w:t>
      </w:r>
      <w:r>
        <w:rPr>
          <w:rFonts w:ascii="Arial" w:hAnsi="Arial" w:eastAsia="Arial"/>
          <w:b w:val="0"/>
          <w:color w:val="000000"/>
          <w:sz w:val="24"/>
        </w:rPr>
        <w:t>docs(api): add ADR-0001 draft (T-00)</w:t>
      </w:r>
      <w:r>
        <w:rPr>
          <w:rFonts w:ascii="Arial" w:hAnsi="Arial" w:eastAsia="Arial"/>
          <w:b w:val="0"/>
          <w:color w:val="000000"/>
          <w:sz w:val="24"/>
        </w:rPr>
        <w:t>) and was accepted in T-16 (</w:t>
      </w:r>
      <w:r>
        <w:rPr>
          <w:rFonts w:ascii="Arial" w:hAnsi="Arial" w:eastAsia="Arial"/>
          <w:b w:val="0"/>
          <w:color w:val="000000"/>
          <w:sz w:val="24"/>
        </w:rPr>
        <w:t>docs: accept ADR and record evidence (T-16)</w:t>
      </w:r>
      <w:r>
        <w:rPr>
          <w:rFonts w:ascii="Arial" w:hAnsi="Arial" w:eastAsia="Arial"/>
          <w:b w:val="0"/>
          <w:color w:val="000000"/>
          <w:sz w:val="24"/>
        </w:rPr>
        <w:t xml:space="preserve">). Every other decision, with its rejected alternatives, lives in </w:t>
      </w:r>
      <w:r>
        <w:rPr>
          <w:rFonts w:ascii="Arial" w:hAnsi="Arial" w:eastAsia="Arial"/>
          <w:b w:val="0"/>
          <w:color w:val="000000"/>
          <w:sz w:val="24"/>
        </w:rPr>
        <w:t>orderflow-engine-docs/spec/plan.md</w:t>
      </w:r>
      <w:r>
        <w:rPr>
          <w:rFonts w:ascii="Arial" w:hAnsi="Arial" w:eastAsia="Arial"/>
          <w:b w:val="0"/>
          <w:color w:val="000000"/>
          <w:sz w:val="24"/>
        </w:rPr>
        <w:t>, so the ADR stays within one page.</w:t>
      </w:r>
    </w:p>
    <w:p>
      <w:pPr>
        <w:pStyle w:val="Heading2"/>
        <w:keepNext/>
        <w:spacing w:before="160" w:after="80"/>
      </w:pPr>
      <w:r>
        <w:rPr>
          <w:rFonts w:ascii="Arial" w:hAnsi="Arial" w:eastAsia="Arial"/>
          <w:b/>
          <w:color w:val="000000"/>
          <w:sz w:val="24"/>
        </w:rPr>
        <w:t>8. The web client and the full stack</w:t>
      </w:r>
    </w:p>
    <w:p>
      <w:pPr>
        <w:pStyle w:val="Heading3"/>
        <w:keepNext/>
        <w:spacing w:before="160" w:after="80"/>
      </w:pPr>
      <w:r>
        <w:rPr>
          <w:rFonts w:ascii="Arial" w:hAnsi="Arial" w:eastAsia="Arial"/>
          <w:b/>
          <w:color w:val="000000"/>
          <w:sz w:val="24"/>
        </w:rPr>
        <w:t>8.1 From the one-hour plus to the full flow</w:t>
      </w:r>
    </w:p>
    <w:p>
      <w:r>
        <w:rPr>
          <w:rFonts w:ascii="Arial" w:hAnsi="Arial" w:eastAsia="Arial"/>
          <w:b w:val="0"/>
          <w:color w:val="000000"/>
          <w:sz w:val="24"/>
        </w:rPr>
        <w:t>The assignment's plus is one order-summary screen in at most one hour. That screen was built first, alone, so its time could be measured: 68 minutes, which already exceeds the hour once its tests and its container are counted. On 2026-10-15 the scope of the front was extended on purpose, as a product-owner decision recorded in SPEC §1 ("Deviation"), to the domain flow the assignment describes: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46"/>
        <w:gridCol w:w="3763"/>
        <w:gridCol w:w="3128"/>
      </w:tblGrid>
      <w:tr>
        <w:tc>
          <w:tcPr>
            <w:tcW w:type="dxa" w:w="2746"/>
          </w:tcPr>
          <w:p>
            <w:pPr>
              <w:spacing w:after="0"/>
            </w:pPr>
            <w:r>
              <w:rPr>
                <w:rFonts w:ascii="Arial" w:hAnsi="Arial" w:eastAsia="Arial"/>
                <w:b/>
                <w:color w:val="000000"/>
                <w:sz w:val="24"/>
              </w:rPr>
              <w:t>Route</w:t>
            </w:r>
          </w:p>
        </w:tc>
        <w:tc>
          <w:tcPr>
            <w:tcW w:type="dxa" w:w="3763"/>
          </w:tcPr>
          <w:p>
            <w:pPr>
              <w:spacing w:after="0"/>
            </w:pPr>
            <w:r>
              <w:rPr>
                <w:rFonts w:ascii="Arial" w:hAnsi="Arial" w:eastAsia="Arial"/>
                <w:b/>
                <w:color w:val="000000"/>
                <w:sz w:val="24"/>
              </w:rPr>
              <w:t>Screen</w:t>
            </w:r>
          </w:p>
        </w:tc>
        <w:tc>
          <w:tcPr>
            <w:tcW w:type="dxa" w:w="3128"/>
          </w:tcPr>
          <w:p>
            <w:pPr>
              <w:spacing w:after="0"/>
            </w:pPr>
            <w:r>
              <w:rPr>
                <w:rFonts w:ascii="Arial" w:hAnsi="Arial" w:eastAsia="Arial"/>
                <w:b/>
                <w:color w:val="000000"/>
                <w:sz w:val="24"/>
              </w:rPr>
              <w:t>API operations</w:t>
            </w:r>
          </w:p>
        </w:tc>
      </w:tr>
      <w:tr>
        <w:tc>
          <w:tcPr>
            <w:tcW w:type="dxa" w:w="2746"/>
          </w:tcPr>
          <w:p>
            <w:pPr>
              <w:spacing w:after="0"/>
            </w:pPr>
            <w:r>
              <w:rPr>
                <w:rFonts w:ascii="Arial" w:hAnsi="Arial" w:eastAsia="Arial"/>
                <w:b w:val="0"/>
                <w:color w:val="000000"/>
                <w:sz w:val="24"/>
              </w:rPr>
              <w:t>/cart</w:t>
            </w:r>
            <w:r>
              <w:rPr>
                <w:rFonts w:ascii="Arial" w:hAnsi="Arial" w:eastAsia="Arial"/>
                <w:b w:val="0"/>
                <w:color w:val="000000"/>
                <w:sz w:val="24"/>
              </w:rPr>
              <w:t xml:space="preserve">, also </w:t>
            </w:r>
            <w:r>
              <w:rPr>
                <w:rFonts w:ascii="Arial" w:hAnsi="Arial" w:eastAsia="Arial"/>
                <w:b w:val="0"/>
                <w:color w:val="000000"/>
                <w:sz w:val="24"/>
              </w:rPr>
              <w:t>/</w:t>
            </w:r>
          </w:p>
        </w:tc>
        <w:tc>
          <w:tcPr>
            <w:tcW w:type="dxa" w:w="3763"/>
          </w:tcPr>
          <w:p>
            <w:pPr>
              <w:spacing w:after="0"/>
            </w:pPr>
            <w:r>
              <w:rPr>
                <w:rFonts w:ascii="Arial" w:hAnsi="Arial" w:eastAsia="Arial"/>
                <w:b w:val="0"/>
                <w:color w:val="000000"/>
                <w:sz w:val="24"/>
              </w:rPr>
              <w:t>Cart: product grid, quantities, cash or credit</w:t>
            </w:r>
          </w:p>
        </w:tc>
        <w:tc>
          <w:tcPr>
            <w:tcW w:type="dxa" w:w="3128"/>
          </w:tcPr>
          <w:p>
            <w:pPr>
              <w:spacing w:after="0"/>
            </w:pPr>
            <w:r>
              <w:rPr>
                <w:rFonts w:ascii="Arial" w:hAnsi="Arial" w:eastAsia="Arial"/>
                <w:b w:val="0"/>
                <w:color w:val="000000"/>
                <w:sz w:val="24"/>
              </w:rPr>
              <w:t>E-07 (product list), E-01 (quote)</w:t>
            </w:r>
          </w:p>
        </w:tc>
      </w:tr>
      <w:tr>
        <w:tc>
          <w:tcPr>
            <w:tcW w:type="dxa" w:w="2746"/>
          </w:tcPr>
          <w:p>
            <w:pPr>
              <w:spacing w:after="0"/>
            </w:pPr>
            <w:r>
              <w:rPr>
                <w:rFonts w:ascii="Arial" w:hAnsi="Arial" w:eastAsia="Arial"/>
                <w:b w:val="0"/>
                <w:color w:val="000000"/>
                <w:sz w:val="24"/>
              </w:rPr>
              <w:t>/quotes/:quoteId</w:t>
            </w:r>
          </w:p>
        </w:tc>
        <w:tc>
          <w:tcPr>
            <w:tcW w:type="dxa" w:w="3763"/>
          </w:tcPr>
          <w:p>
            <w:pPr>
              <w:spacing w:after="0"/>
            </w:pPr>
            <w:r>
              <w:rPr>
                <w:rFonts w:ascii="Arial" w:hAnsi="Arial" w:eastAsia="Arial"/>
                <w:b w:val="0"/>
                <w:color w:val="000000"/>
                <w:sz w:val="24"/>
              </w:rPr>
              <w:t>Order summary, the assignment's screen</w:t>
            </w:r>
          </w:p>
        </w:tc>
        <w:tc>
          <w:tcPr>
            <w:tcW w:type="dxa" w:w="3128"/>
          </w:tcPr>
          <w:p>
            <w:pPr>
              <w:spacing w:after="0"/>
            </w:pPr>
            <w:r>
              <w:rPr>
                <w:rFonts w:ascii="Arial" w:hAnsi="Arial" w:eastAsia="Arial"/>
                <w:b w:val="0"/>
                <w:color w:val="000000"/>
                <w:sz w:val="24"/>
              </w:rPr>
              <w:t>E-02, E-03 (confirm)</w:t>
            </w:r>
          </w:p>
        </w:tc>
      </w:tr>
      <w:tr>
        <w:tc>
          <w:tcPr>
            <w:tcW w:type="dxa" w:w="2746"/>
          </w:tcPr>
          <w:p>
            <w:pPr>
              <w:spacing w:after="0"/>
            </w:pPr>
            <w:r>
              <w:rPr>
                <w:rFonts w:ascii="Arial" w:hAnsi="Arial" w:eastAsia="Arial"/>
                <w:b w:val="0"/>
                <w:color w:val="000000"/>
                <w:sz w:val="24"/>
              </w:rPr>
              <w:t>/orders/:orderId</w:t>
            </w:r>
          </w:p>
        </w:tc>
        <w:tc>
          <w:tcPr>
            <w:tcW w:type="dxa" w:w="3763"/>
          </w:tcPr>
          <w:p>
            <w:pPr>
              <w:spacing w:after="0"/>
            </w:pPr>
            <w:r>
              <w:rPr>
                <w:rFonts w:ascii="Arial" w:hAnsi="Arial" w:eastAsia="Arial"/>
                <w:b w:val="0"/>
                <w:color w:val="000000"/>
                <w:sz w:val="24"/>
              </w:rPr>
              <w:t>The confirmed order</w:t>
            </w:r>
          </w:p>
        </w:tc>
        <w:tc>
          <w:tcPr>
            <w:tcW w:type="dxa" w:w="3128"/>
          </w:tcPr>
          <w:p>
            <w:pPr>
              <w:spacing w:after="0"/>
            </w:pPr>
            <w:r>
              <w:rPr>
                <w:rFonts w:ascii="Arial" w:hAnsi="Arial" w:eastAsia="Arial"/>
                <w:b w:val="0"/>
                <w:color w:val="000000"/>
                <w:sz w:val="24"/>
              </w:rPr>
              <w:t>E-04</w:t>
            </w:r>
          </w:p>
        </w:tc>
      </w:tr>
      <w:tr>
        <w:tc>
          <w:tcPr>
            <w:tcW w:type="dxa" w:w="2746"/>
          </w:tcPr>
          <w:p>
            <w:pPr>
              <w:spacing w:after="0"/>
            </w:pPr>
            <w:r>
              <w:rPr>
                <w:rFonts w:ascii="Arial" w:hAnsi="Arial" w:eastAsia="Arial"/>
                <w:b w:val="0"/>
                <w:color w:val="000000"/>
                <w:sz w:val="24"/>
              </w:rPr>
              <w:t>/orders</w:t>
            </w:r>
          </w:p>
        </w:tc>
        <w:tc>
          <w:tcPr>
            <w:tcW w:type="dxa" w:w="3763"/>
          </w:tcPr>
          <w:p>
            <w:pPr>
              <w:spacing w:after="0"/>
            </w:pPr>
            <w:r>
              <w:rPr>
                <w:rFonts w:ascii="Arial" w:hAnsi="Arial" w:eastAsia="Arial"/>
                <w:b w:val="0"/>
                <w:color w:val="000000"/>
                <w:sz w:val="24"/>
              </w:rPr>
              <w:t>My orders</w:t>
            </w:r>
          </w:p>
        </w:tc>
        <w:tc>
          <w:tcPr>
            <w:tcW w:type="dxa" w:w="3128"/>
          </w:tcPr>
          <w:p>
            <w:pPr>
              <w:spacing w:after="0"/>
            </w:pPr>
            <w:r>
              <w:rPr>
                <w:rFonts w:ascii="Arial" w:hAnsi="Arial" w:eastAsia="Arial"/>
                <w:b w:val="0"/>
                <w:color w:val="000000"/>
                <w:sz w:val="24"/>
              </w:rPr>
              <w:t>E-05</w:t>
            </w:r>
          </w:p>
        </w:tc>
      </w:tr>
    </w:tbl>
    <w:p>
      <w:pPr>
        <w:spacing w:before="120"/>
      </w:pPr>
      <w:r>
        <w:rPr>
          <w:rFonts w:ascii="Arial" w:hAnsi="Arial" w:eastAsia="Arial"/>
          <w:b w:val="0"/>
          <w:color w:val="000000"/>
          <w:sz w:val="24"/>
        </w:rPr>
        <w:t xml:space="preserve">The extension was contained: it started only after T-16 was merged, added no business rule, never computes money (every amount is an API string), and added a single read-only API operation, </w:t>
      </w:r>
      <w:r>
        <w:rPr>
          <w:rFonts w:ascii="Arial" w:hAnsi="Arial" w:eastAsia="Arial"/>
          <w:b w:val="0"/>
          <w:color w:val="000000"/>
          <w:sz w:val="24"/>
        </w:rPr>
        <w:t>GET /api/v1/products</w:t>
      </w:r>
      <w:r>
        <w:rPr>
          <w:rFonts w:ascii="Arial" w:hAnsi="Arial" w:eastAsia="Arial"/>
          <w:b w:val="0"/>
          <w:color w:val="000000"/>
          <w:sz w:val="24"/>
        </w:rPr>
        <w:t xml:space="preserve"> (E-07). A store picker sends a seeded tenant and customer as headers instead of a login (A-06). Spanish is the default language and English is complete; the ES/EN switch changes the language at run time and the browser remembers the choice.</w:t>
      </w:r>
    </w:p>
    <w:p>
      <w:pPr>
        <w:pStyle w:val="Heading3"/>
        <w:keepNext/>
        <w:spacing w:before="160" w:after="80"/>
      </w:pPr>
      <w:r>
        <w:rPr>
          <w:rFonts w:ascii="Arial" w:hAnsi="Arial" w:eastAsia="Arial"/>
          <w:b/>
          <w:color w:val="000000"/>
          <w:sz w:val="24"/>
        </w:rPr>
        <w:t>8.2 Prevention at component level</w:t>
      </w:r>
    </w:p>
    <w:p>
      <w:r>
        <w:rPr>
          <w:rFonts w:ascii="Arial" w:hAnsi="Arial" w:eastAsia="Arial"/>
          <w:b w:val="0"/>
          <w:color w:val="000000"/>
          <w:sz w:val="24"/>
        </w:rPr>
        <w:t>Each defect the assignment names is owned by one component, so a new screen inherits the prevention instead of solving it again: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05"/>
        <w:gridCol w:w="2746"/>
        <w:gridCol w:w="4386"/>
      </w:tblGrid>
      <w:tr>
        <w:tc>
          <w:tcPr>
            <w:tcW w:type="dxa" w:w="2505"/>
          </w:tcPr>
          <w:p>
            <w:pPr>
              <w:spacing w:after="0"/>
            </w:pPr>
            <w:r>
              <w:rPr>
                <w:rFonts w:ascii="Arial" w:hAnsi="Arial" w:eastAsia="Arial"/>
                <w:b/>
                <w:color w:val="000000"/>
                <w:sz w:val="24"/>
              </w:rPr>
              <w:t>Defect</w:t>
            </w:r>
          </w:p>
        </w:tc>
        <w:tc>
          <w:tcPr>
            <w:tcW w:type="dxa" w:w="2746"/>
          </w:tcPr>
          <w:p>
            <w:pPr>
              <w:spacing w:after="0"/>
            </w:pPr>
            <w:r>
              <w:rPr>
                <w:rFonts w:ascii="Arial" w:hAnsi="Arial" w:eastAsia="Arial"/>
                <w:b/>
                <w:color w:val="000000"/>
                <w:sz w:val="24"/>
              </w:rPr>
              <w:t>Component</w:t>
            </w:r>
          </w:p>
        </w:tc>
        <w:tc>
          <w:tcPr>
            <w:tcW w:type="dxa" w:w="4386"/>
          </w:tcPr>
          <w:p>
            <w:pPr>
              <w:spacing w:after="0"/>
            </w:pPr>
            <w:r>
              <w:rPr>
                <w:rFonts w:ascii="Arial" w:hAnsi="Arial" w:eastAsia="Arial"/>
                <w:b/>
                <w:color w:val="000000"/>
                <w:sz w:val="24"/>
              </w:rPr>
              <w:t>Rule</w:t>
            </w:r>
          </w:p>
        </w:tc>
      </w:tr>
      <w:tr>
        <w:tc>
          <w:tcPr>
            <w:tcW w:type="dxa" w:w="2505"/>
          </w:tcPr>
          <w:p>
            <w:pPr>
              <w:spacing w:after="0"/>
            </w:pPr>
            <w:r>
              <w:rPr>
                <w:rFonts w:ascii="Arial" w:hAnsi="Arial" w:eastAsia="Arial"/>
                <w:b w:val="0"/>
                <w:color w:val="000000"/>
                <w:sz w:val="24"/>
              </w:rPr>
              <w:t>Truncated text</w:t>
            </w:r>
          </w:p>
        </w:tc>
        <w:tc>
          <w:tcPr>
            <w:tcW w:type="dxa" w:w="2746"/>
          </w:tcPr>
          <w:p>
            <w:pPr>
              <w:spacing w:after="0"/>
            </w:pPr>
            <w:r>
              <w:rPr>
                <w:rFonts w:ascii="Arial" w:hAnsi="Arial" w:eastAsia="Arial"/>
                <w:b w:val="0"/>
                <w:color w:val="000000"/>
                <w:sz w:val="24"/>
              </w:rPr>
              <w:t>ui-text</w:t>
            </w:r>
          </w:p>
        </w:tc>
        <w:tc>
          <w:tcPr>
            <w:tcW w:type="dxa" w:w="4386"/>
          </w:tcPr>
          <w:p>
            <w:pPr>
              <w:spacing w:after="0"/>
            </w:pPr>
            <w:r>
              <w:rPr>
                <w:rFonts w:ascii="Arial" w:hAnsi="Arial" w:eastAsia="Arial"/>
                <w:b w:val="0"/>
                <w:color w:val="000000"/>
                <w:sz w:val="24"/>
              </w:rPr>
              <w:t>The only way a screen prints text. It always wraps, never uses ellipsis or a line clamp, and an amount never splits</w:t>
            </w:r>
          </w:p>
        </w:tc>
      </w:tr>
      <w:tr>
        <w:tc>
          <w:tcPr>
            <w:tcW w:type="dxa" w:w="2505"/>
          </w:tcPr>
          <w:p>
            <w:pPr>
              <w:spacing w:after="0"/>
            </w:pPr>
            <w:r>
              <w:rPr>
                <w:rFonts w:ascii="Arial" w:hAnsi="Arial" w:eastAsia="Arial"/>
                <w:b w:val="0"/>
                <w:color w:val="000000"/>
                <w:sz w:val="24"/>
              </w:rPr>
              <w:t>Controls hidden by the system bar or the keyboard</w:t>
            </w:r>
          </w:p>
        </w:tc>
        <w:tc>
          <w:tcPr>
            <w:tcW w:type="dxa" w:w="2746"/>
          </w:tcPr>
          <w:p>
            <w:pPr>
              <w:spacing w:after="0"/>
            </w:pPr>
            <w:r>
              <w:rPr>
                <w:rFonts w:ascii="Arial" w:hAnsi="Arial" w:eastAsia="Arial"/>
                <w:b w:val="0"/>
                <w:color w:val="000000"/>
                <w:sz w:val="24"/>
              </w:rPr>
              <w:t>ui-action-bar</w:t>
            </w:r>
          </w:p>
        </w:tc>
        <w:tc>
          <w:tcPr>
            <w:tcW w:type="dxa" w:w="4386"/>
          </w:tcPr>
          <w:p>
            <w:pPr>
              <w:spacing w:after="0"/>
            </w:pPr>
            <w:r>
              <w:rPr>
                <w:rFonts w:ascii="Arial" w:hAnsi="Arial" w:eastAsia="Arial"/>
                <w:b w:val="0"/>
                <w:color w:val="000000"/>
                <w:sz w:val="24"/>
              </w:rPr>
              <w:t xml:space="preserve">Sticky to the bottom, padded with the safe-area insets, lifted above the keyboard by following </w:t>
            </w:r>
            <w:r>
              <w:rPr>
                <w:rFonts w:ascii="Arial" w:hAnsi="Arial" w:eastAsia="Arial"/>
                <w:b w:val="0"/>
                <w:color w:val="000000"/>
                <w:sz w:val="24"/>
              </w:rPr>
              <w:t>visualViewport</w:t>
            </w:r>
            <w:r>
              <w:rPr>
                <w:rFonts w:ascii="Arial" w:hAnsi="Arial" w:eastAsia="Arial"/>
                <w:b w:val="0"/>
                <w:color w:val="000000"/>
                <w:sz w:val="24"/>
              </w:rPr>
              <w:t>; every control at least 44 × 44 px</w:t>
            </w:r>
          </w:p>
        </w:tc>
      </w:tr>
      <w:tr>
        <w:tc>
          <w:tcPr>
            <w:tcW w:type="dxa" w:w="2505"/>
          </w:tcPr>
          <w:p>
            <w:pPr>
              <w:spacing w:after="0"/>
            </w:pPr>
            <w:r>
              <w:rPr>
                <w:rFonts w:ascii="Arial" w:hAnsi="Arial" w:eastAsia="Arial"/>
                <w:b w:val="0"/>
                <w:color w:val="000000"/>
                <w:sz w:val="24"/>
              </w:rPr>
              <w:t>Grid images scaled differently</w:t>
            </w:r>
          </w:p>
        </w:tc>
        <w:tc>
          <w:tcPr>
            <w:tcW w:type="dxa" w:w="2746"/>
          </w:tcPr>
          <w:p>
            <w:pPr>
              <w:spacing w:after="0"/>
            </w:pPr>
            <w:r>
              <w:rPr>
                <w:rFonts w:ascii="Arial" w:hAnsi="Arial" w:eastAsia="Arial"/>
                <w:b w:val="0"/>
                <w:color w:val="000000"/>
                <w:sz w:val="24"/>
              </w:rPr>
              <w:t>ui-product-image</w:t>
            </w:r>
          </w:p>
        </w:tc>
        <w:tc>
          <w:tcPr>
            <w:tcW w:type="dxa" w:w="4386"/>
          </w:tcPr>
          <w:p>
            <w:pPr>
              <w:spacing w:after="0"/>
            </w:pPr>
            <w:r>
              <w:rPr>
                <w:rFonts w:ascii="Arial" w:hAnsi="Arial" w:eastAsia="Arial"/>
                <w:b w:val="0"/>
                <w:color w:val="000000"/>
                <w:sz w:val="24"/>
              </w:rPr>
              <w:t xml:space="preserve">One aspect ratio with </w:t>
            </w:r>
            <w:r>
              <w:rPr>
                <w:rFonts w:ascii="Arial" w:hAnsi="Arial" w:eastAsia="Arial"/>
                <w:b w:val="0"/>
                <w:color w:val="000000"/>
                <w:sz w:val="24"/>
              </w:rPr>
              <w:t>object-fit: contain</w:t>
            </w:r>
            <w:r>
              <w:rPr>
                <w:rFonts w:ascii="Arial" w:hAnsi="Arial" w:eastAsia="Arial"/>
                <w:b w:val="0"/>
                <w:color w:val="000000"/>
                <w:sz w:val="24"/>
              </w:rPr>
              <w:t>, the only way to draw a product image, with a placeholder when one is missing</w:t>
            </w:r>
          </w:p>
        </w:tc>
      </w:tr>
    </w:tbl>
    <w:p>
      <w:pPr>
        <w:spacing w:before="120"/>
      </w:pPr>
      <w:r>
        <w:rPr>
          <w:rFonts w:ascii="Arial" w:hAnsi="Arial" w:eastAsia="Arial"/>
          <w:b w:val="0"/>
          <w:color w:val="000000"/>
          <w:sz w:val="24"/>
        </w:rPr>
        <w:t>The specs measure the real layout in headless Chromium at 768 × 1024 and 375 × 812 with very long product and store names, because jsdom has no layout engine and a wrapping check passes there for any layout (HANDOFF trap TR-11). A script also fails the build if any template holds literal text.</w:t>
      </w:r>
    </w:p>
    <w:p>
      <w:pPr>
        <w:pStyle w:val="Heading3"/>
        <w:keepNext/>
        <w:spacing w:before="160" w:after="80"/>
      </w:pPr>
      <w:r>
        <w:rPr>
          <w:rFonts w:ascii="Arial" w:hAnsi="Arial" w:eastAsia="Arial"/>
          <w:b/>
          <w:color w:val="000000"/>
          <w:sz w:val="24"/>
        </w:rPr>
        <w:t>8.3 The full stack and the end-to-end flow</w:t>
      </w:r>
    </w:p>
    <w:p>
      <w:pPr>
        <w:keepNext/>
        <w:spacing w:before="120" w:after="40"/>
        <w:jc w:val="center"/>
      </w:pPr>
      <w:r>
        <w:drawing>
          <wp:inline xmlns:a="http://schemas.openxmlformats.org/drawingml/2006/main" xmlns:pic="http://schemas.openxmlformats.org/drawingml/2006/picture" distT="0" distB="0" distL="0" distR="0">
            <wp:extent cx="6120130" cy="3697579"/>
            <wp:docPr id="4" name="Picture 4"/>
            <wp:cNvGraphicFramePr>
              <a:graphicFrameLocks noChangeAspect="1"/>
            </wp:cNvGraphicFramePr>
            <a:graphic>
              <a:graphicData uri="http://schemas.openxmlformats.org/drawingml/2006/picture">
                <pic:pic>
                  <pic:nvPicPr>
                    <pic:cNvPr id="0" name="01-runtime-topology.png"/>
                    <pic:cNvPicPr/>
                  </pic:nvPicPr>
                  <pic:blipFill>
                    <a:blip r:embed="rId13"/>
                    <a:stretch>
                      <a:fillRect/>
                    </a:stretch>
                  </pic:blipFill>
                  <pic:spPr>
                    <a:xfrm>
                      <a:off x="0" y="0"/>
                      <a:ext cx="6120130" cy="3697579"/>
                    </a:xfrm>
                    <a:prstGeom prst="rect"/>
                  </pic:spPr>
                </pic:pic>
              </a:graphicData>
            </a:graphic>
          </wp:inline>
        </w:drawing>
      </w:r>
    </w:p>
    <w:p>
      <w:pPr>
        <w:spacing w:after="160"/>
        <w:jc w:val="center"/>
      </w:pPr>
      <w:r>
        <w:rPr>
          <w:rFonts w:ascii="Arial" w:hAnsi="Arial" w:eastAsia="Arial"/>
          <w:b/>
          <w:color w:val="000000"/>
          <w:sz w:val="24"/>
        </w:rPr>
        <w:t>Figure 4.</w:t>
      </w:r>
      <w:r>
        <w:rPr>
          <w:rFonts w:ascii="Arial" w:hAnsi="Arial" w:eastAsia="Arial"/>
          <w:b w:val="0"/>
          <w:color w:val="000000"/>
          <w:sz w:val="24"/>
        </w:rPr>
        <w:t xml:space="preserve"> </w:t>
      </w:r>
      <w:r>
        <w:rPr>
          <w:rFonts w:ascii="Arial" w:hAnsi="Arial" w:eastAsia="Arial"/>
          <w:b w:val="0"/>
          <w:color w:val="000000"/>
          <w:sz w:val="24"/>
        </w:rPr>
        <w:t>Runtime topology: one service, one database, effects only through the outbox</w:t>
      </w:r>
    </w:p>
    <w:p>
      <w:r>
        <w:rPr>
          <w:rFonts w:ascii="Arial" w:hAnsi="Arial" w:eastAsia="Arial"/>
          <w:b w:val="0"/>
          <w:color w:val="000000"/>
          <w:sz w:val="24"/>
        </w:rPr>
        <w:t xml:space="preserve">The web client's nginx forwards </w:t>
      </w:r>
      <w:r>
        <w:rPr>
          <w:rFonts w:ascii="Arial" w:hAnsi="Arial" w:eastAsia="Arial"/>
          <w:b w:val="0"/>
          <w:color w:val="000000"/>
          <w:sz w:val="24"/>
        </w:rPr>
        <w:t>/api/</w:t>
      </w:r>
      <w:r>
        <w:rPr>
          <w:rFonts w:ascii="Arial" w:hAnsi="Arial" w:eastAsia="Arial"/>
          <w:b w:val="0"/>
          <w:color w:val="000000"/>
          <w:sz w:val="24"/>
        </w:rPr>
        <w:t xml:space="preserve"> to the API, so the browser sees one origin and the API needs no CORS configuration. The </w:t>
      </w:r>
      <w:r>
        <w:rPr>
          <w:rFonts w:ascii="Arial" w:hAnsi="Arial" w:eastAsia="Arial"/>
          <w:b w:val="0"/>
          <w:color w:val="000000"/>
          <w:sz w:val="24"/>
        </w:rPr>
        <w:t>orderflow-engine-infra</w:t>
      </w:r>
      <w:r>
        <w:rPr>
          <w:rFonts w:ascii="Arial" w:hAnsi="Arial" w:eastAsia="Arial"/>
          <w:b w:val="0"/>
          <w:color w:val="000000"/>
          <w:sz w:val="24"/>
        </w:rPr>
        <w:t xml:space="preserve"> repository starts PostgreSQL, the API and the web client with one </w:t>
      </w:r>
      <w:r>
        <w:rPr>
          <w:rFonts w:ascii="Arial" w:hAnsi="Arial" w:eastAsia="Arial"/>
          <w:b w:val="0"/>
          <w:color w:val="000000"/>
          <w:sz w:val="24"/>
        </w:rPr>
        <w:t>docker compose up --build</w:t>
      </w:r>
      <w:r>
        <w:rPr>
          <w:rFonts w:ascii="Arial" w:hAnsi="Arial" w:eastAsia="Arial"/>
          <w:b w:val="0"/>
          <w:color w:val="000000"/>
          <w:sz w:val="24"/>
        </w:rPr>
        <w:t xml:space="preserve">, each service with </w:t>
      </w:r>
      <w:r>
        <w:rPr>
          <w:rFonts w:ascii="Arial" w:hAnsi="Arial" w:eastAsia="Arial"/>
          <w:b w:val="0"/>
          <w:color w:val="000000"/>
          <w:sz w:val="24"/>
        </w:rPr>
        <w:t>restart: unless-stopped</w:t>
      </w:r>
      <w:r>
        <w:rPr>
          <w:rFonts w:ascii="Arial" w:hAnsi="Arial" w:eastAsia="Arial"/>
          <w:b w:val="0"/>
          <w:color w:val="000000"/>
          <w:sz w:val="24"/>
        </w:rPr>
        <w:t xml:space="preserve">. Its </w:t>
      </w:r>
      <w:r>
        <w:rPr>
          <w:rFonts w:ascii="Arial" w:hAnsi="Arial" w:eastAsia="Arial"/>
          <w:b w:val="0"/>
          <w:color w:val="000000"/>
          <w:sz w:val="24"/>
        </w:rPr>
        <w:t>test-all</w:t>
      </w:r>
      <w:r>
        <w:rPr>
          <w:rFonts w:ascii="Arial" w:hAnsi="Arial" w:eastAsia="Arial"/>
          <w:b w:val="0"/>
          <w:color w:val="000000"/>
          <w:sz w:val="24"/>
        </w:rPr>
        <w:t xml:space="preserve"> runs, in order, the API verify, the web specs in their container, an end-to-end Playwright flow against the full stack (cart → quote → confirm → order → My orders, in Spanish and in English, under its own compose project and ports), the documentation check and the integrity check.</w:t>
      </w:r>
    </w:p>
    <w:p>
      <w:pPr>
        <w:pStyle w:val="Heading2"/>
        <w:keepNext/>
        <w:spacing w:before="160" w:after="80"/>
      </w:pPr>
      <w:r>
        <w:rPr>
          <w:rFonts w:ascii="Arial" w:hAnsi="Arial" w:eastAsia="Arial"/>
          <w:b/>
          <w:color w:val="000000"/>
          <w:sz w:val="24"/>
        </w:rPr>
        <w:t>9. Countries and seeds</w:t>
      </w:r>
    </w:p>
    <w:p>
      <w:r>
        <w:rPr>
          <w:rFonts w:ascii="Arial" w:hAnsi="Arial" w:eastAsia="Arial"/>
          <w:b w:val="0"/>
          <w:color w:val="000000"/>
          <w:sz w:val="24"/>
        </w:rPr>
        <w:t xml:space="preserve">Countries, currencies, tenants, catalogs, levers, customers and credit accounts are data, written as Liquibase changesets in </w:t>
      </w:r>
      <w:r>
        <w:rPr>
          <w:rFonts w:ascii="Arial" w:hAnsi="Arial" w:eastAsia="Arial"/>
          <w:b w:val="0"/>
          <w:color w:val="000000"/>
          <w:sz w:val="24"/>
        </w:rPr>
        <w:t>orderflow-engine-api/src/main/resources/db/changelog/</w:t>
      </w:r>
      <w:r>
        <w:rPr>
          <w:rFonts w:ascii="Arial" w:hAnsi="Arial" w:eastAsia="Arial"/>
          <w:b w:val="0"/>
          <w:color w:val="000000"/>
          <w:sz w:val="24"/>
        </w:rPr>
        <w:t xml:space="preserve">. Each changeset has a rollback, each changelog sets a </w:t>
      </w:r>
      <w:r>
        <w:rPr>
          <w:rFonts w:ascii="Arial" w:hAnsi="Arial" w:eastAsia="Arial"/>
          <w:b w:val="0"/>
          <w:color w:val="000000"/>
          <w:sz w:val="24"/>
        </w:rPr>
        <w:t>logicalFilePath</w:t>
      </w:r>
      <w:r>
        <w:rPr>
          <w:rFonts w:ascii="Arial" w:hAnsi="Arial" w:eastAsia="Arial"/>
          <w:b w:val="0"/>
          <w:color w:val="000000"/>
          <w:sz w:val="24"/>
        </w:rPr>
        <w:t xml:space="preserve">, and </w:t>
      </w:r>
      <w:r>
        <w:rPr>
          <w:rFonts w:ascii="Arial" w:hAnsi="Arial" w:eastAsia="Arial"/>
          <w:b w:val="0"/>
          <w:color w:val="000000"/>
          <w:sz w:val="24"/>
        </w:rPr>
        <w:t>LiquibaseRollbackIT</w:t>
      </w:r>
      <w:r>
        <w:rPr>
          <w:rFonts w:ascii="Arial" w:hAnsi="Arial" w:eastAsia="Arial"/>
          <w:b w:val="0"/>
          <w:color w:val="000000"/>
          <w:sz w:val="24"/>
        </w:rPr>
        <w:t xml:space="preserve"> proves that every changeset rolls back to an empty schema and applies again. The seeds are demonstration data chosen to cover both scales and both gift tax policies, not a statement of real tax law.</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5"/>
        <w:gridCol w:w="2053"/>
        <w:gridCol w:w="3640"/>
        <w:gridCol w:w="2430"/>
      </w:tblGrid>
      <w:tr>
        <w:tc>
          <w:tcPr>
            <w:tcW w:type="dxa" w:w="1515"/>
          </w:tcPr>
          <w:p>
            <w:pPr>
              <w:spacing w:after="0"/>
            </w:pPr>
            <w:r>
              <w:rPr>
                <w:rFonts w:ascii="Arial" w:hAnsi="Arial" w:eastAsia="Arial"/>
                <w:b/>
                <w:color w:val="000000"/>
                <w:sz w:val="24"/>
              </w:rPr>
              <w:t>Tenant</w:t>
            </w:r>
          </w:p>
        </w:tc>
        <w:tc>
          <w:tcPr>
            <w:tcW w:type="dxa" w:w="2053"/>
          </w:tcPr>
          <w:p>
            <w:pPr>
              <w:spacing w:after="0"/>
            </w:pPr>
            <w:r>
              <w:rPr>
                <w:rFonts w:ascii="Arial" w:hAnsi="Arial" w:eastAsia="Arial"/>
                <w:b/>
                <w:color w:val="000000"/>
                <w:sz w:val="24"/>
              </w:rPr>
              <w:t>Country policy</w:t>
            </w:r>
          </w:p>
        </w:tc>
        <w:tc>
          <w:tcPr>
            <w:tcW w:type="dxa" w:w="3640"/>
          </w:tcPr>
          <w:p>
            <w:pPr>
              <w:spacing w:after="0"/>
            </w:pPr>
            <w:r>
              <w:rPr>
                <w:rFonts w:ascii="Arial" w:hAnsi="Arial" w:eastAsia="Arial"/>
                <w:b/>
                <w:color w:val="000000"/>
                <w:sz w:val="24"/>
              </w:rPr>
              <w:t>Catalog and levers</w:t>
            </w:r>
          </w:p>
        </w:tc>
        <w:tc>
          <w:tcPr>
            <w:tcW w:type="dxa" w:w="2430"/>
          </w:tcPr>
          <w:p>
            <w:pPr>
              <w:spacing w:after="0"/>
            </w:pPr>
            <w:r>
              <w:rPr>
                <w:rFonts w:ascii="Arial" w:hAnsi="Arial" w:eastAsia="Arial"/>
                <w:b/>
                <w:color w:val="000000"/>
                <w:sz w:val="24"/>
              </w:rPr>
              <w:t>Customers and credit</w:t>
            </w:r>
          </w:p>
        </w:tc>
      </w:tr>
      <w:tr>
        <w:tc>
          <w:tcPr>
            <w:tcW w:type="dxa" w:w="1515"/>
          </w:tcPr>
          <w:p>
            <w:pPr>
              <w:spacing w:after="0"/>
            </w:pPr>
            <w:r>
              <w:rPr>
                <w:rFonts w:ascii="Arial" w:hAnsi="Arial" w:eastAsia="Arial"/>
                <w:b w:val="0"/>
                <w:color w:val="000000"/>
                <w:sz w:val="24"/>
              </w:rPr>
              <w:t>co-alpha</w:t>
            </w:r>
          </w:p>
        </w:tc>
        <w:tc>
          <w:tcPr>
            <w:tcW w:type="dxa" w:w="2053"/>
          </w:tcPr>
          <w:p>
            <w:pPr>
              <w:spacing w:after="0"/>
            </w:pPr>
            <w:r>
              <w:rPr>
                <w:rFonts w:ascii="Arial" w:hAnsi="Arial" w:eastAsia="Arial"/>
                <w:b w:val="0"/>
                <w:color w:val="000000"/>
                <w:sz w:val="24"/>
              </w:rPr>
              <w:t xml:space="preserve">COP scale 0, </w:t>
            </w:r>
            <w:r>
              <w:rPr>
                <w:rFonts w:ascii="Arial" w:hAnsi="Arial" w:eastAsia="Arial"/>
                <w:b w:val="0"/>
                <w:color w:val="000000"/>
                <w:sz w:val="24"/>
              </w:rPr>
              <w:t>HALF_UP</w:t>
            </w:r>
            <w:r>
              <w:rPr>
                <w:rFonts w:ascii="Arial" w:hAnsi="Arial" w:eastAsia="Arial"/>
                <w:b w:val="0"/>
                <w:color w:val="000000"/>
                <w:sz w:val="24"/>
              </w:rPr>
              <w:t xml:space="preserve">, gifts </w:t>
            </w:r>
            <w:r>
              <w:rPr>
                <w:rFonts w:ascii="Arial" w:hAnsi="Arial" w:eastAsia="Arial"/>
                <w:b w:val="0"/>
                <w:color w:val="000000"/>
                <w:sz w:val="24"/>
              </w:rPr>
              <w:t>TAXED</w:t>
            </w:r>
            <w:r>
              <w:rPr>
                <w:rFonts w:ascii="Arial" w:hAnsi="Arial" w:eastAsia="Arial"/>
                <w:b w:val="0"/>
                <w:color w:val="000000"/>
                <w:sz w:val="24"/>
              </w:rPr>
              <w:t>, TTL 15 min</w:t>
            </w:r>
          </w:p>
        </w:tc>
        <w:tc>
          <w:tcPr>
            <w:tcW w:type="dxa" w:w="3640"/>
          </w:tcPr>
          <w:p>
            <w:pPr>
              <w:spacing w:after="0"/>
            </w:pPr>
            <w:r>
              <w:rPr>
                <w:rFonts w:ascii="Arial" w:hAnsi="Arial" w:eastAsia="Arial"/>
                <w:b w:val="0"/>
                <w:color w:val="000000"/>
                <w:sz w:val="24"/>
              </w:rPr>
              <w:t>Colas, water and chips; 19% and 5% tax. Tier on the 350 ml cola (10 → 5%, 20 → 10%); combo of 2 colas and 1 chips at 5,000; one water free for every 10 snacks</w:t>
            </w:r>
          </w:p>
        </w:tc>
        <w:tc>
          <w:tcPr>
            <w:tcW w:type="dxa" w:w="2430"/>
          </w:tcPr>
          <w:p>
            <w:pPr>
              <w:spacing w:after="0"/>
            </w:pPr>
            <w:r>
              <w:rPr>
                <w:rFonts w:ascii="Arial" w:hAnsi="Arial" w:eastAsia="Arial"/>
                <w:b w:val="0"/>
                <w:color w:val="000000"/>
                <w:sz w:val="24"/>
              </w:rPr>
              <w:t>One customer with a 500,000 limit, one paying cash</w:t>
            </w:r>
          </w:p>
        </w:tc>
      </w:tr>
      <w:tr>
        <w:tc>
          <w:tcPr>
            <w:tcW w:type="dxa" w:w="1515"/>
          </w:tcPr>
          <w:p>
            <w:pPr>
              <w:spacing w:after="0"/>
            </w:pPr>
            <w:r>
              <w:rPr>
                <w:rFonts w:ascii="Arial" w:hAnsi="Arial" w:eastAsia="Arial"/>
                <w:b w:val="0"/>
                <w:color w:val="000000"/>
                <w:sz w:val="24"/>
              </w:rPr>
              <w:t>ec-alpha</w:t>
            </w:r>
          </w:p>
        </w:tc>
        <w:tc>
          <w:tcPr>
            <w:tcW w:type="dxa" w:w="2053"/>
          </w:tcPr>
          <w:p>
            <w:pPr>
              <w:spacing w:after="0"/>
            </w:pPr>
            <w:r>
              <w:rPr>
                <w:rFonts w:ascii="Arial" w:hAnsi="Arial" w:eastAsia="Arial"/>
                <w:b w:val="0"/>
                <w:color w:val="000000"/>
                <w:sz w:val="24"/>
              </w:rPr>
              <w:t xml:space="preserve">USD scale 2, </w:t>
            </w:r>
            <w:r>
              <w:rPr>
                <w:rFonts w:ascii="Arial" w:hAnsi="Arial" w:eastAsia="Arial"/>
                <w:b w:val="0"/>
                <w:color w:val="000000"/>
                <w:sz w:val="24"/>
              </w:rPr>
              <w:t>HALF_UP</w:t>
            </w:r>
            <w:r>
              <w:rPr>
                <w:rFonts w:ascii="Arial" w:hAnsi="Arial" w:eastAsia="Arial"/>
                <w:b w:val="0"/>
                <w:color w:val="000000"/>
                <w:sz w:val="24"/>
              </w:rPr>
              <w:t xml:space="preserve">, gifts </w:t>
            </w:r>
            <w:r>
              <w:rPr>
                <w:rFonts w:ascii="Arial" w:hAnsi="Arial" w:eastAsia="Arial"/>
                <w:b w:val="0"/>
                <w:color w:val="000000"/>
                <w:sz w:val="24"/>
              </w:rPr>
              <w:t>EXEMPT</w:t>
            </w:r>
            <w:r>
              <w:rPr>
                <w:rFonts w:ascii="Arial" w:hAnsi="Arial" w:eastAsia="Arial"/>
                <w:b w:val="0"/>
                <w:color w:val="000000"/>
                <w:sz w:val="24"/>
              </w:rPr>
              <w:t>, TTL 15 min</w:t>
            </w:r>
          </w:p>
        </w:tc>
        <w:tc>
          <w:tcPr>
            <w:tcW w:type="dxa" w:w="3640"/>
          </w:tcPr>
          <w:p>
            <w:pPr>
              <w:spacing w:after="0"/>
            </w:pPr>
            <w:r>
              <w:rPr>
                <w:rFonts w:ascii="Arial" w:hAnsi="Arial" w:eastAsia="Arial"/>
                <w:b w:val="0"/>
                <w:color w:val="000000"/>
                <w:sz w:val="24"/>
              </w:rPr>
              <w:t>15% tax; family tier on colas (12 → 4%, 24 → 8%); a combo at 3.99; a gift from a 50.00 gross subtotal</w:t>
            </w:r>
          </w:p>
        </w:tc>
        <w:tc>
          <w:tcPr>
            <w:tcW w:type="dxa" w:w="2430"/>
          </w:tcPr>
          <w:p>
            <w:pPr>
              <w:spacing w:after="0"/>
            </w:pPr>
            <w:r>
              <w:rPr>
                <w:rFonts w:ascii="Arial" w:hAnsi="Arial" w:eastAsia="Arial"/>
                <w:b w:val="0"/>
                <w:color w:val="000000"/>
                <w:sz w:val="24"/>
              </w:rPr>
              <w:t>A credit account with a 1,500.00 limit</w:t>
            </w:r>
          </w:p>
        </w:tc>
      </w:tr>
      <w:tr>
        <w:tc>
          <w:tcPr>
            <w:tcW w:type="dxa" w:w="1515"/>
          </w:tcPr>
          <w:p>
            <w:pPr>
              <w:spacing w:after="0"/>
            </w:pPr>
            <w:r>
              <w:rPr>
                <w:rFonts w:ascii="Arial" w:hAnsi="Arial" w:eastAsia="Arial"/>
                <w:b w:val="0"/>
                <w:color w:val="000000"/>
                <w:sz w:val="24"/>
              </w:rPr>
              <w:t>gt-alpha</w:t>
            </w:r>
          </w:p>
        </w:tc>
        <w:tc>
          <w:tcPr>
            <w:tcW w:type="dxa" w:w="2053"/>
          </w:tcPr>
          <w:p>
            <w:pPr>
              <w:spacing w:after="0"/>
            </w:pPr>
            <w:r>
              <w:rPr>
                <w:rFonts w:ascii="Arial" w:hAnsi="Arial" w:eastAsia="Arial"/>
                <w:b w:val="0"/>
                <w:color w:val="000000"/>
                <w:sz w:val="24"/>
              </w:rPr>
              <w:t xml:space="preserve">GTQ scale 2, </w:t>
            </w:r>
            <w:r>
              <w:rPr>
                <w:rFonts w:ascii="Arial" w:hAnsi="Arial" w:eastAsia="Arial"/>
                <w:b w:val="0"/>
                <w:color w:val="000000"/>
                <w:sz w:val="24"/>
              </w:rPr>
              <w:t>HALF_UP</w:t>
            </w:r>
            <w:r>
              <w:rPr>
                <w:rFonts w:ascii="Arial" w:hAnsi="Arial" w:eastAsia="Arial"/>
                <w:b w:val="0"/>
                <w:color w:val="000000"/>
                <w:sz w:val="24"/>
              </w:rPr>
              <w:t xml:space="preserve">, gifts </w:t>
            </w:r>
            <w:r>
              <w:rPr>
                <w:rFonts w:ascii="Arial" w:hAnsi="Arial" w:eastAsia="Arial"/>
                <w:b w:val="0"/>
                <w:color w:val="000000"/>
                <w:sz w:val="24"/>
              </w:rPr>
              <w:t>EXEMPT</w:t>
            </w:r>
            <w:r>
              <w:rPr>
                <w:rFonts w:ascii="Arial" w:hAnsi="Arial" w:eastAsia="Arial"/>
                <w:b w:val="0"/>
                <w:color w:val="000000"/>
                <w:sz w:val="24"/>
              </w:rPr>
              <w:t>, TTL 15 min</w:t>
            </w:r>
          </w:p>
        </w:tc>
        <w:tc>
          <w:tcPr>
            <w:tcW w:type="dxa" w:w="3640"/>
          </w:tcPr>
          <w:p>
            <w:pPr>
              <w:spacing w:after="0"/>
            </w:pPr>
            <w:r>
              <w:rPr>
                <w:rFonts w:ascii="Arial" w:hAnsi="Arial" w:eastAsia="Arial"/>
                <w:b w:val="0"/>
                <w:color w:val="000000"/>
                <w:sz w:val="24"/>
              </w:rPr>
              <w:t>12% tax; tier on the 350 ml cola (12 → 5%, 24 → 10%); one water free for every 12 colas</w:t>
            </w:r>
          </w:p>
        </w:tc>
        <w:tc>
          <w:tcPr>
            <w:tcW w:type="dxa" w:w="2430"/>
          </w:tcPr>
          <w:p>
            <w:pPr>
              <w:spacing w:after="0"/>
            </w:pPr>
            <w:r>
              <w:rPr>
                <w:rFonts w:ascii="Arial" w:hAnsi="Arial" w:eastAsia="Arial"/>
                <w:b w:val="0"/>
                <w:color w:val="000000"/>
                <w:sz w:val="24"/>
              </w:rPr>
              <w:t>A 5,000.00 limit, and a store paying cash</w:t>
            </w:r>
          </w:p>
        </w:tc>
      </w:tr>
      <w:tr>
        <w:tc>
          <w:tcPr>
            <w:tcW w:type="dxa" w:w="1515"/>
          </w:tcPr>
          <w:p>
            <w:pPr>
              <w:spacing w:after="0"/>
            </w:pPr>
            <w:r>
              <w:rPr>
                <w:rFonts w:ascii="Arial" w:hAnsi="Arial" w:eastAsia="Arial"/>
                <w:b w:val="0"/>
                <w:color w:val="000000"/>
                <w:sz w:val="24"/>
              </w:rPr>
              <w:t>pe-alpha</w:t>
            </w:r>
          </w:p>
        </w:tc>
        <w:tc>
          <w:tcPr>
            <w:tcW w:type="dxa" w:w="2053"/>
          </w:tcPr>
          <w:p>
            <w:pPr>
              <w:spacing w:after="0"/>
            </w:pPr>
            <w:r>
              <w:rPr>
                <w:rFonts w:ascii="Arial" w:hAnsi="Arial" w:eastAsia="Arial"/>
                <w:b w:val="0"/>
                <w:color w:val="000000"/>
                <w:sz w:val="24"/>
              </w:rPr>
              <w:t xml:space="preserve">PEN scale 2, </w:t>
            </w:r>
            <w:r>
              <w:rPr>
                <w:rFonts w:ascii="Arial" w:hAnsi="Arial" w:eastAsia="Arial"/>
                <w:b w:val="0"/>
                <w:color w:val="000000"/>
                <w:sz w:val="24"/>
              </w:rPr>
              <w:t>HALF_UP</w:t>
            </w:r>
            <w:r>
              <w:rPr>
                <w:rFonts w:ascii="Arial" w:hAnsi="Arial" w:eastAsia="Arial"/>
                <w:b w:val="0"/>
                <w:color w:val="000000"/>
                <w:sz w:val="24"/>
              </w:rPr>
              <w:t xml:space="preserve">, gifts </w:t>
            </w:r>
            <w:r>
              <w:rPr>
                <w:rFonts w:ascii="Arial" w:hAnsi="Arial" w:eastAsia="Arial"/>
                <w:b w:val="0"/>
                <w:color w:val="000000"/>
                <w:sz w:val="24"/>
              </w:rPr>
              <w:t>TAXED</w:t>
            </w:r>
            <w:r>
              <w:rPr>
                <w:rFonts w:ascii="Arial" w:hAnsi="Arial" w:eastAsia="Arial"/>
                <w:b w:val="0"/>
                <w:color w:val="000000"/>
                <w:sz w:val="24"/>
              </w:rPr>
              <w:t>, TTL 15 min</w:t>
            </w:r>
          </w:p>
        </w:tc>
        <w:tc>
          <w:tcPr>
            <w:tcW w:type="dxa" w:w="3640"/>
          </w:tcPr>
          <w:p>
            <w:pPr>
              <w:spacing w:after="0"/>
            </w:pPr>
            <w:r>
              <w:rPr>
                <w:rFonts w:ascii="Arial" w:hAnsi="Arial" w:eastAsia="Arial"/>
                <w:b w:val="0"/>
                <w:color w:val="000000"/>
                <w:sz w:val="24"/>
              </w:rPr>
              <w:t>18% tax; combo of 2 colas and 1 chips at 6.00; one water free from a 100.00 gross subtotal</w:t>
            </w:r>
          </w:p>
        </w:tc>
        <w:tc>
          <w:tcPr>
            <w:tcW w:type="dxa" w:w="2430"/>
          </w:tcPr>
          <w:p>
            <w:pPr>
              <w:spacing w:after="0"/>
            </w:pPr>
            <w:r>
              <w:rPr>
                <w:rFonts w:ascii="Arial" w:hAnsi="Arial" w:eastAsia="Arial"/>
                <w:b w:val="0"/>
                <w:color w:val="000000"/>
                <w:sz w:val="24"/>
              </w:rPr>
              <w:t>A 2,000.00 limit, and a store paying cash</w:t>
            </w:r>
          </w:p>
        </w:tc>
      </w:tr>
    </w:tbl>
    <w:p>
      <w:pPr>
        <w:spacing w:before="120"/>
      </w:pPr>
      <w:r>
        <w:rPr>
          <w:rFonts w:ascii="Arial" w:hAnsi="Arial" w:eastAsia="Arial"/>
          <w:b w:val="0"/>
          <w:color w:val="000000"/>
          <w:sz w:val="24"/>
        </w:rPr>
        <w:t xml:space="preserve">The seeds grew in three changelogs. </w:t>
      </w:r>
      <w:r>
        <w:rPr>
          <w:rFonts w:ascii="Arial" w:hAnsi="Arial" w:eastAsia="Arial"/>
          <w:b w:val="0"/>
          <w:color w:val="000000"/>
          <w:sz w:val="24"/>
        </w:rPr>
        <w:t>2026-10-15-006-seed-co-and-ec.yaml</w:t>
      </w:r>
      <w:r>
        <w:rPr>
          <w:rFonts w:ascii="Arial" w:hAnsi="Arial" w:eastAsia="Arial"/>
          <w:b w:val="0"/>
          <w:color w:val="000000"/>
          <w:sz w:val="24"/>
        </w:rPr>
        <w:t xml:space="preserve"> seeded Colombia and Ecuador in T-08. </w:t>
      </w:r>
      <w:r>
        <w:rPr>
          <w:rFonts w:ascii="Arial" w:hAnsi="Arial" w:eastAsia="Arial"/>
          <w:b w:val="0"/>
          <w:color w:val="000000"/>
          <w:sz w:val="24"/>
        </w:rPr>
        <w:t>2026-10-16-001-seed-names-in-spanish.yaml</w:t>
      </w:r>
      <w:r>
        <w:rPr>
          <w:rFonts w:ascii="Arial" w:hAnsi="Arial" w:eastAsia="Arial"/>
          <w:b w:val="0"/>
          <w:color w:val="000000"/>
          <w:sz w:val="24"/>
        </w:rPr>
        <w:t xml:space="preserve"> renamed products and customers to the tenants' language in T-19, because an applied changeset is never edited. </w:t>
      </w:r>
      <w:r>
        <w:rPr>
          <w:rFonts w:ascii="Arial" w:hAnsi="Arial" w:eastAsia="Arial"/>
          <w:b w:val="0"/>
          <w:color w:val="000000"/>
          <w:sz w:val="24"/>
        </w:rPr>
        <w:t>2026-10-16-002-seed-gt-and-pe.yaml</w:t>
      </w:r>
      <w:r>
        <w:rPr>
          <w:rFonts w:ascii="Arial" w:hAnsi="Arial" w:eastAsia="Arial"/>
          <w:b w:val="0"/>
          <w:color w:val="000000"/>
          <w:sz w:val="24"/>
        </w:rPr>
        <w:t xml:space="preserve"> added Guatemala and Peru in T-20 with no Java change, which is itself the proof that no currency, scale, rate or rule is hard-coded (P-07). </w:t>
      </w:r>
      <w:r>
        <w:rPr>
          <w:rFonts w:ascii="Arial" w:hAnsi="Arial" w:eastAsia="Arial"/>
          <w:b w:val="0"/>
          <w:color w:val="000000"/>
          <w:sz w:val="24"/>
        </w:rPr>
        <w:t>ProductContractIT</w:t>
      </w:r>
      <w:r>
        <w:rPr>
          <w:rFonts w:ascii="Arial" w:hAnsi="Arial" w:eastAsia="Arial"/>
          <w:b w:val="0"/>
          <w:color w:val="000000"/>
          <w:sz w:val="24"/>
        </w:rPr>
        <w:t xml:space="preserve"> lists GTQ and PEN at scale 2, and </w:t>
      </w:r>
      <w:r>
        <w:rPr>
          <w:rFonts w:ascii="Arial" w:hAnsi="Arial" w:eastAsia="Arial"/>
          <w:b w:val="0"/>
          <w:color w:val="000000"/>
          <w:sz w:val="24"/>
        </w:rPr>
        <w:t>QuoteLeversIT</w:t>
      </w:r>
      <w:r>
        <w:rPr>
          <w:rFonts w:ascii="Arial" w:hAnsi="Arial" w:eastAsia="Arial"/>
          <w:b w:val="0"/>
          <w:color w:val="000000"/>
          <w:sz w:val="24"/>
        </w:rPr>
        <w:t xml:space="preserve"> quotes a Guatemalan cart (tier and untaxed gift) and a Peruvian cart (combo and taxed gift) whose totals were computed by hand. Order numbers come from one sequence per country, such as </w:t>
      </w:r>
      <w:r>
        <w:rPr>
          <w:rFonts w:ascii="Arial" w:hAnsi="Arial" w:eastAsia="Arial"/>
          <w:b w:val="0"/>
          <w:color w:val="000000"/>
          <w:sz w:val="24"/>
        </w:rPr>
        <w:t>CO-000042</w:t>
      </w:r>
      <w:r>
        <w:rPr>
          <w:rFonts w:ascii="Arial" w:hAnsi="Arial" w:eastAsia="Arial"/>
          <w:b w:val="0"/>
          <w:color w:val="000000"/>
          <w:sz w:val="24"/>
        </w:rPr>
        <w:t>. The web store picker lists the eight seeded stores, two per tenant.</w:t>
      </w:r>
    </w:p>
    <w:p>
      <w:r>
        <w:rPr>
          <w:rFonts w:ascii="Arial" w:hAnsi="Arial" w:eastAsia="Arial"/>
          <w:b w:val="0"/>
          <w:color w:val="000000"/>
          <w:sz w:val="24"/>
        </w:rPr>
        <w:t>Catalog administration is out of scope by design (SPEC §1): a new store, product or lever is a new changeset.</w:t>
      </w:r>
    </w:p>
    <w:p>
      <w:pPr>
        <w:pStyle w:val="Heading2"/>
        <w:keepNext/>
        <w:spacing w:before="160" w:after="80"/>
      </w:pPr>
      <w:r>
        <w:rPr>
          <w:rFonts w:ascii="Arial" w:hAnsi="Arial" w:eastAsia="Arial"/>
          <w:b/>
          <w:color w:val="000000"/>
          <w:sz w:val="24"/>
        </w:rPr>
        <w:t>10. How quality was proven</w:t>
      </w:r>
    </w:p>
    <w:p>
      <w:r>
        <w:rPr>
          <w:rFonts w:ascii="Arial" w:hAnsi="Arial" w:eastAsia="Arial"/>
          <w:b w:val="0"/>
          <w:color w:val="000000"/>
          <w:sz w:val="24"/>
        </w:rPr>
        <w:t xml:space="preserve">Each task is built with the same cycle (TASKS, "Task cycle"): write the failing test and see it fail for the expected reason; implement the minimum to pass; </w:t>
      </w:r>
      <w:r>
        <w:rPr>
          <w:rFonts w:ascii="Arial" w:hAnsi="Arial" w:eastAsia="Arial"/>
          <w:b/>
          <w:color w:val="000000"/>
          <w:sz w:val="24"/>
        </w:rPr>
        <w:t>prove the test bites</w:t>
      </w:r>
      <w:r>
        <w:rPr>
          <w:rFonts w:ascii="Arial" w:hAnsi="Arial" w:eastAsia="Arial"/>
          <w:b w:val="0"/>
          <w:color w:val="000000"/>
          <w:sz w:val="24"/>
        </w:rPr>
        <w:t xml:space="preserve"> by breaking the guard once (flip a rule, remove a lock, skip a rounding) and watching the test fail; run the full verification; then open the pull request with the verification output. Recorded examples of a guard broken on purpose: each domain purity rule failed with a probe class, the JaCoCo gate failed with an uncovered probe class (HANDOFF at the scaffold close), and a failing web spec made </w:t>
      </w:r>
      <w:r>
        <w:rPr>
          <w:rFonts w:ascii="Arial" w:hAnsi="Arial" w:eastAsia="Arial"/>
          <w:b w:val="0"/>
          <w:color w:val="000000"/>
          <w:sz w:val="24"/>
        </w:rPr>
        <w:t>test-all</w:t>
      </w:r>
      <w:r>
        <w:rPr>
          <w:rFonts w:ascii="Arial" w:hAnsi="Arial" w:eastAsia="Arial"/>
          <w:b w:val="0"/>
          <w:color w:val="000000"/>
          <w:sz w:val="24"/>
        </w:rPr>
        <w:t xml:space="preserve"> fail in PowerShell too (the pull request that added the web client to the full stack).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71"/>
        <w:gridCol w:w="3895"/>
        <w:gridCol w:w="3572"/>
      </w:tblGrid>
      <w:tr>
        <w:tc>
          <w:tcPr>
            <w:tcW w:type="dxa" w:w="2171"/>
          </w:tcPr>
          <w:p>
            <w:pPr>
              <w:spacing w:after="0"/>
            </w:pPr>
            <w:r>
              <w:rPr>
                <w:rFonts w:ascii="Arial" w:hAnsi="Arial" w:eastAsia="Arial"/>
                <w:b/>
                <w:color w:val="000000"/>
                <w:sz w:val="24"/>
              </w:rPr>
              <w:t>Practice</w:t>
            </w:r>
          </w:p>
        </w:tc>
        <w:tc>
          <w:tcPr>
            <w:tcW w:type="dxa" w:w="3895"/>
          </w:tcPr>
          <w:p>
            <w:pPr>
              <w:spacing w:after="0"/>
            </w:pPr>
            <w:r>
              <w:rPr>
                <w:rFonts w:ascii="Arial" w:hAnsi="Arial" w:eastAsia="Arial"/>
                <w:b/>
                <w:color w:val="000000"/>
                <w:sz w:val="24"/>
              </w:rPr>
              <w:t>How it was applied</w:t>
            </w:r>
          </w:p>
        </w:tc>
        <w:tc>
          <w:tcPr>
            <w:tcW w:type="dxa" w:w="3572"/>
          </w:tcPr>
          <w:p>
            <w:pPr>
              <w:spacing w:after="0"/>
            </w:pPr>
            <w:r>
              <w:rPr>
                <w:rFonts w:ascii="Arial" w:hAnsi="Arial" w:eastAsia="Arial"/>
                <w:b/>
                <w:color w:val="000000"/>
                <w:sz w:val="24"/>
              </w:rPr>
              <w:t>Evidence (HANDOFF §3)</w:t>
            </w:r>
          </w:p>
        </w:tc>
      </w:tr>
      <w:tr>
        <w:tc>
          <w:tcPr>
            <w:tcW w:type="dxa" w:w="2171"/>
          </w:tcPr>
          <w:p>
            <w:pPr>
              <w:spacing w:after="0"/>
            </w:pPr>
            <w:r>
              <w:rPr>
                <w:rFonts w:ascii="Arial" w:hAnsi="Arial" w:eastAsia="Arial"/>
                <w:b w:val="0"/>
                <w:color w:val="000000"/>
                <w:sz w:val="24"/>
              </w:rPr>
              <w:t>Unit and golden tests</w:t>
            </w:r>
          </w:p>
        </w:tc>
        <w:tc>
          <w:tcPr>
            <w:tcW w:type="dxa" w:w="3895"/>
          </w:tcPr>
          <w:p>
            <w:pPr>
              <w:spacing w:after="0"/>
            </w:pPr>
            <w:r>
              <w:rPr>
                <w:rFonts w:ascii="Arial" w:hAnsi="Arial" w:eastAsia="Arial"/>
                <w:b w:val="0"/>
                <w:color w:val="000000"/>
                <w:sz w:val="24"/>
              </w:rPr>
              <w:t>JUnit 5 and AssertJ; JSON fixtures for full breakdowns with a fixed clock and fixed ids</w:t>
            </w:r>
          </w:p>
        </w:tc>
        <w:tc>
          <w:tcPr>
            <w:tcW w:type="dxa" w:w="3572"/>
          </w:tcPr>
          <w:p>
            <w:pPr>
              <w:spacing w:after="0"/>
            </w:pPr>
            <w:r>
              <w:rPr>
                <w:rFonts w:ascii="Arial" w:hAnsi="Arial" w:eastAsia="Arial"/>
                <w:b w:val="0"/>
                <w:color w:val="000000"/>
                <w:sz w:val="24"/>
              </w:rPr>
              <w:t>333 unit tests green, the six golden tests among them</w:t>
            </w:r>
          </w:p>
        </w:tc>
      </w:tr>
      <w:tr>
        <w:tc>
          <w:tcPr>
            <w:tcW w:type="dxa" w:w="2171"/>
          </w:tcPr>
          <w:p>
            <w:pPr>
              <w:spacing w:after="0"/>
            </w:pPr>
            <w:r>
              <w:rPr>
                <w:rFonts w:ascii="Arial" w:hAnsi="Arial" w:eastAsia="Arial"/>
                <w:b w:val="0"/>
                <w:color w:val="000000"/>
                <w:sz w:val="24"/>
              </w:rPr>
              <w:t>Integration on a real database</w:t>
            </w:r>
          </w:p>
        </w:tc>
        <w:tc>
          <w:tcPr>
            <w:tcW w:type="dxa" w:w="3895"/>
          </w:tcPr>
          <w:p>
            <w:pPr>
              <w:spacing w:after="0"/>
            </w:pPr>
            <w:r>
              <w:rPr>
                <w:rFonts w:ascii="Arial" w:hAnsi="Arial" w:eastAsia="Arial"/>
                <w:b w:val="0"/>
                <w:color w:val="000000"/>
                <w:sz w:val="24"/>
              </w:rPr>
              <w:t>Testcontainers PostgreSQL 17, never H2</w:t>
            </w:r>
          </w:p>
        </w:tc>
        <w:tc>
          <w:tcPr>
            <w:tcW w:type="dxa" w:w="3572"/>
          </w:tcPr>
          <w:p>
            <w:pPr>
              <w:spacing w:after="0"/>
            </w:pPr>
            <w:r>
              <w:rPr>
                <w:rFonts w:ascii="Arial" w:hAnsi="Arial" w:eastAsia="Arial"/>
                <w:b w:val="0"/>
                <w:color w:val="000000"/>
                <w:sz w:val="24"/>
              </w:rPr>
              <w:t>308 integration tests green</w:t>
            </w:r>
          </w:p>
        </w:tc>
      </w:tr>
      <w:tr>
        <w:tc>
          <w:tcPr>
            <w:tcW w:type="dxa" w:w="2171"/>
          </w:tcPr>
          <w:p>
            <w:pPr>
              <w:spacing w:after="0"/>
            </w:pPr>
            <w:r>
              <w:rPr>
                <w:rFonts w:ascii="Arial" w:hAnsi="Arial" w:eastAsia="Arial"/>
                <w:b w:val="0"/>
                <w:color w:val="000000"/>
                <w:sz w:val="24"/>
              </w:rPr>
              <w:t>Concurrency and failure injection</w:t>
            </w:r>
          </w:p>
        </w:tc>
        <w:tc>
          <w:tcPr>
            <w:tcW w:type="dxa" w:w="3895"/>
          </w:tcPr>
          <w:p>
            <w:pPr>
              <w:spacing w:after="0"/>
            </w:pPr>
            <w:r>
              <w:rPr>
                <w:rFonts w:ascii="Arial" w:hAnsi="Arial" w:eastAsia="Arial"/>
                <w:b w:val="0"/>
                <w:color w:val="000000"/>
                <w:sz w:val="24"/>
              </w:rPr>
              <w:t>Concurrent requests on one key, a held credit row, database triggers that fail a write, a deferred trigger that fails the commit, a filter that loses the answer after commit</w:t>
            </w:r>
          </w:p>
        </w:tc>
        <w:tc>
          <w:tcPr>
            <w:tcW w:type="dxa" w:w="3572"/>
          </w:tcPr>
          <w:p>
            <w:pPr>
              <w:spacing w:after="0"/>
            </w:pPr>
            <w:r>
              <w:rPr>
                <w:rFonts w:ascii="Arial" w:hAnsi="Arial" w:eastAsia="Arial"/>
                <w:b w:val="0"/>
                <w:color w:val="000000"/>
                <w:sz w:val="24"/>
              </w:rPr>
              <w:t>ConfirmOrderConcurrencyIT</w:t>
            </w:r>
            <w:r>
              <w:rPr>
                <w:rFonts w:ascii="Arial" w:hAnsi="Arial" w:eastAsia="Arial"/>
                <w:b w:val="0"/>
                <w:color w:val="000000"/>
                <w:sz w:val="24"/>
              </w:rPr>
              <w:t xml:space="preserve">, </w:t>
            </w:r>
            <w:r>
              <w:rPr>
                <w:rFonts w:ascii="Arial" w:hAnsi="Arial" w:eastAsia="Arial"/>
                <w:b w:val="0"/>
                <w:color w:val="000000"/>
                <w:sz w:val="24"/>
              </w:rPr>
              <w:t>ConfirmOrderFailureInjectionIT</w:t>
            </w:r>
            <w:r>
              <w:rPr>
                <w:rFonts w:ascii="Arial" w:hAnsi="Arial" w:eastAsia="Arial"/>
                <w:b w:val="0"/>
                <w:color w:val="000000"/>
                <w:sz w:val="24"/>
              </w:rPr>
              <w:t xml:space="preserve">, </w:t>
            </w:r>
            <w:r>
              <w:rPr>
                <w:rFonts w:ascii="Arial" w:hAnsi="Arial" w:eastAsia="Arial"/>
                <w:b w:val="0"/>
                <w:color w:val="000000"/>
                <w:sz w:val="24"/>
              </w:rPr>
              <w:t>ConfirmOrderCommitOrderingIT</w:t>
            </w:r>
          </w:p>
        </w:tc>
      </w:tr>
      <w:tr>
        <w:tc>
          <w:tcPr>
            <w:tcW w:type="dxa" w:w="2171"/>
          </w:tcPr>
          <w:p>
            <w:pPr>
              <w:spacing w:after="0"/>
            </w:pPr>
            <w:r>
              <w:rPr>
                <w:rFonts w:ascii="Arial" w:hAnsi="Arial" w:eastAsia="Arial"/>
                <w:b w:val="0"/>
                <w:color w:val="000000"/>
                <w:sz w:val="24"/>
              </w:rPr>
              <w:t>Coverage</w:t>
            </w:r>
          </w:p>
        </w:tc>
        <w:tc>
          <w:tcPr>
            <w:tcW w:type="dxa" w:w="3895"/>
          </w:tcPr>
          <w:p>
            <w:pPr>
              <w:spacing w:after="0"/>
            </w:pPr>
            <w:r>
              <w:rPr>
                <w:rFonts w:ascii="Arial" w:hAnsi="Arial" w:eastAsia="Arial"/>
                <w:b w:val="0"/>
                <w:color w:val="000000"/>
                <w:sz w:val="24"/>
              </w:rPr>
              <w:t xml:space="preserve">JaCoCo gate of at least 90% of lines and branches on </w:t>
            </w:r>
            <w:r>
              <w:rPr>
                <w:rFonts w:ascii="Arial" w:hAnsi="Arial" w:eastAsia="Arial"/>
                <w:b w:val="0"/>
                <w:color w:val="000000"/>
                <w:sz w:val="24"/>
              </w:rPr>
              <w:t>pricing</w:t>
            </w:r>
            <w:r>
              <w:rPr>
                <w:rFonts w:ascii="Arial" w:hAnsi="Arial" w:eastAsia="Arial"/>
                <w:b w:val="0"/>
                <w:color w:val="000000"/>
                <w:sz w:val="24"/>
              </w:rPr>
              <w:t xml:space="preserve">, which fails </w:t>
            </w:r>
            <w:r>
              <w:rPr>
                <w:rFonts w:ascii="Arial" w:hAnsi="Arial" w:eastAsia="Arial"/>
                <w:b w:val="0"/>
                <w:color w:val="000000"/>
                <w:sz w:val="24"/>
              </w:rPr>
              <w:t>./mvnw verify</w:t>
            </w:r>
          </w:p>
        </w:tc>
        <w:tc>
          <w:tcPr>
            <w:tcW w:type="dxa" w:w="3572"/>
          </w:tcPr>
          <w:p>
            <w:pPr>
              <w:spacing w:after="0"/>
            </w:pPr>
            <w:r>
              <w:rPr>
                <w:rFonts w:ascii="Arial" w:hAnsi="Arial" w:eastAsia="Arial"/>
                <w:b w:val="0"/>
                <w:color w:val="000000"/>
                <w:sz w:val="24"/>
              </w:rPr>
              <w:t xml:space="preserve">100% of lines and branches in </w:t>
            </w:r>
            <w:r>
              <w:rPr>
                <w:rFonts w:ascii="Arial" w:hAnsi="Arial" w:eastAsia="Arial"/>
                <w:b w:val="0"/>
                <w:color w:val="000000"/>
                <w:sz w:val="24"/>
              </w:rPr>
              <w:t>pricing.domain</w:t>
            </w:r>
            <w:r>
              <w:rPr>
                <w:rFonts w:ascii="Arial" w:hAnsi="Arial" w:eastAsia="Arial"/>
                <w:b w:val="0"/>
                <w:color w:val="000000"/>
                <w:sz w:val="24"/>
              </w:rPr>
              <w:t xml:space="preserve"> and </w:t>
            </w:r>
            <w:r>
              <w:rPr>
                <w:rFonts w:ascii="Arial" w:hAnsi="Arial" w:eastAsia="Arial"/>
                <w:b w:val="0"/>
                <w:color w:val="000000"/>
                <w:sz w:val="24"/>
              </w:rPr>
              <w:t>pricing.domain.lever</w:t>
            </w:r>
            <w:r>
              <w:rPr>
                <w:rFonts w:ascii="Arial" w:hAnsi="Arial" w:eastAsia="Arial"/>
                <w:b w:val="0"/>
                <w:color w:val="000000"/>
                <w:sz w:val="24"/>
              </w:rPr>
              <w:t>; 99.2% of lines and 98.0% of branches in the whole service</w:t>
            </w:r>
          </w:p>
        </w:tc>
      </w:tr>
      <w:tr>
        <w:tc>
          <w:tcPr>
            <w:tcW w:type="dxa" w:w="2171"/>
          </w:tcPr>
          <w:p>
            <w:pPr>
              <w:spacing w:after="0"/>
            </w:pPr>
            <w:r>
              <w:rPr>
                <w:rFonts w:ascii="Arial" w:hAnsi="Arial" w:eastAsia="Arial"/>
                <w:b w:val="0"/>
                <w:color w:val="000000"/>
                <w:sz w:val="24"/>
              </w:rPr>
              <w:t>Mutation testing</w:t>
            </w:r>
          </w:p>
        </w:tc>
        <w:tc>
          <w:tcPr>
            <w:tcW w:type="dxa" w:w="3895"/>
          </w:tcPr>
          <w:p>
            <w:pPr>
              <w:spacing w:after="0"/>
            </w:pPr>
            <w:r>
              <w:rPr>
                <w:rFonts w:ascii="Arial" w:hAnsi="Arial" w:eastAsia="Arial"/>
                <w:b w:val="0"/>
                <w:color w:val="000000"/>
                <w:sz w:val="24"/>
              </w:rPr>
              <w:t xml:space="preserve">PIT in the optional profile </w:t>
            </w:r>
            <w:r>
              <w:rPr>
                <w:rFonts w:ascii="Arial" w:hAnsi="Arial" w:eastAsia="Arial"/>
                <w:b w:val="0"/>
                <w:color w:val="000000"/>
                <w:sz w:val="24"/>
              </w:rPr>
              <w:t>./mvnw -Pmutation verify</w:t>
            </w:r>
            <w:r>
              <w:rPr>
                <w:rFonts w:ascii="Arial" w:hAnsi="Arial" w:eastAsia="Arial"/>
                <w:b w:val="0"/>
                <w:color w:val="000000"/>
                <w:sz w:val="24"/>
              </w:rPr>
              <w:t>, threshold 80%</w:t>
            </w:r>
          </w:p>
        </w:tc>
        <w:tc>
          <w:tcPr>
            <w:tcW w:type="dxa" w:w="3572"/>
          </w:tcPr>
          <w:p>
            <w:pPr>
              <w:spacing w:after="0"/>
            </w:pPr>
            <w:r>
              <w:rPr>
                <w:rFonts w:ascii="Arial" w:hAnsi="Arial" w:eastAsia="Arial"/>
                <w:b w:val="0"/>
                <w:color w:val="000000"/>
                <w:sz w:val="24"/>
              </w:rPr>
              <w:t>185 of 185 mutations detected (100%)</w:t>
            </w:r>
          </w:p>
        </w:tc>
      </w:tr>
      <w:tr>
        <w:tc>
          <w:tcPr>
            <w:tcW w:type="dxa" w:w="2171"/>
          </w:tcPr>
          <w:p>
            <w:pPr>
              <w:spacing w:after="0"/>
            </w:pPr>
            <w:r>
              <w:rPr>
                <w:rFonts w:ascii="Arial" w:hAnsi="Arial" w:eastAsia="Arial"/>
                <w:b w:val="0"/>
                <w:color w:val="000000"/>
                <w:sz w:val="24"/>
              </w:rPr>
              <w:t>Architecture rules</w:t>
            </w:r>
          </w:p>
        </w:tc>
        <w:tc>
          <w:tcPr>
            <w:tcW w:type="dxa" w:w="3895"/>
          </w:tcPr>
          <w:p>
            <w:pPr>
              <w:spacing w:after="0"/>
            </w:pPr>
            <w:r>
              <w:rPr>
                <w:rFonts w:ascii="Arial" w:hAnsi="Arial" w:eastAsia="Arial"/>
                <w:b w:val="0"/>
                <w:color w:val="000000"/>
                <w:sz w:val="24"/>
              </w:rPr>
              <w:t xml:space="preserve">ArchUnit: pure domain, no </w:t>
            </w:r>
            <w:r>
              <w:rPr>
                <w:rFonts w:ascii="Arial" w:hAnsi="Arial" w:eastAsia="Arial"/>
                <w:b w:val="0"/>
                <w:color w:val="000000"/>
                <w:sz w:val="24"/>
              </w:rPr>
              <w:t>float</w:t>
            </w:r>
            <w:r>
              <w:rPr>
                <w:rFonts w:ascii="Arial" w:hAnsi="Arial" w:eastAsia="Arial"/>
                <w:b w:val="0"/>
                <w:color w:val="000000"/>
                <w:sz w:val="24"/>
              </w:rPr>
              <w:t xml:space="preserve"> or </w:t>
            </w:r>
            <w:r>
              <w:rPr>
                <w:rFonts w:ascii="Arial" w:hAnsi="Arial" w:eastAsia="Arial"/>
                <w:b w:val="0"/>
                <w:color w:val="000000"/>
                <w:sz w:val="24"/>
              </w:rPr>
              <w:t>double</w:t>
            </w:r>
            <w:r>
              <w:rPr>
                <w:rFonts w:ascii="Arial" w:hAnsi="Arial" w:eastAsia="Arial"/>
                <w:b w:val="0"/>
                <w:color w:val="000000"/>
                <w:sz w:val="24"/>
              </w:rPr>
              <w:t xml:space="preserve">, no </w:t>
            </w:r>
            <w:r>
              <w:rPr>
                <w:rFonts w:ascii="Arial" w:hAnsi="Arial" w:eastAsia="Arial"/>
                <w:b w:val="0"/>
                <w:color w:val="000000"/>
                <w:sz w:val="24"/>
              </w:rPr>
              <w:t>java.util.Currency</w:t>
            </w:r>
            <w:r>
              <w:rPr>
                <w:rFonts w:ascii="Arial" w:hAnsi="Arial" w:eastAsia="Arial"/>
                <w:b w:val="0"/>
                <w:color w:val="000000"/>
                <w:sz w:val="24"/>
              </w:rPr>
              <w:t xml:space="preserve"> in the domain, </w:t>
            </w:r>
            <w:r>
              <w:rPr>
                <w:rFonts w:ascii="Arial" w:hAnsi="Arial" w:eastAsia="Arial"/>
                <w:b w:val="0"/>
                <w:color w:val="000000"/>
                <w:sz w:val="24"/>
              </w:rPr>
              <w:t>@Transactional</w:t>
            </w:r>
            <w:r>
              <w:rPr>
                <w:rFonts w:ascii="Arial" w:hAnsi="Arial" w:eastAsia="Arial"/>
                <w:b w:val="0"/>
                <w:color w:val="000000"/>
                <w:sz w:val="24"/>
              </w:rPr>
              <w:t xml:space="preserve"> only on use cases</w:t>
            </w:r>
          </w:p>
        </w:tc>
        <w:tc>
          <w:tcPr>
            <w:tcW w:type="dxa" w:w="3572"/>
          </w:tcPr>
          <w:p>
            <w:pPr>
              <w:spacing w:after="0"/>
            </w:pPr>
            <w:r>
              <w:rPr>
                <w:rFonts w:ascii="Arial" w:hAnsi="Arial" w:eastAsia="Arial"/>
                <w:b w:val="0"/>
                <w:color w:val="000000"/>
                <w:sz w:val="24"/>
              </w:rPr>
              <w:t>DomainPurityArchTest</w:t>
            </w:r>
            <w:r>
              <w:rPr>
                <w:rFonts w:ascii="Arial" w:hAnsi="Arial" w:eastAsia="Arial"/>
                <w:b w:val="0"/>
                <w:color w:val="000000"/>
                <w:sz w:val="24"/>
              </w:rPr>
              <w:t xml:space="preserve">, </w:t>
            </w:r>
            <w:r>
              <w:rPr>
                <w:rFonts w:ascii="Arial" w:hAnsi="Arial" w:eastAsia="Arial"/>
                <w:b w:val="0"/>
                <w:color w:val="000000"/>
                <w:sz w:val="24"/>
              </w:rPr>
              <w:t>TransactionBoundaryArchTest</w:t>
            </w:r>
          </w:p>
        </w:tc>
      </w:tr>
      <w:tr>
        <w:tc>
          <w:tcPr>
            <w:tcW w:type="dxa" w:w="2171"/>
          </w:tcPr>
          <w:p>
            <w:pPr>
              <w:spacing w:after="0"/>
            </w:pPr>
            <w:r>
              <w:rPr>
                <w:rFonts w:ascii="Arial" w:hAnsi="Arial" w:eastAsia="Arial"/>
                <w:b w:val="0"/>
                <w:color w:val="000000"/>
                <w:sz w:val="24"/>
              </w:rPr>
              <w:t>Contract and i18n</w:t>
            </w:r>
          </w:p>
        </w:tc>
        <w:tc>
          <w:tcPr>
            <w:tcW w:type="dxa" w:w="3895"/>
          </w:tcPr>
          <w:p>
            <w:pPr>
              <w:spacing w:after="0"/>
            </w:pPr>
            <w:r>
              <w:rPr>
                <w:rFonts w:ascii="Arial" w:hAnsi="Arial" w:eastAsia="Arial"/>
                <w:b w:val="0"/>
                <w:color w:val="000000"/>
                <w:sz w:val="24"/>
              </w:rPr>
              <w:t xml:space="preserve">MockMvc on status codes, </w:t>
            </w:r>
            <w:r>
              <w:rPr>
                <w:rFonts w:ascii="Arial" w:hAnsi="Arial" w:eastAsia="Arial"/>
                <w:b w:val="0"/>
                <w:color w:val="000000"/>
                <w:sz w:val="24"/>
              </w:rPr>
              <w:t>problem+json</w:t>
            </w:r>
            <w:r>
              <w:rPr>
                <w:rFonts w:ascii="Arial" w:hAnsi="Arial" w:eastAsia="Arial"/>
                <w:b w:val="0"/>
                <w:color w:val="000000"/>
                <w:sz w:val="24"/>
              </w:rPr>
              <w:t xml:space="preserve"> shape and localized texts; every error code has an es and an en message</w:t>
            </w:r>
          </w:p>
        </w:tc>
        <w:tc>
          <w:tcPr>
            <w:tcW w:type="dxa" w:w="3572"/>
          </w:tcPr>
          <w:p>
            <w:pPr>
              <w:spacing w:after="0"/>
            </w:pPr>
            <w:r>
              <w:rPr>
                <w:rFonts w:ascii="Arial" w:hAnsi="Arial" w:eastAsia="Arial"/>
                <w:b w:val="0"/>
                <w:color w:val="000000"/>
                <w:sz w:val="24"/>
              </w:rPr>
              <w:t>ProblemDetailContractIT</w:t>
            </w:r>
            <w:r>
              <w:rPr>
                <w:rFonts w:ascii="Arial" w:hAnsi="Arial" w:eastAsia="Arial"/>
                <w:b w:val="0"/>
                <w:color w:val="000000"/>
                <w:sz w:val="24"/>
              </w:rPr>
              <w:t xml:space="preserve">, </w:t>
            </w:r>
            <w:r>
              <w:rPr>
                <w:rFonts w:ascii="Arial" w:hAnsi="Arial" w:eastAsia="Arial"/>
                <w:b w:val="0"/>
                <w:color w:val="000000"/>
                <w:sz w:val="24"/>
              </w:rPr>
              <w:t>LocalizedErrorIT</w:t>
            </w:r>
            <w:r>
              <w:rPr>
                <w:rFonts w:ascii="Arial" w:hAnsi="Arial" w:eastAsia="Arial"/>
                <w:b w:val="0"/>
                <w:color w:val="000000"/>
                <w:sz w:val="24"/>
              </w:rPr>
              <w:t xml:space="preserve">, </w:t>
            </w:r>
            <w:r>
              <w:rPr>
                <w:rFonts w:ascii="Arial" w:hAnsi="Arial" w:eastAsia="Arial"/>
                <w:b w:val="0"/>
                <w:color w:val="000000"/>
                <w:sz w:val="24"/>
              </w:rPr>
              <w:t>ErrorCatalogI18nTest</w:t>
            </w:r>
          </w:p>
        </w:tc>
      </w:tr>
      <w:tr>
        <w:tc>
          <w:tcPr>
            <w:tcW w:type="dxa" w:w="2171"/>
          </w:tcPr>
          <w:p>
            <w:pPr>
              <w:spacing w:after="0"/>
            </w:pPr>
            <w:r>
              <w:rPr>
                <w:rFonts w:ascii="Arial" w:hAnsi="Arial" w:eastAsia="Arial"/>
                <w:b w:val="0"/>
                <w:color w:val="000000"/>
                <w:sz w:val="24"/>
              </w:rPr>
              <w:t>Web specs</w:t>
            </w:r>
          </w:p>
        </w:tc>
        <w:tc>
          <w:tcPr>
            <w:tcW w:type="dxa" w:w="3895"/>
          </w:tcPr>
          <w:p>
            <w:pPr>
              <w:spacing w:after="0"/>
            </w:pPr>
            <w:r>
              <w:rPr>
                <w:rFonts w:ascii="Arial" w:hAnsi="Arial" w:eastAsia="Arial"/>
                <w:b w:val="0"/>
                <w:color w:val="000000"/>
                <w:sz w:val="24"/>
              </w:rPr>
              <w:t>Headless Chromium inside the test stage of the web Dockerfile; every spec answers through a simulated backend and asserts the exact request</w:t>
            </w:r>
          </w:p>
        </w:tc>
        <w:tc>
          <w:tcPr>
            <w:tcW w:type="dxa" w:w="3572"/>
          </w:tcPr>
          <w:p>
            <w:pPr>
              <w:spacing w:after="0"/>
            </w:pPr>
            <w:r>
              <w:rPr>
                <w:rFonts w:ascii="Arial" w:hAnsi="Arial" w:eastAsia="Arial"/>
                <w:b w:val="0"/>
                <w:color w:val="000000"/>
                <w:sz w:val="24"/>
              </w:rPr>
              <w:t>209 specs in 15 files</w:t>
            </w:r>
          </w:p>
        </w:tc>
      </w:tr>
      <w:tr>
        <w:tc>
          <w:tcPr>
            <w:tcW w:type="dxa" w:w="2171"/>
          </w:tcPr>
          <w:p>
            <w:pPr>
              <w:spacing w:after="0"/>
            </w:pPr>
            <w:r>
              <w:rPr>
                <w:rFonts w:ascii="Arial" w:hAnsi="Arial" w:eastAsia="Arial"/>
                <w:b w:val="0"/>
                <w:color w:val="000000"/>
                <w:sz w:val="24"/>
              </w:rPr>
              <w:t>End to end</w:t>
            </w:r>
          </w:p>
        </w:tc>
        <w:tc>
          <w:tcPr>
            <w:tcW w:type="dxa" w:w="3895"/>
          </w:tcPr>
          <w:p>
            <w:pPr>
              <w:spacing w:after="0"/>
            </w:pPr>
            <w:r>
              <w:rPr>
                <w:rFonts w:ascii="Arial" w:hAnsi="Arial" w:eastAsia="Arial"/>
                <w:b w:val="0"/>
                <w:color w:val="000000"/>
                <w:sz w:val="24"/>
              </w:rPr>
              <w:t>Playwright against the full stack, in Spanish and in English</w:t>
            </w:r>
          </w:p>
        </w:tc>
        <w:tc>
          <w:tcPr>
            <w:tcW w:type="dxa" w:w="3572"/>
          </w:tcPr>
          <w:p>
            <w:pPr>
              <w:spacing w:after="0"/>
            </w:pPr>
            <w:r>
              <w:rPr>
                <w:rFonts w:ascii="Arial" w:hAnsi="Arial" w:eastAsia="Arial"/>
                <w:b w:val="0"/>
                <w:color w:val="000000"/>
                <w:sz w:val="24"/>
              </w:rPr>
              <w:t>The flow passes 2 of 2</w:t>
            </w:r>
          </w:p>
        </w:tc>
      </w:tr>
      <w:tr>
        <w:tc>
          <w:tcPr>
            <w:tcW w:type="dxa" w:w="2171"/>
          </w:tcPr>
          <w:p>
            <w:pPr>
              <w:spacing w:after="0"/>
            </w:pPr>
            <w:r>
              <w:rPr>
                <w:rFonts w:ascii="Arial" w:hAnsi="Arial" w:eastAsia="Arial"/>
                <w:b w:val="0"/>
                <w:color w:val="000000"/>
                <w:sz w:val="24"/>
              </w:rPr>
              <w:t>Clean-export verification</w:t>
            </w:r>
          </w:p>
        </w:tc>
        <w:tc>
          <w:tcPr>
            <w:tcW w:type="dxa" w:w="3895"/>
          </w:tcPr>
          <w:p>
            <w:pPr>
              <w:spacing w:after="0"/>
            </w:pPr>
            <w:r>
              <w:rPr>
                <w:rFonts w:ascii="Arial" w:hAnsi="Arial" w:eastAsia="Arial"/>
                <w:b w:val="0"/>
                <w:color w:val="000000"/>
                <w:sz w:val="24"/>
              </w:rPr>
              <w:t>From the scaffold phase on, each API pull request was verified on a clean export of its own commit (</w:t>
            </w:r>
            <w:r>
              <w:rPr>
                <w:rFonts w:ascii="Arial" w:hAnsi="Arial" w:eastAsia="Arial"/>
                <w:b w:val="0"/>
                <w:color w:val="000000"/>
                <w:sz w:val="24"/>
              </w:rPr>
              <w:t>git archive</w:t>
            </w:r>
            <w:r>
              <w:rPr>
                <w:rFonts w:ascii="Arial" w:hAnsi="Arial" w:eastAsia="Arial"/>
                <w:b w:val="0"/>
                <w:color w:val="000000"/>
                <w:sz w:val="24"/>
              </w:rPr>
              <w:t xml:space="preserve"> of the branch head, then </w:t>
            </w:r>
            <w:r>
              <w:rPr>
                <w:rFonts w:ascii="Arial" w:hAnsi="Arial" w:eastAsia="Arial"/>
                <w:b w:val="0"/>
                <w:color w:val="000000"/>
                <w:sz w:val="24"/>
              </w:rPr>
              <w:t>./mvnw verify</w:t>
            </w:r>
            <w:r>
              <w:rPr>
                <w:rFonts w:ascii="Arial" w:hAnsi="Arial" w:eastAsia="Arial"/>
                <w:b w:val="0"/>
                <w:color w:val="000000"/>
                <w:sz w:val="24"/>
              </w:rPr>
              <w:t xml:space="preserve">), so every commit on </w:t>
            </w:r>
            <w:r>
              <w:rPr>
                <w:rFonts w:ascii="Arial" w:hAnsi="Arial" w:eastAsia="Arial"/>
                <w:b w:val="0"/>
                <w:color w:val="000000"/>
                <w:sz w:val="24"/>
              </w:rPr>
              <w:t>dev</w:t>
            </w:r>
            <w:r>
              <w:rPr>
                <w:rFonts w:ascii="Arial" w:hAnsi="Arial" w:eastAsia="Arial"/>
                <w:b w:val="0"/>
                <w:color w:val="000000"/>
                <w:sz w:val="24"/>
              </w:rPr>
              <w:t xml:space="preserve"> builds on its own; the one documentation-only pull request of the core phase was verified with </w:t>
            </w:r>
            <w:r>
              <w:rPr>
                <w:rFonts w:ascii="Arial" w:hAnsi="Arial" w:eastAsia="Arial"/>
                <w:b w:val="0"/>
                <w:color w:val="000000"/>
                <w:sz w:val="24"/>
              </w:rPr>
              <w:t>./mvnw verify</w:t>
            </w:r>
            <w:r>
              <w:rPr>
                <w:rFonts w:ascii="Arial" w:hAnsi="Arial" w:eastAsia="Arial"/>
                <w:b w:val="0"/>
                <w:color w:val="000000"/>
                <w:sz w:val="24"/>
              </w:rPr>
              <w:t xml:space="preserve"> on its commit. Each web pull request ran </w:t>
            </w:r>
            <w:r>
              <w:rPr>
                <w:rFonts w:ascii="Arial" w:hAnsi="Arial" w:eastAsia="Arial"/>
                <w:b w:val="0"/>
                <w:color w:val="000000"/>
                <w:sz w:val="24"/>
              </w:rPr>
              <w:t>docker build --no-cache-filter test --target test</w:t>
            </w:r>
            <w:r>
              <w:rPr>
                <w:rFonts w:ascii="Arial" w:hAnsi="Arial" w:eastAsia="Arial"/>
                <w:b w:val="0"/>
                <w:color w:val="000000"/>
                <w:sz w:val="24"/>
              </w:rPr>
              <w:t xml:space="preserve"> on a clean export, and each infra and tools pull request ran its own checks</w:t>
            </w:r>
          </w:p>
        </w:tc>
        <w:tc>
          <w:tcPr>
            <w:tcW w:type="dxa" w:w="3572"/>
          </w:tcPr>
          <w:p>
            <w:pPr>
              <w:spacing w:after="0"/>
            </w:pPr>
            <w:r>
              <w:rPr>
                <w:rFonts w:ascii="Arial" w:hAnsi="Arial" w:eastAsia="Arial"/>
                <w:b w:val="0"/>
                <w:color w:val="000000"/>
                <w:sz w:val="24"/>
              </w:rPr>
              <w:t>HANDOFF §9 … §11</w:t>
            </w:r>
          </w:p>
        </w:tc>
      </w:tr>
      <w:tr>
        <w:tc>
          <w:tcPr>
            <w:tcW w:type="dxa" w:w="2171"/>
          </w:tcPr>
          <w:p>
            <w:pPr>
              <w:spacing w:after="0"/>
            </w:pPr>
            <w:r>
              <w:rPr>
                <w:rFonts w:ascii="Arial" w:hAnsi="Arial" w:eastAsia="Arial"/>
                <w:b w:val="0"/>
                <w:color w:val="000000"/>
                <w:sz w:val="24"/>
              </w:rPr>
              <w:t>Workspace verification</w:t>
            </w:r>
          </w:p>
        </w:tc>
        <w:tc>
          <w:tcPr>
            <w:tcW w:type="dxa" w:w="3895"/>
          </w:tcPr>
          <w:p>
            <w:pPr>
              <w:spacing w:after="0"/>
            </w:pPr>
            <w:r>
              <w:rPr>
                <w:rFonts w:ascii="Arial" w:hAnsi="Arial" w:eastAsia="Arial"/>
                <w:b w:val="0"/>
                <w:color w:val="000000"/>
                <w:sz w:val="24"/>
              </w:rPr>
              <w:t xml:space="preserve">From the scaffold phase on, </w:t>
            </w:r>
            <w:r>
              <w:rPr>
                <w:rFonts w:ascii="Arial" w:hAnsi="Arial" w:eastAsia="Arial"/>
                <w:b w:val="0"/>
                <w:color w:val="000000"/>
                <w:sz w:val="24"/>
              </w:rPr>
              <w:t>test-all</w:t>
            </w:r>
            <w:r>
              <w:rPr>
                <w:rFonts w:ascii="Arial" w:hAnsi="Arial" w:eastAsia="Arial"/>
                <w:b w:val="0"/>
                <w:color w:val="000000"/>
                <w:sz w:val="24"/>
              </w:rPr>
              <w:t xml:space="preserve"> passed before each phase close. Before the web phase closed, it passed on fresh clones from GitHub of </w:t>
            </w:r>
            <w:r>
              <w:rPr>
                <w:rFonts w:ascii="Arial" w:hAnsi="Arial" w:eastAsia="Arial"/>
                <w:b w:val="0"/>
                <w:color w:val="000000"/>
                <w:sz w:val="24"/>
              </w:rPr>
              <w:t>dev</w:t>
            </w:r>
            <w:r>
              <w:rPr>
                <w:rFonts w:ascii="Arial" w:hAnsi="Arial" w:eastAsia="Arial"/>
                <w:b w:val="0"/>
                <w:color w:val="000000"/>
                <w:sz w:val="24"/>
              </w:rPr>
              <w:t xml:space="preserve"> of every code repository and </w:t>
            </w:r>
            <w:r>
              <w:rPr>
                <w:rFonts w:ascii="Arial" w:hAnsi="Arial" w:eastAsia="Arial"/>
                <w:b w:val="0"/>
                <w:color w:val="000000"/>
                <w:sz w:val="24"/>
              </w:rPr>
              <w:t>main</w:t>
            </w:r>
            <w:r>
              <w:rPr>
                <w:rFonts w:ascii="Arial" w:hAnsi="Arial" w:eastAsia="Arial"/>
                <w:b w:val="0"/>
                <w:color w:val="000000"/>
                <w:sz w:val="24"/>
              </w:rPr>
              <w:t xml:space="preserve"> of the documentation repository, on 2026-10-17</w:t>
            </w:r>
          </w:p>
        </w:tc>
        <w:tc>
          <w:tcPr>
            <w:tcW w:type="dxa" w:w="3572"/>
          </w:tcPr>
          <w:p>
            <w:pPr>
              <w:spacing w:after="0"/>
            </w:pPr>
            <w:r>
              <w:rPr>
                <w:rFonts w:ascii="Arial" w:hAnsi="Arial" w:eastAsia="Arial"/>
                <w:b w:val="0"/>
                <w:color w:val="000000"/>
                <w:sz w:val="24"/>
              </w:rPr>
              <w:t>test-all: OK (API verify, web tests, end-to-end, documentation check, integrity check)</w:t>
            </w:r>
          </w:p>
        </w:tc>
      </w:tr>
    </w:tbl>
    <w:p>
      <w:pPr>
        <w:spacing w:before="120"/>
      </w:pPr>
      <w:r>
        <w:rPr>
          <w:rFonts w:ascii="Arial" w:hAnsi="Arial" w:eastAsia="Arial"/>
          <w:b w:val="0"/>
          <w:color w:val="000000"/>
          <w:sz w:val="24"/>
        </w:rPr>
        <w:t>The test suite grew with the work: 3 tests at the scaffold close (the two domain purity rules and the health check), 310 unit and 287 integration tests at the core close, and 333 unit and 308 integration tests at the web close, as successive versions of the HANDOFF record.</w:t>
      </w:r>
    </w:p>
    <w:p>
      <w:pPr>
        <w:pStyle w:val="Heading2"/>
        <w:keepNext/>
        <w:spacing w:before="160" w:after="80"/>
      </w:pPr>
      <w:r>
        <w:rPr>
          <w:rFonts w:ascii="Arial" w:hAnsi="Arial" w:eastAsia="Arial"/>
          <w:b/>
          <w:color w:val="000000"/>
          <w:sz w:val="24"/>
        </w:rPr>
        <w:t>11. The git history</w:t>
      </w:r>
    </w:p>
    <w:p>
      <w:pPr>
        <w:pStyle w:val="Heading3"/>
        <w:keepNext/>
        <w:spacing w:before="160" w:after="80"/>
      </w:pPr>
      <w:r>
        <w:rPr>
          <w:rFonts w:ascii="Arial" w:hAnsi="Arial" w:eastAsia="Arial"/>
          <w:b/>
          <w:color w:val="000000"/>
          <w:sz w:val="24"/>
        </w:rPr>
        <w:t>11.1 Repositories and branches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28"/>
        <w:gridCol w:w="3889"/>
        <w:gridCol w:w="2320"/>
      </w:tblGrid>
      <w:tr>
        <w:tc>
          <w:tcPr>
            <w:tcW w:type="dxa" w:w="3428"/>
          </w:tcPr>
          <w:p>
            <w:pPr>
              <w:spacing w:after="0"/>
            </w:pPr>
            <w:r>
              <w:rPr>
                <w:rFonts w:ascii="Arial" w:hAnsi="Arial" w:eastAsia="Arial"/>
                <w:b/>
                <w:color w:val="000000"/>
                <w:sz w:val="24"/>
              </w:rPr>
              <w:t>Repository</w:t>
            </w:r>
          </w:p>
        </w:tc>
        <w:tc>
          <w:tcPr>
            <w:tcW w:type="dxa" w:w="3889"/>
          </w:tcPr>
          <w:p>
            <w:pPr>
              <w:spacing w:after="0"/>
            </w:pPr>
            <w:r>
              <w:rPr>
                <w:rFonts w:ascii="Arial" w:hAnsi="Arial" w:eastAsia="Arial"/>
                <w:b/>
                <w:color w:val="000000"/>
                <w:sz w:val="24"/>
              </w:rPr>
              <w:t>Role</w:t>
            </w:r>
          </w:p>
        </w:tc>
        <w:tc>
          <w:tcPr>
            <w:tcW w:type="dxa" w:w="2320"/>
          </w:tcPr>
          <w:p>
            <w:pPr>
              <w:spacing w:after="0"/>
            </w:pPr>
            <w:r>
              <w:rPr>
                <w:rFonts w:ascii="Arial" w:hAnsi="Arial" w:eastAsia="Arial"/>
                <w:b/>
                <w:color w:val="000000"/>
                <w:sz w:val="24"/>
              </w:rPr>
              <w:t>Long-lived branches</w:t>
            </w:r>
          </w:p>
        </w:tc>
      </w:tr>
      <w:tr>
        <w:tc>
          <w:tcPr>
            <w:tcW w:type="dxa" w:w="3428"/>
          </w:tcPr>
          <w:p>
            <w:pPr>
              <w:spacing w:after="0"/>
            </w:pPr>
            <w:r>
              <w:rPr>
                <w:rFonts w:ascii="Arial" w:hAnsi="Arial" w:eastAsia="Arial"/>
                <w:b w:val="0"/>
                <w:color w:val="000000"/>
                <w:sz w:val="24"/>
              </w:rPr>
              <w:t>orderflow-engine-api</w:t>
            </w:r>
          </w:p>
        </w:tc>
        <w:tc>
          <w:tcPr>
            <w:tcW w:type="dxa" w:w="3889"/>
          </w:tcPr>
          <w:p>
            <w:pPr>
              <w:spacing w:after="0"/>
            </w:pPr>
            <w:r>
              <w:rPr>
                <w:rFonts w:ascii="Arial" w:hAnsi="Arial" w:eastAsia="Arial"/>
                <w:b/>
                <w:color w:val="000000"/>
                <w:sz w:val="24"/>
              </w:rPr>
              <w:t>The deliverable</w:t>
            </w:r>
            <w:r>
              <w:rPr>
                <w:rFonts w:ascii="Arial" w:hAnsi="Arial" w:eastAsia="Arial"/>
                <w:b w:val="0"/>
                <w:color w:val="000000"/>
                <w:sz w:val="24"/>
              </w:rPr>
              <w:t>: service, tests, README, ADR</w:t>
            </w:r>
          </w:p>
        </w:tc>
        <w:tc>
          <w:tcPr>
            <w:tcW w:type="dxa" w:w="2320"/>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28"/>
          </w:tcPr>
          <w:p>
            <w:pPr>
              <w:spacing w:after="0"/>
            </w:pPr>
            <w:r>
              <w:rPr>
                <w:rFonts w:ascii="Arial" w:hAnsi="Arial" w:eastAsia="Arial"/>
                <w:b w:val="0"/>
                <w:color w:val="000000"/>
                <w:sz w:val="24"/>
              </w:rPr>
              <w:t>orderflow-engine-web</w:t>
            </w:r>
          </w:p>
        </w:tc>
        <w:tc>
          <w:tcPr>
            <w:tcW w:type="dxa" w:w="3889"/>
          </w:tcPr>
          <w:p>
            <w:pPr>
              <w:spacing w:after="0"/>
            </w:pPr>
            <w:r>
              <w:rPr>
                <w:rFonts w:ascii="Arial" w:hAnsi="Arial" w:eastAsia="Arial"/>
                <w:b w:val="0"/>
                <w:color w:val="000000"/>
                <w:sz w:val="24"/>
              </w:rPr>
              <w:t>The Angular client</w:t>
            </w:r>
          </w:p>
        </w:tc>
        <w:tc>
          <w:tcPr>
            <w:tcW w:type="dxa" w:w="2320"/>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28"/>
          </w:tcPr>
          <w:p>
            <w:pPr>
              <w:spacing w:after="0"/>
            </w:pPr>
            <w:r>
              <w:rPr>
                <w:rFonts w:ascii="Arial" w:hAnsi="Arial" w:eastAsia="Arial"/>
                <w:b w:val="0"/>
                <w:color w:val="000000"/>
                <w:sz w:val="24"/>
              </w:rPr>
              <w:t>orderflow-engine-infra</w:t>
            </w:r>
          </w:p>
        </w:tc>
        <w:tc>
          <w:tcPr>
            <w:tcW w:type="dxa" w:w="3889"/>
          </w:tcPr>
          <w:p>
            <w:pPr>
              <w:spacing w:after="0"/>
            </w:pPr>
            <w:r>
              <w:rPr>
                <w:rFonts w:ascii="Arial" w:hAnsi="Arial" w:eastAsia="Arial"/>
                <w:b w:val="0"/>
                <w:color w:val="000000"/>
                <w:sz w:val="24"/>
              </w:rPr>
              <w:t xml:space="preserve">Full-stack compose and </w:t>
            </w:r>
            <w:r>
              <w:rPr>
                <w:rFonts w:ascii="Arial" w:hAnsi="Arial" w:eastAsia="Arial"/>
                <w:b w:val="0"/>
                <w:color w:val="000000"/>
                <w:sz w:val="24"/>
              </w:rPr>
              <w:t>test-all</w:t>
            </w:r>
            <w:r>
              <w:rPr>
                <w:rFonts w:ascii="Arial" w:hAnsi="Arial" w:eastAsia="Arial"/>
                <w:b w:val="0"/>
                <w:color w:val="000000"/>
                <w:sz w:val="24"/>
              </w:rPr>
              <w:t>, with the end-to-end suite</w:t>
            </w:r>
          </w:p>
        </w:tc>
        <w:tc>
          <w:tcPr>
            <w:tcW w:type="dxa" w:w="2320"/>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28"/>
          </w:tcPr>
          <w:p>
            <w:pPr>
              <w:spacing w:after="0"/>
            </w:pPr>
            <w:r>
              <w:rPr>
                <w:rFonts w:ascii="Arial" w:hAnsi="Arial" w:eastAsia="Arial"/>
                <w:b w:val="0"/>
                <w:color w:val="000000"/>
                <w:sz w:val="24"/>
              </w:rPr>
              <w:t>orderflow-engine-tools</w:t>
            </w:r>
          </w:p>
        </w:tc>
        <w:tc>
          <w:tcPr>
            <w:tcW w:type="dxa" w:w="3889"/>
          </w:tcPr>
          <w:p>
            <w:pPr>
              <w:spacing w:after="0"/>
            </w:pPr>
            <w:r>
              <w:rPr>
                <w:rFonts w:ascii="Arial" w:hAnsi="Arial" w:eastAsia="Arial"/>
                <w:b w:val="0"/>
                <w:color w:val="000000"/>
                <w:sz w:val="24"/>
              </w:rPr>
              <w:t>Checks and generators for documents and repositories</w:t>
            </w:r>
          </w:p>
        </w:tc>
        <w:tc>
          <w:tcPr>
            <w:tcW w:type="dxa" w:w="2320"/>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28"/>
          </w:tcPr>
          <w:p>
            <w:pPr>
              <w:spacing w:after="0"/>
            </w:pPr>
            <w:r>
              <w:rPr>
                <w:rFonts w:ascii="Arial" w:hAnsi="Arial" w:eastAsia="Arial"/>
                <w:b w:val="0"/>
                <w:color w:val="000000"/>
                <w:sz w:val="24"/>
              </w:rPr>
              <w:t>orderflow-engine-app</w:t>
            </w:r>
          </w:p>
        </w:tc>
        <w:tc>
          <w:tcPr>
            <w:tcW w:type="dxa" w:w="3889"/>
          </w:tcPr>
          <w:p>
            <w:pPr>
              <w:spacing w:after="0"/>
            </w:pPr>
            <w:r>
              <w:rPr>
                <w:rFonts w:ascii="Arial" w:hAnsi="Arial" w:eastAsia="Arial"/>
                <w:b w:val="0"/>
                <w:color w:val="000000"/>
                <w:sz w:val="24"/>
              </w:rPr>
              <w:t>Reserved for a future mobile app; not built</w:t>
            </w:r>
          </w:p>
        </w:tc>
        <w:tc>
          <w:tcPr>
            <w:tcW w:type="dxa" w:w="2320"/>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28"/>
          </w:tcPr>
          <w:p>
            <w:pPr>
              <w:spacing w:after="0"/>
            </w:pPr>
            <w:r>
              <w:rPr>
                <w:rFonts w:ascii="Arial" w:hAnsi="Arial" w:eastAsia="Arial"/>
                <w:b w:val="0"/>
                <w:color w:val="000000"/>
                <w:sz w:val="24"/>
              </w:rPr>
              <w:t>orderflow-engine-docs</w:t>
            </w:r>
          </w:p>
        </w:tc>
        <w:tc>
          <w:tcPr>
            <w:tcW w:type="dxa" w:w="3889"/>
          </w:tcPr>
          <w:p>
            <w:pPr>
              <w:spacing w:after="0"/>
            </w:pPr>
            <w:r>
              <w:rPr>
                <w:rFonts w:ascii="Arial" w:hAnsi="Arial" w:eastAsia="Arial"/>
                <w:b w:val="0"/>
                <w:color w:val="000000"/>
                <w:sz w:val="24"/>
              </w:rPr>
              <w:t>Specification, governance, handoff, diagrams, deliverables</w:t>
            </w:r>
          </w:p>
        </w:tc>
        <w:tc>
          <w:tcPr>
            <w:tcW w:type="dxa" w:w="2320"/>
          </w:tcPr>
          <w:p>
            <w:pPr>
              <w:spacing w:after="0"/>
            </w:pPr>
            <w:r>
              <w:rPr>
                <w:rFonts w:ascii="Arial" w:hAnsi="Arial" w:eastAsia="Arial"/>
                <w:b w:val="0"/>
                <w:color w:val="000000"/>
                <w:sz w:val="24"/>
              </w:rPr>
              <w:t>main</w:t>
            </w:r>
            <w:r>
              <w:rPr>
                <w:rFonts w:ascii="Arial" w:hAnsi="Arial" w:eastAsia="Arial"/>
                <w:b w:val="0"/>
                <w:color w:val="000000"/>
                <w:sz w:val="24"/>
              </w:rPr>
              <w:t xml:space="preserve"> only</w:t>
            </w:r>
          </w:p>
        </w:tc>
      </w:tr>
    </w:tbl>
    <w:p>
      <w:pPr>
        <w:spacing w:before="120"/>
      </w:pPr>
      <w:r>
        <w:rPr>
          <w:rFonts w:ascii="Arial" w:hAnsi="Arial" w:eastAsia="Arial"/>
          <w:b w:val="0"/>
          <w:color w:val="000000"/>
          <w:sz w:val="24"/>
        </w:rPr>
        <w:t>The six repositories were created on 2026-10-14. The golden rule (</w:t>
      </w:r>
      <w:r>
        <w:rPr>
          <w:rFonts w:ascii="Arial" w:hAnsi="Arial" w:eastAsia="Arial"/>
          <w:b w:val="0"/>
          <w:color w:val="000000"/>
          <w:sz w:val="24"/>
        </w:rPr>
        <w:t>orderflow-engine-docs/governance/golden-rule.md</w:t>
      </w:r>
      <w:r>
        <w:rPr>
          <w:rFonts w:ascii="Arial" w:hAnsi="Arial" w:eastAsia="Arial"/>
          <w:b w:val="0"/>
          <w:color w:val="000000"/>
          <w:sz w:val="24"/>
        </w:rPr>
        <w:t xml:space="preserve">) states that nothing reaches </w:t>
      </w:r>
      <w:r>
        <w:rPr>
          <w:rFonts w:ascii="Arial" w:hAnsi="Arial" w:eastAsia="Arial"/>
          <w:b w:val="0"/>
          <w:color w:val="000000"/>
          <w:sz w:val="24"/>
        </w:rPr>
        <w:t>main</w:t>
      </w:r>
      <w:r>
        <w:rPr>
          <w:rFonts w:ascii="Arial" w:hAnsi="Arial" w:eastAsia="Arial"/>
          <w:b w:val="0"/>
          <w:color w:val="000000"/>
          <w:sz w:val="24"/>
        </w:rPr>
        <w:t xml:space="preserve"> except through a pull request. In a code repository, task branches are squash-merged into </w:t>
      </w:r>
      <w:r>
        <w:rPr>
          <w:rFonts w:ascii="Arial" w:hAnsi="Arial" w:eastAsia="Arial"/>
          <w:b w:val="0"/>
          <w:color w:val="000000"/>
          <w:sz w:val="24"/>
        </w:rPr>
        <w:t>dev</w:t>
      </w:r>
      <w:r>
        <w:rPr>
          <w:rFonts w:ascii="Arial" w:hAnsi="Arial" w:eastAsia="Arial"/>
          <w:b w:val="0"/>
          <w:color w:val="000000"/>
          <w:sz w:val="24"/>
        </w:rPr>
        <w:t xml:space="preserve">, and </w:t>
      </w:r>
      <w:r>
        <w:rPr>
          <w:rFonts w:ascii="Arial" w:hAnsi="Arial" w:eastAsia="Arial"/>
          <w:b w:val="0"/>
          <w:color w:val="000000"/>
          <w:sz w:val="24"/>
        </w:rPr>
        <w:t>main</w:t>
      </w:r>
      <w:r>
        <w:rPr>
          <w:rFonts w:ascii="Arial" w:hAnsi="Arial" w:eastAsia="Arial"/>
          <w:b w:val="0"/>
          <w:color w:val="000000"/>
          <w:sz w:val="24"/>
        </w:rPr>
        <w:t xml:space="preserve"> receives </w:t>
      </w:r>
      <w:r>
        <w:rPr>
          <w:rFonts w:ascii="Arial" w:hAnsi="Arial" w:eastAsia="Arial"/>
          <w:b w:val="0"/>
          <w:color w:val="000000"/>
          <w:sz w:val="24"/>
        </w:rPr>
        <w:t>dev</w:t>
      </w:r>
      <w:r>
        <w:rPr>
          <w:rFonts w:ascii="Arial" w:hAnsi="Arial" w:eastAsia="Arial"/>
          <w:b w:val="0"/>
          <w:color w:val="000000"/>
          <w:sz w:val="24"/>
        </w:rPr>
        <w:t xml:space="preserve"> only when a phase closes, through a merge commit, so every task commit stays reachable from </w:t>
      </w:r>
      <w:r>
        <w:rPr>
          <w:rFonts w:ascii="Arial" w:hAnsi="Arial" w:eastAsia="Arial"/>
          <w:b w:val="0"/>
          <w:color w:val="000000"/>
          <w:sz w:val="24"/>
        </w:rPr>
        <w:t>main</w:t>
      </w:r>
      <w:r>
        <w:rPr>
          <w:rFonts w:ascii="Arial" w:hAnsi="Arial" w:eastAsia="Arial"/>
          <w:b w:val="0"/>
          <w:color w:val="000000"/>
          <w:sz w:val="24"/>
        </w:rPr>
        <w:t xml:space="preserve">. The documentation repository keeps only </w:t>
      </w:r>
      <w:r>
        <w:rPr>
          <w:rFonts w:ascii="Arial" w:hAnsi="Arial" w:eastAsia="Arial"/>
          <w:b w:val="0"/>
          <w:color w:val="000000"/>
          <w:sz w:val="24"/>
        </w:rPr>
        <w:t>main</w:t>
      </w:r>
      <w:r>
        <w:rPr>
          <w:rFonts w:ascii="Arial" w:hAnsi="Arial" w:eastAsia="Arial"/>
          <w:b w:val="0"/>
          <w:color w:val="000000"/>
          <w:sz w:val="24"/>
        </w:rPr>
        <w:t>, because it holds living documentation. GitHub rejects branch rulesets on private repositories of a free plan (HTTP 403), so the protection rules were followed by hand while the repositories are private (HANDOFF trap TR-06).</w:t>
      </w:r>
    </w:p>
    <w:p>
      <w:pPr>
        <w:pStyle w:val="Heading3"/>
        <w:keepNext/>
        <w:spacing w:before="160" w:after="80"/>
      </w:pPr>
      <w:r>
        <w:rPr>
          <w:rFonts w:ascii="Arial" w:hAnsi="Arial" w:eastAsia="Arial"/>
          <w:b/>
          <w:color w:val="000000"/>
          <w:sz w:val="24"/>
        </w:rPr>
        <w:t>11.2 Pull requests per phase</w:t>
      </w:r>
    </w:p>
    <w:p>
      <w:r>
        <w:rPr>
          <w:rFonts w:ascii="Arial" w:hAnsi="Arial" w:eastAsia="Arial"/>
          <w:b w:val="0"/>
          <w:color w:val="000000"/>
          <w:sz w:val="24"/>
        </w:rPr>
        <w:t xml:space="preserve">By </w:t>
      </w:r>
      <w:r>
        <w:rPr>
          <w:rFonts w:ascii="Arial" w:hAnsi="Arial" w:eastAsia="Arial"/>
          <w:b w:val="0"/>
          <w:color w:val="000000"/>
          <w:sz w:val="24"/>
        </w:rPr>
        <w:t>gh pr list --state merged</w:t>
      </w:r>
      <w:r>
        <w:rPr>
          <w:rFonts w:ascii="Arial" w:hAnsi="Arial" w:eastAsia="Arial"/>
          <w:b w:val="0"/>
          <w:color w:val="000000"/>
          <w:sz w:val="24"/>
        </w:rPr>
        <w:t xml:space="preserve"> on 2026-10-17, 82 pull requests were merged: 31 in the API, 10 in the web client, 12 in infra, 17 in docs, 10 in tools and 2 in app.</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53"/>
        <w:gridCol w:w="2536"/>
        <w:gridCol w:w="3750"/>
      </w:tblGrid>
      <w:tr>
        <w:tc>
          <w:tcPr>
            <w:tcW w:type="dxa" w:w="3353"/>
          </w:tcPr>
          <w:p>
            <w:pPr>
              <w:spacing w:after="0"/>
            </w:pPr>
            <w:r>
              <w:rPr>
                <w:rFonts w:ascii="Arial" w:hAnsi="Arial" w:eastAsia="Arial"/>
                <w:b/>
                <w:color w:val="000000"/>
                <w:sz w:val="24"/>
              </w:rPr>
              <w:t>Phase</w:t>
            </w:r>
          </w:p>
        </w:tc>
        <w:tc>
          <w:tcPr>
            <w:tcW w:type="dxa" w:w="2536"/>
          </w:tcPr>
          <w:p>
            <w:pPr>
              <w:spacing w:after="0"/>
            </w:pPr>
            <w:r>
              <w:rPr>
                <w:rFonts w:ascii="Arial" w:hAnsi="Arial" w:eastAsia="Arial"/>
                <w:b/>
                <w:color w:val="000000"/>
                <w:sz w:val="24"/>
              </w:rPr>
              <w:t>Task pull requests</w:t>
            </w:r>
          </w:p>
        </w:tc>
        <w:tc>
          <w:tcPr>
            <w:tcW w:type="dxa" w:w="3750"/>
          </w:tcPr>
          <w:p>
            <w:pPr>
              <w:spacing w:after="0"/>
            </w:pPr>
            <w:r>
              <w:rPr>
                <w:rFonts w:ascii="Arial" w:hAnsi="Arial" w:eastAsia="Arial"/>
                <w:b/>
                <w:color w:val="000000"/>
                <w:sz w:val="24"/>
              </w:rPr>
              <w:t>Phase-closing pull requests</w:t>
            </w:r>
          </w:p>
        </w:tc>
      </w:tr>
      <w:tr>
        <w:tc>
          <w:tcPr>
            <w:tcW w:type="dxa" w:w="3353"/>
          </w:tcPr>
          <w:p>
            <w:pPr>
              <w:spacing w:after="0"/>
            </w:pPr>
            <w:r>
              <w:rPr>
                <w:rFonts w:ascii="Arial" w:hAnsi="Arial" w:eastAsia="Arial"/>
                <w:b w:val="0"/>
                <w:color w:val="000000"/>
                <w:sz w:val="24"/>
              </w:rPr>
              <w:t>1. Preparation (T-00)</w:t>
            </w:r>
          </w:p>
        </w:tc>
        <w:tc>
          <w:tcPr>
            <w:tcW w:type="dxa" w:w="2536"/>
          </w:tcPr>
          <w:p>
            <w:pPr>
              <w:spacing w:after="0"/>
            </w:pPr>
            <w:r>
              <w:rPr>
                <w:rFonts w:ascii="Arial" w:hAnsi="Arial" w:eastAsia="Arial"/>
                <w:b w:val="0"/>
                <w:color w:val="000000"/>
                <w:sz w:val="24"/>
              </w:rPr>
              <w:t>21</w:t>
            </w:r>
          </w:p>
        </w:tc>
        <w:tc>
          <w:tcPr>
            <w:tcW w:type="dxa" w:w="3750"/>
          </w:tcPr>
          <w:p>
            <w:pPr>
              <w:spacing w:after="0"/>
            </w:pPr>
            <w:r>
              <w:rPr>
                <w:rFonts w:ascii="Arial" w:hAnsi="Arial" w:eastAsia="Arial"/>
                <w:b w:val="0"/>
                <w:color w:val="000000"/>
                <w:sz w:val="24"/>
              </w:rPr>
              <w:t>5</w:t>
            </w:r>
          </w:p>
        </w:tc>
      </w:tr>
      <w:tr>
        <w:tc>
          <w:tcPr>
            <w:tcW w:type="dxa" w:w="3353"/>
          </w:tcPr>
          <w:p>
            <w:pPr>
              <w:spacing w:after="0"/>
            </w:pPr>
            <w:r>
              <w:rPr>
                <w:rFonts w:ascii="Arial" w:hAnsi="Arial" w:eastAsia="Arial"/>
                <w:b w:val="0"/>
                <w:color w:val="000000"/>
                <w:sz w:val="24"/>
              </w:rPr>
              <w:t>2. Scaffold (T-01)</w:t>
            </w:r>
          </w:p>
        </w:tc>
        <w:tc>
          <w:tcPr>
            <w:tcW w:type="dxa" w:w="2536"/>
          </w:tcPr>
          <w:p>
            <w:pPr>
              <w:spacing w:after="0"/>
            </w:pPr>
            <w:r>
              <w:rPr>
                <w:rFonts w:ascii="Arial" w:hAnsi="Arial" w:eastAsia="Arial"/>
                <w:b w:val="0"/>
                <w:color w:val="000000"/>
                <w:sz w:val="24"/>
              </w:rPr>
              <w:t>9</w:t>
            </w:r>
          </w:p>
        </w:tc>
        <w:tc>
          <w:tcPr>
            <w:tcW w:type="dxa" w:w="3750"/>
          </w:tcPr>
          <w:p>
            <w:pPr>
              <w:spacing w:after="0"/>
            </w:pPr>
            <w:r>
              <w:rPr>
                <w:rFonts w:ascii="Arial" w:hAnsi="Arial" w:eastAsia="Arial"/>
                <w:b w:val="0"/>
                <w:color w:val="000000"/>
                <w:sz w:val="24"/>
              </w:rPr>
              <w:t>2</w:t>
            </w:r>
          </w:p>
        </w:tc>
      </w:tr>
      <w:tr>
        <w:tc>
          <w:tcPr>
            <w:tcW w:type="dxa" w:w="3353"/>
          </w:tcPr>
          <w:p>
            <w:pPr>
              <w:spacing w:after="0"/>
            </w:pPr>
            <w:r>
              <w:rPr>
                <w:rFonts w:ascii="Arial" w:hAnsi="Arial" w:eastAsia="Arial"/>
                <w:b w:val="0"/>
                <w:color w:val="000000"/>
                <w:sz w:val="24"/>
              </w:rPr>
              <w:t>3. Core (T-02 … T-16, T-18)</w:t>
            </w:r>
          </w:p>
        </w:tc>
        <w:tc>
          <w:tcPr>
            <w:tcW w:type="dxa" w:w="2536"/>
          </w:tcPr>
          <w:p>
            <w:pPr>
              <w:spacing w:after="0"/>
            </w:pPr>
            <w:r>
              <w:rPr>
                <w:rFonts w:ascii="Arial" w:hAnsi="Arial" w:eastAsia="Arial"/>
                <w:b w:val="0"/>
                <w:color w:val="000000"/>
                <w:sz w:val="24"/>
              </w:rPr>
              <w:t>20</w:t>
            </w:r>
          </w:p>
        </w:tc>
        <w:tc>
          <w:tcPr>
            <w:tcW w:type="dxa" w:w="3750"/>
          </w:tcPr>
          <w:p>
            <w:pPr>
              <w:spacing w:after="0"/>
            </w:pPr>
            <w:r>
              <w:rPr>
                <w:rFonts w:ascii="Arial" w:hAnsi="Arial" w:eastAsia="Arial"/>
                <w:b w:val="0"/>
                <w:color w:val="000000"/>
                <w:sz w:val="24"/>
              </w:rPr>
              <w:t>3</w:t>
            </w:r>
          </w:p>
        </w:tc>
      </w:tr>
      <w:tr>
        <w:tc>
          <w:tcPr>
            <w:tcW w:type="dxa" w:w="3353"/>
          </w:tcPr>
          <w:p>
            <w:pPr>
              <w:spacing w:after="0"/>
            </w:pPr>
            <w:r>
              <w:rPr>
                <w:rFonts w:ascii="Arial" w:hAnsi="Arial" w:eastAsia="Arial"/>
                <w:b w:val="0"/>
                <w:color w:val="000000"/>
                <w:sz w:val="24"/>
              </w:rPr>
              <w:t>4. Web (T-17, T-19, T-20)</w:t>
            </w:r>
          </w:p>
        </w:tc>
        <w:tc>
          <w:tcPr>
            <w:tcW w:type="dxa" w:w="2536"/>
          </w:tcPr>
          <w:p>
            <w:pPr>
              <w:spacing w:after="0"/>
            </w:pPr>
            <w:r>
              <w:rPr>
                <w:rFonts w:ascii="Arial" w:hAnsi="Arial" w:eastAsia="Arial"/>
                <w:b w:val="0"/>
                <w:color w:val="000000"/>
                <w:sz w:val="24"/>
              </w:rPr>
              <w:t>18</w:t>
            </w:r>
          </w:p>
        </w:tc>
        <w:tc>
          <w:tcPr>
            <w:tcW w:type="dxa" w:w="3750"/>
          </w:tcPr>
          <w:p>
            <w:pPr>
              <w:spacing w:after="0"/>
            </w:pPr>
            <w:r>
              <w:rPr>
                <w:rFonts w:ascii="Arial" w:hAnsi="Arial" w:eastAsia="Arial"/>
                <w:b w:val="0"/>
                <w:color w:val="000000"/>
                <w:sz w:val="24"/>
              </w:rPr>
              <w:t>4</w:t>
            </w:r>
          </w:p>
        </w:tc>
      </w:tr>
    </w:tbl>
    <w:p>
      <w:pPr>
        <w:spacing w:before="120"/>
      </w:pPr>
      <w:r>
        <w:rPr>
          <w:rFonts w:ascii="Arial" w:hAnsi="Arial" w:eastAsia="Arial"/>
          <w:b w:val="0"/>
          <w:color w:val="000000"/>
          <w:sz w:val="24"/>
        </w:rPr>
        <w:t xml:space="preserve">The web row counts what </w:t>
      </w:r>
      <w:r>
        <w:rPr>
          <w:rFonts w:ascii="Arial" w:hAnsi="Arial" w:eastAsia="Arial"/>
          <w:b w:val="0"/>
          <w:color w:val="000000"/>
          <w:sz w:val="24"/>
        </w:rPr>
        <w:t>gh</w:t>
      </w:r>
      <w:r>
        <w:rPr>
          <w:rFonts w:ascii="Arial" w:hAnsi="Arial" w:eastAsia="Arial"/>
          <w:b w:val="0"/>
          <w:color w:val="000000"/>
          <w:sz w:val="24"/>
        </w:rPr>
        <w:t xml:space="preserve"> listed on 2026-10-17. The HANDOFF lists a 19th task pull request for that phase: its own record of the phase close, in the documentation repository.</w:t>
      </w:r>
    </w:p>
    <w:p>
      <w:r>
        <w:rPr>
          <w:rFonts w:ascii="Arial" w:hAnsi="Arial" w:eastAsia="Arial"/>
          <w:b w:val="0"/>
          <w:color w:val="000000"/>
          <w:sz w:val="24"/>
        </w:rPr>
        <w:t>The HANDOFF lists each pull request by number and subject in §8 … §11. The task pull requests of the core phase in the API, in merge order, read as the story of the build:</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feat(pricing): add money value object (T-02)</w:t>
      </w:r>
      <w:r>
        <w:rPr>
          <w:rFonts w:ascii="Arial" w:hAnsi="Arial" w:eastAsia="Arial"/>
          <w:b w:val="0"/>
          <w:color w:val="000000"/>
          <w:sz w:val="24"/>
        </w:rPr>
        <w:br/>
        <w:t>feat(pricing): add pricing pipeline and goldens (T-03)</w:t>
      </w:r>
      <w:r>
        <w:rPr>
          <w:rFonts w:ascii="Arial" w:hAnsi="Arial" w:eastAsia="Arial"/>
          <w:b w:val="0"/>
          <w:color w:val="000000"/>
          <w:sz w:val="24"/>
        </w:rPr>
        <w:br/>
        <w:t>feat(db): add normalized schema and seeds (T-08)</w:t>
      </w:r>
      <w:r>
        <w:rPr>
          <w:rFonts w:ascii="Arial" w:hAnsi="Arial" w:eastAsia="Arial"/>
          <w:b w:val="0"/>
          <w:color w:val="000000"/>
          <w:sz w:val="24"/>
        </w:rPr>
        <w:br/>
        <w:t>feat(api): add localized problem details (T-09)</w:t>
      </w:r>
      <w:r>
        <w:rPr>
          <w:rFonts w:ascii="Arial" w:hAnsi="Arial" w:eastAsia="Arial"/>
          <w:b w:val="0"/>
          <w:color w:val="000000"/>
          <w:sz w:val="24"/>
        </w:rPr>
        <w:br/>
        <w:t>feat(outbox): relay order events reliably (T-14)</w:t>
      </w:r>
      <w:r>
        <w:rPr>
          <w:rFonts w:ascii="Arial" w:hAnsi="Arial" w:eastAsia="Arial"/>
          <w:b w:val="0"/>
          <w:color w:val="000000"/>
          <w:sz w:val="24"/>
        </w:rPr>
        <w:br/>
        <w:t>feat(outbox): purge expired data by retention (T-15)</w:t>
      </w:r>
      <w:r>
        <w:rPr>
          <w:rFonts w:ascii="Arial" w:hAnsi="Arial" w:eastAsia="Arial"/>
          <w:b w:val="0"/>
          <w:color w:val="000000"/>
          <w:sz w:val="24"/>
        </w:rPr>
        <w:br/>
        <w:t>feat(quoting): add sealed quotes (T-10)</w:t>
      </w:r>
      <w:r>
        <w:rPr>
          <w:rFonts w:ascii="Arial" w:hAnsi="Arial" w:eastAsia="Arial"/>
          <w:b w:val="0"/>
          <w:color w:val="000000"/>
          <w:sz w:val="24"/>
        </w:rPr>
        <w:br/>
        <w:t>feat(ordering): confirm orders atomically (T-11)</w:t>
      </w:r>
      <w:r>
        <w:rPr>
          <w:rFonts w:ascii="Arial" w:hAnsi="Arial" w:eastAsia="Arial"/>
          <w:b w:val="0"/>
          <w:color w:val="000000"/>
          <w:sz w:val="24"/>
        </w:rPr>
        <w:br/>
        <w:t>test(ordering): prove confirmation invariants (T-12)</w:t>
      </w:r>
      <w:r>
        <w:rPr>
          <w:rFonts w:ascii="Arial" w:hAnsi="Arial" w:eastAsia="Arial"/>
          <w:b w:val="0"/>
          <w:color w:val="000000"/>
          <w:sz w:val="24"/>
        </w:rPr>
        <w:br/>
        <w:t>feat(ordering): add order history endpoints (T-13)</w:t>
      </w:r>
      <w:r>
        <w:rPr>
          <w:rFonts w:ascii="Arial" w:hAnsi="Arial" w:eastAsia="Arial"/>
          <w:b w:val="0"/>
          <w:color w:val="000000"/>
          <w:sz w:val="24"/>
        </w:rPr>
        <w:br/>
        <w:t>feat(pricing): apply marginal tier discounts (T-04)</w:t>
      </w:r>
      <w:r>
        <w:rPr>
          <w:rFonts w:ascii="Arial" w:hAnsi="Arial" w:eastAsia="Arial"/>
          <w:b w:val="0"/>
          <w:color w:val="000000"/>
          <w:sz w:val="24"/>
        </w:rPr>
        <w:br/>
        <w:t>feat(pricing): apply combos before tiers (T-05)</w:t>
      </w:r>
      <w:r>
        <w:rPr>
          <w:rFonts w:ascii="Arial" w:hAnsi="Arial" w:eastAsia="Arial"/>
          <w:b w:val="0"/>
          <w:color w:val="000000"/>
          <w:sz w:val="24"/>
        </w:rPr>
        <w:br/>
        <w:t>feat(pricing): add gifts with tax policy (T-06)</w:t>
      </w:r>
      <w:r>
        <w:rPr>
          <w:rFonts w:ascii="Arial" w:hAnsi="Arial" w:eastAsia="Arial"/>
          <w:b w:val="0"/>
          <w:color w:val="000000"/>
          <w:sz w:val="24"/>
        </w:rPr>
        <w:br/>
        <w:t>test(pricing): cover rounding and countries (T-07)</w:t>
      </w:r>
      <w:r>
        <w:rPr>
          <w:rFonts w:ascii="Arial" w:hAnsi="Arial" w:eastAsia="Arial"/>
          <w:b w:val="0"/>
          <w:color w:val="000000"/>
          <w:sz w:val="24"/>
        </w:rPr>
        <w:br/>
        <w:t>feat(quoting): price quotes with seeded levers (T-18)</w:t>
      </w:r>
      <w:r>
        <w:rPr>
          <w:rFonts w:ascii="Arial" w:hAnsi="Arial" w:eastAsia="Arial"/>
          <w:b w:val="0"/>
          <w:color w:val="000000"/>
          <w:sz w:val="24"/>
        </w:rPr>
        <w:br/>
        <w:t>docs: accept ADR and record evidence (T-16)</w:t>
      </w:r>
    </w:p>
    <w:p>
      <w:pPr>
        <w:pStyle w:val="Heading3"/>
        <w:keepNext/>
        <w:spacing w:before="160" w:after="80"/>
      </w:pPr>
      <w:r>
        <w:rPr>
          <w:rFonts w:ascii="Arial" w:hAnsi="Arial" w:eastAsia="Arial"/>
          <w:b/>
          <w:color w:val="000000"/>
          <w:sz w:val="24"/>
        </w:rPr>
        <w:t>11.3 Conventional commits</w:t>
      </w:r>
    </w:p>
    <w:p>
      <w:r>
        <w:rPr>
          <w:rFonts w:ascii="Arial" w:hAnsi="Arial" w:eastAsia="Arial"/>
          <w:b w:val="0"/>
          <w:color w:val="000000"/>
          <w:sz w:val="24"/>
        </w:rPr>
        <w:t xml:space="preserve">Every commit is one line that follows Conventional Commits 1.0.0 and ends with its task: </w:t>
      </w:r>
      <w:r>
        <w:rPr>
          <w:rFonts w:ascii="Arial" w:hAnsi="Arial" w:eastAsia="Arial"/>
          <w:b w:val="0"/>
          <w:color w:val="000000"/>
          <w:sz w:val="24"/>
        </w:rPr>
        <w:t>&lt;type&gt;(&lt;scope&gt;): &lt;imperative summary&gt; (T-NN)</w:t>
      </w:r>
      <w:r>
        <w:rPr>
          <w:rFonts w:ascii="Arial" w:hAnsi="Arial" w:eastAsia="Arial"/>
          <w:b w:val="0"/>
          <w:color w:val="000000"/>
          <w:sz w:val="24"/>
        </w:rPr>
        <w:t>, at most 60 characters, in English (</w:t>
      </w:r>
      <w:r>
        <w:rPr>
          <w:rFonts w:ascii="Arial" w:hAnsi="Arial" w:eastAsia="Arial"/>
          <w:b w:val="0"/>
          <w:color w:val="000000"/>
          <w:sz w:val="24"/>
        </w:rPr>
        <w:t>orderflow-engine-docs/governance/commit-conventions.md</w:t>
      </w:r>
      <w:r>
        <w:rPr>
          <w:rFonts w:ascii="Arial" w:hAnsi="Arial" w:eastAsia="Arial"/>
          <w:b w:val="0"/>
          <w:color w:val="000000"/>
          <w:sz w:val="24"/>
        </w:rPr>
        <w:t xml:space="preserve">). Task pull requests are squash-merged, so the pull request title is the commit, and the reason and the verification output stay in the pull request body (task, covered criteria, verification, notes). A phase close keeps its task tag, such as </w:t>
      </w:r>
      <w:r>
        <w:rPr>
          <w:rFonts w:ascii="Arial" w:hAnsi="Arial" w:eastAsia="Arial"/>
          <w:b w:val="0"/>
          <w:color w:val="000000"/>
          <w:sz w:val="24"/>
        </w:rPr>
        <w:t>chore: close core phase (T-16)</w:t>
      </w:r>
      <w:r>
        <w:rPr>
          <w:rFonts w:ascii="Arial" w:hAnsi="Arial" w:eastAsia="Arial"/>
          <w:b w:val="0"/>
          <w:color w:val="000000"/>
          <w:sz w:val="24"/>
        </w:rPr>
        <w:t xml:space="preserve">. </w:t>
      </w:r>
      <w:r>
        <w:rPr>
          <w:rFonts w:ascii="Arial" w:hAnsi="Arial" w:eastAsia="Arial"/>
          <w:b w:val="0"/>
          <w:color w:val="000000"/>
          <w:sz w:val="24"/>
        </w:rPr>
        <w:t>check-docs</w:t>
      </w:r>
      <w:r>
        <w:rPr>
          <w:rFonts w:ascii="Arial" w:hAnsi="Arial" w:eastAsia="Arial"/>
          <w:b w:val="0"/>
          <w:color w:val="000000"/>
          <w:sz w:val="24"/>
        </w:rPr>
        <w:t xml:space="preserve"> fails when a planned commit line in TASKS breaks these rules.</w:t>
      </w:r>
    </w:p>
    <w:p>
      <w:pPr>
        <w:pStyle w:val="Heading2"/>
        <w:keepNext/>
        <w:spacing w:before="160" w:after="80"/>
      </w:pPr>
      <w:r>
        <w:rPr>
          <w:rFonts w:ascii="Arial" w:hAnsi="Arial" w:eastAsia="Arial"/>
          <w:b/>
          <w:color w:val="000000"/>
          <w:sz w:val="24"/>
        </w:rPr>
        <w:t>12. What was not done and why</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59"/>
        <w:gridCol w:w="5979"/>
      </w:tblGrid>
      <w:tr>
        <w:tc>
          <w:tcPr>
            <w:tcW w:type="dxa" w:w="3659"/>
          </w:tcPr>
          <w:p>
            <w:pPr>
              <w:spacing w:after="0"/>
            </w:pPr>
            <w:r>
              <w:rPr>
                <w:rFonts w:ascii="Arial" w:hAnsi="Arial" w:eastAsia="Arial"/>
                <w:b/>
                <w:color w:val="000000"/>
                <w:sz w:val="24"/>
              </w:rPr>
              <w:t>Item</w:t>
            </w:r>
          </w:p>
        </w:tc>
        <w:tc>
          <w:tcPr>
            <w:tcW w:type="dxa" w:w="5979"/>
          </w:tcPr>
          <w:p>
            <w:pPr>
              <w:spacing w:after="0"/>
            </w:pPr>
            <w:r>
              <w:rPr>
                <w:rFonts w:ascii="Arial" w:hAnsi="Arial" w:eastAsia="Arial"/>
                <w:b/>
                <w:color w:val="000000"/>
                <w:sz w:val="24"/>
              </w:rPr>
              <w:t>Why</w:t>
            </w:r>
          </w:p>
        </w:tc>
      </w:tr>
      <w:tr>
        <w:tc>
          <w:tcPr>
            <w:tcW w:type="dxa" w:w="3659"/>
          </w:tcPr>
          <w:p>
            <w:pPr>
              <w:spacing w:after="0"/>
            </w:pPr>
            <w:r>
              <w:rPr>
                <w:rFonts w:ascii="Arial" w:hAnsi="Arial" w:eastAsia="Arial"/>
                <w:b w:val="0"/>
                <w:color w:val="000000"/>
                <w:sz w:val="24"/>
              </w:rPr>
              <w:t>Authentication</w:t>
            </w:r>
          </w:p>
        </w:tc>
        <w:tc>
          <w:tcPr>
            <w:tcW w:type="dxa" w:w="5979"/>
          </w:tcPr>
          <w:p>
            <w:pPr>
              <w:spacing w:after="0"/>
            </w:pPr>
            <w:r>
              <w:rPr>
                <w:rFonts w:ascii="Arial" w:hAnsi="Arial" w:eastAsia="Arial"/>
                <w:b w:val="0"/>
                <w:color w:val="000000"/>
                <w:sz w:val="24"/>
              </w:rPr>
              <w:t>Out of scope. Tenant and customer come from headers, and a gateway would inject them</w:t>
            </w:r>
          </w:p>
        </w:tc>
      </w:tr>
      <w:tr>
        <w:tc>
          <w:tcPr>
            <w:tcW w:type="dxa" w:w="3659"/>
          </w:tcPr>
          <w:p>
            <w:pPr>
              <w:spacing w:after="0"/>
            </w:pPr>
            <w:r>
              <w:rPr>
                <w:rFonts w:ascii="Arial" w:hAnsi="Arial" w:eastAsia="Arial"/>
                <w:b w:val="0"/>
                <w:color w:val="000000"/>
                <w:sz w:val="24"/>
              </w:rPr>
              <w:t>Payment capture, cancellation and credit release</w:t>
            </w:r>
          </w:p>
        </w:tc>
        <w:tc>
          <w:tcPr>
            <w:tcW w:type="dxa" w:w="5979"/>
          </w:tcPr>
          <w:p>
            <w:pPr>
              <w:spacing w:after="0"/>
            </w:pPr>
            <w:r>
              <w:rPr>
                <w:rFonts w:ascii="Arial" w:hAnsi="Arial" w:eastAsia="Arial"/>
                <w:b w:val="0"/>
                <w:color w:val="000000"/>
                <w:sz w:val="24"/>
              </w:rPr>
              <w:t>Not required</w:t>
            </w:r>
          </w:p>
        </w:tc>
      </w:tr>
      <w:tr>
        <w:tc>
          <w:tcPr>
            <w:tcW w:type="dxa" w:w="3659"/>
          </w:tcPr>
          <w:p>
            <w:pPr>
              <w:spacing w:after="0"/>
            </w:pPr>
            <w:r>
              <w:rPr>
                <w:rFonts w:ascii="Arial" w:hAnsi="Arial" w:eastAsia="Arial"/>
                <w:b w:val="0"/>
                <w:color w:val="000000"/>
                <w:sz w:val="24"/>
              </w:rPr>
              <w:t>Server-side cart persistence</w:t>
            </w:r>
          </w:p>
        </w:tc>
        <w:tc>
          <w:tcPr>
            <w:tcW w:type="dxa" w:w="5979"/>
          </w:tcPr>
          <w:p>
            <w:pPr>
              <w:spacing w:after="0"/>
            </w:pPr>
            <w:r>
              <w:rPr>
                <w:rFonts w:ascii="Arial" w:hAnsi="Arial" w:eastAsia="Arial"/>
                <w:b w:val="0"/>
                <w:color w:val="000000"/>
                <w:sz w:val="24"/>
              </w:rPr>
              <w:t>Not required. The cart travels in the quote request, and the web client keeps it in the browser</w:t>
            </w:r>
          </w:p>
        </w:tc>
      </w:tr>
      <w:tr>
        <w:tc>
          <w:tcPr>
            <w:tcW w:type="dxa" w:w="3659"/>
          </w:tcPr>
          <w:p>
            <w:pPr>
              <w:spacing w:after="0"/>
            </w:pPr>
            <w:r>
              <w:rPr>
                <w:rFonts w:ascii="Arial" w:hAnsi="Arial" w:eastAsia="Arial"/>
                <w:b w:val="0"/>
                <w:color w:val="000000"/>
                <w:sz w:val="24"/>
              </w:rPr>
              <w:t>Quote revocation</w:t>
            </w:r>
          </w:p>
        </w:tc>
        <w:tc>
          <w:tcPr>
            <w:tcW w:type="dxa" w:w="5979"/>
          </w:tcPr>
          <w:p>
            <w:pPr>
              <w:spacing w:after="0"/>
            </w:pPr>
            <w:r>
              <w:rPr>
                <w:rFonts w:ascii="Arial" w:hAnsi="Arial" w:eastAsia="Arial"/>
                <w:b w:val="0"/>
                <w:color w:val="000000"/>
                <w:sz w:val="24"/>
              </w:rPr>
              <w:t>Not required. It is the next step of the ADR's risk mitigation</w:t>
            </w:r>
          </w:p>
        </w:tc>
      </w:tr>
      <w:tr>
        <w:tc>
          <w:tcPr>
            <w:tcW w:type="dxa" w:w="3659"/>
          </w:tcPr>
          <w:p>
            <w:pPr>
              <w:spacing w:after="0"/>
            </w:pPr>
            <w:r>
              <w:rPr>
                <w:rFonts w:ascii="Arial" w:hAnsi="Arial" w:eastAsia="Arial"/>
                <w:b w:val="0"/>
                <w:color w:val="000000"/>
                <w:sz w:val="24"/>
              </w:rPr>
              <w:t>Catalog and lever administration</w:t>
            </w:r>
          </w:p>
        </w:tc>
        <w:tc>
          <w:tcPr>
            <w:tcW w:type="dxa" w:w="5979"/>
          </w:tcPr>
          <w:p>
            <w:pPr>
              <w:spacing w:after="0"/>
            </w:pPr>
            <w:r>
              <w:rPr>
                <w:rFonts w:ascii="Arial" w:hAnsi="Arial" w:eastAsia="Arial"/>
                <w:b w:val="0"/>
                <w:color w:val="000000"/>
                <w:sz w:val="24"/>
              </w:rPr>
              <w:t>Not required. The migrations seed the data. The only catalog operation is the read-only product list (E-07)</w:t>
            </w:r>
          </w:p>
        </w:tc>
      </w:tr>
      <w:tr>
        <w:tc>
          <w:tcPr>
            <w:tcW w:type="dxa" w:w="3659"/>
          </w:tcPr>
          <w:p>
            <w:pPr>
              <w:spacing w:after="0"/>
            </w:pPr>
            <w:r>
              <w:rPr>
                <w:rFonts w:ascii="Arial" w:hAnsi="Arial" w:eastAsia="Arial"/>
                <w:b w:val="0"/>
                <w:color w:val="000000"/>
                <w:sz w:val="24"/>
              </w:rPr>
              <w:t>Tax categories and price history</w:t>
            </w:r>
          </w:p>
        </w:tc>
        <w:tc>
          <w:tcPr>
            <w:tcW w:type="dxa" w:w="5979"/>
          </w:tcPr>
          <w:p>
            <w:pPr>
              <w:spacing w:after="0"/>
            </w:pPr>
            <w:r>
              <w:rPr>
                <w:rFonts w:ascii="Arial" w:hAnsi="Arial" w:eastAsia="Arial"/>
                <w:b w:val="0"/>
                <w:color w:val="000000"/>
                <w:sz w:val="24"/>
              </w:rPr>
              <w:t>Not required. Each SKU carries its rate, and each quote line keeps the price and rate in force when it was quoted</w:t>
            </w:r>
          </w:p>
        </w:tc>
      </w:tr>
      <w:tr>
        <w:tc>
          <w:tcPr>
            <w:tcW w:type="dxa" w:w="3659"/>
          </w:tcPr>
          <w:p>
            <w:pPr>
              <w:spacing w:after="0"/>
            </w:pPr>
            <w:r>
              <w:rPr>
                <w:rFonts w:ascii="Arial" w:hAnsi="Arial" w:eastAsia="Arial"/>
                <w:b w:val="0"/>
                <w:color w:val="000000"/>
                <w:sz w:val="24"/>
              </w:rPr>
              <w:t>Real push and ERP clients</w:t>
            </w:r>
          </w:p>
        </w:tc>
        <w:tc>
          <w:tcPr>
            <w:tcW w:type="dxa" w:w="5979"/>
          </w:tcPr>
          <w:p>
            <w:pPr>
              <w:spacing w:after="0"/>
            </w:pPr>
            <w:r>
              <w:rPr>
                <w:rFonts w:ascii="Arial" w:hAnsi="Arial" w:eastAsia="Arial"/>
                <w:b w:val="0"/>
                <w:color w:val="000000"/>
                <w:sz w:val="24"/>
              </w:rPr>
              <w:t>Fakes behind ports prove the delivery guarantees</w:t>
            </w:r>
          </w:p>
        </w:tc>
      </w:tr>
      <w:tr>
        <w:tc>
          <w:tcPr>
            <w:tcW w:type="dxa" w:w="3659"/>
          </w:tcPr>
          <w:p>
            <w:pPr>
              <w:spacing w:after="0"/>
            </w:pPr>
            <w:r>
              <w:rPr>
                <w:rFonts w:ascii="Arial" w:hAnsi="Arial" w:eastAsia="Arial"/>
                <w:b w:val="0"/>
                <w:color w:val="000000"/>
                <w:sz w:val="24"/>
              </w:rPr>
              <w:t>OpenAPI file and deployment</w:t>
            </w:r>
          </w:p>
        </w:tc>
        <w:tc>
          <w:tcPr>
            <w:tcW w:type="dxa" w:w="5979"/>
          </w:tcPr>
          <w:p>
            <w:pPr>
              <w:spacing w:after="0"/>
            </w:pPr>
            <w:r>
              <w:rPr>
                <w:rFonts w:ascii="Arial" w:hAnsi="Arial" w:eastAsia="Arial"/>
                <w:b w:val="0"/>
                <w:color w:val="000000"/>
                <w:sz w:val="24"/>
              </w:rPr>
              <w:t xml:space="preserve">Not required. The contract is </w:t>
            </w:r>
            <w:r>
              <w:rPr>
                <w:rFonts w:ascii="Arial" w:hAnsi="Arial" w:eastAsia="Arial"/>
                <w:b w:val="0"/>
                <w:color w:val="000000"/>
                <w:sz w:val="24"/>
              </w:rPr>
              <w:t>orderflow-engine-docs/spec/api-contract.md</w:t>
            </w:r>
          </w:p>
        </w:tc>
      </w:tr>
      <w:tr>
        <w:tc>
          <w:tcPr>
            <w:tcW w:type="dxa" w:w="3659"/>
          </w:tcPr>
          <w:p>
            <w:pPr>
              <w:spacing w:after="0"/>
            </w:pPr>
            <w:r>
              <w:rPr>
                <w:rFonts w:ascii="Arial" w:hAnsi="Arial" w:eastAsia="Arial"/>
                <w:b w:val="0"/>
                <w:color w:val="000000"/>
                <w:sz w:val="24"/>
              </w:rPr>
              <w:t>CORS configuration</w:t>
            </w:r>
          </w:p>
        </w:tc>
        <w:tc>
          <w:tcPr>
            <w:tcW w:type="dxa" w:w="5979"/>
          </w:tcPr>
          <w:p>
            <w:pPr>
              <w:spacing w:after="0"/>
            </w:pPr>
            <w:r>
              <w:rPr>
                <w:rFonts w:ascii="Arial" w:hAnsi="Arial" w:eastAsia="Arial"/>
                <w:b w:val="0"/>
                <w:color w:val="000000"/>
                <w:sz w:val="24"/>
              </w:rPr>
              <w:t xml:space="preserve">Not needed: the web client's nginx forwards </w:t>
            </w:r>
            <w:r>
              <w:rPr>
                <w:rFonts w:ascii="Arial" w:hAnsi="Arial" w:eastAsia="Arial"/>
                <w:b w:val="0"/>
                <w:color w:val="000000"/>
                <w:sz w:val="24"/>
              </w:rPr>
              <w:t>/api/</w:t>
            </w:r>
            <w:r>
              <w:rPr>
                <w:rFonts w:ascii="Arial" w:hAnsi="Arial" w:eastAsia="Arial"/>
                <w:b w:val="0"/>
                <w:color w:val="000000"/>
                <w:sz w:val="24"/>
              </w:rPr>
              <w:t>, so the browser sees one origin</w:t>
            </w:r>
          </w:p>
        </w:tc>
      </w:tr>
      <w:tr>
        <w:tc>
          <w:tcPr>
            <w:tcW w:type="dxa" w:w="3659"/>
          </w:tcPr>
          <w:p>
            <w:pPr>
              <w:spacing w:after="0"/>
            </w:pPr>
            <w:r>
              <w:rPr>
                <w:rFonts w:ascii="Arial" w:hAnsi="Arial" w:eastAsia="Arial"/>
                <w:b w:val="0"/>
                <w:color w:val="000000"/>
                <w:sz w:val="24"/>
              </w:rPr>
              <w:t>SonarQube or SonarCloud, a CI pipeline, mutation testing in CI</w:t>
            </w:r>
          </w:p>
        </w:tc>
        <w:tc>
          <w:tcPr>
            <w:tcW w:type="dxa" w:w="5979"/>
          </w:tcPr>
          <w:p>
            <w:pPr>
              <w:spacing w:after="0"/>
            </w:pPr>
            <w:r>
              <w:rPr>
                <w:rFonts w:ascii="Arial" w:hAnsi="Arial" w:eastAsia="Arial"/>
                <w:b w:val="0"/>
                <w:color w:val="000000"/>
                <w:sz w:val="24"/>
              </w:rPr>
              <w:t>They need a server or CI configuration. The project already produces what each one consumes (the JaCoCo XML report, the commands)</w:t>
            </w:r>
          </w:p>
        </w:tc>
      </w:tr>
      <w:tr>
        <w:tc>
          <w:tcPr>
            <w:tcW w:type="dxa" w:w="3659"/>
          </w:tcPr>
          <w:p>
            <w:pPr>
              <w:spacing w:after="0"/>
            </w:pPr>
            <w:r>
              <w:rPr>
                <w:rFonts w:ascii="Arial" w:hAnsi="Arial" w:eastAsia="Arial"/>
                <w:b w:val="0"/>
                <w:color w:val="000000"/>
                <w:sz w:val="24"/>
              </w:rPr>
              <w:t>A separate migration job with least-privilege roles, a separate schema repository</w:t>
            </w:r>
          </w:p>
        </w:tc>
        <w:tc>
          <w:tcPr>
            <w:tcW w:type="dxa" w:w="5979"/>
          </w:tcPr>
          <w:p>
            <w:pPr>
              <w:spacing w:after="0"/>
            </w:pPr>
            <w:r>
              <w:rPr>
                <w:rFonts w:ascii="Arial" w:hAnsi="Arial" w:eastAsia="Arial"/>
                <w:b w:val="0"/>
                <w:color w:val="000000"/>
                <w:sz w:val="24"/>
              </w:rPr>
              <w:t xml:space="preserve">Liquibase runs at startup with the owner's credential, and the changelogs live with their only owner; each changelog has a </w:t>
            </w:r>
            <w:r>
              <w:rPr>
                <w:rFonts w:ascii="Arial" w:hAnsi="Arial" w:eastAsia="Arial"/>
                <w:b w:val="0"/>
                <w:color w:val="000000"/>
                <w:sz w:val="24"/>
              </w:rPr>
              <w:t>logicalFilePath</w:t>
            </w:r>
            <w:r>
              <w:rPr>
                <w:rFonts w:ascii="Arial" w:hAnsi="Arial" w:eastAsia="Arial"/>
                <w:b w:val="0"/>
                <w:color w:val="000000"/>
                <w:sz w:val="24"/>
              </w:rPr>
              <w:t>, so it can move without being applied again</w:t>
            </w:r>
          </w:p>
        </w:tc>
      </w:tr>
      <w:tr>
        <w:tc>
          <w:tcPr>
            <w:tcW w:type="dxa" w:w="3659"/>
          </w:tcPr>
          <w:p>
            <w:pPr>
              <w:spacing w:after="0"/>
            </w:pPr>
            <w:r>
              <w:rPr>
                <w:rFonts w:ascii="Arial" w:hAnsi="Arial" w:eastAsia="Arial"/>
                <w:b w:val="0"/>
                <w:color w:val="000000"/>
                <w:sz w:val="24"/>
              </w:rPr>
              <w:t>Catalog in several languages</w:t>
            </w:r>
          </w:p>
        </w:tc>
        <w:tc>
          <w:tcPr>
            <w:tcW w:type="dxa" w:w="5979"/>
          </w:tcPr>
          <w:p>
            <w:pPr>
              <w:spacing w:after="0"/>
            </w:pPr>
            <w:r>
              <w:rPr>
                <w:rFonts w:ascii="Arial" w:hAnsi="Arial" w:eastAsia="Arial"/>
                <w:b w:val="0"/>
                <w:color w:val="000000"/>
                <w:sz w:val="24"/>
              </w:rPr>
              <w:t>Product names are tenant data in the tenant's language; the ES/EN switch translates the interface</w:t>
            </w:r>
          </w:p>
        </w:tc>
      </w:tr>
      <w:tr>
        <w:tc>
          <w:tcPr>
            <w:tcW w:type="dxa" w:w="3659"/>
          </w:tcPr>
          <w:p>
            <w:pPr>
              <w:spacing w:after="0"/>
            </w:pPr>
            <w:r>
              <w:rPr>
                <w:rFonts w:ascii="Arial" w:hAnsi="Arial" w:eastAsia="Arial"/>
                <w:b w:val="0"/>
                <w:color w:val="000000"/>
                <w:sz w:val="24"/>
              </w:rPr>
              <w:t>Mobile app</w:t>
            </w:r>
          </w:p>
        </w:tc>
        <w:tc>
          <w:tcPr>
            <w:tcW w:type="dxa" w:w="5979"/>
          </w:tcPr>
          <w:p>
            <w:pPr>
              <w:spacing w:after="0"/>
            </w:pPr>
            <w:r>
              <w:rPr>
                <w:rFonts w:ascii="Arial" w:hAnsi="Arial" w:eastAsia="Arial"/>
                <w:b w:val="0"/>
                <w:color w:val="000000"/>
                <w:sz w:val="24"/>
              </w:rPr>
              <w:t>orderflow-engine-app</w:t>
            </w:r>
            <w:r>
              <w:rPr>
                <w:rFonts w:ascii="Arial" w:hAnsi="Arial" w:eastAsia="Arial"/>
                <w:b w:val="0"/>
                <w:color w:val="000000"/>
                <w:sz w:val="24"/>
              </w:rPr>
              <w:t xml:space="preserve"> is reserved and empty</w:t>
            </w:r>
          </w:p>
        </w:tc>
      </w:tr>
    </w:tbl>
    <w:p>
      <w:pPr>
        <w:spacing w:before="120"/>
      </w:pPr>
      <w:r>
        <w:rPr>
          <w:rFonts w:ascii="Arial" w:hAnsi="Arial" w:eastAsia="Arial"/>
          <w:b w:val="0"/>
          <w:color w:val="000000"/>
          <w:sz w:val="24"/>
        </w:rPr>
        <w:t xml:space="preserve">Each item that a later team could adopt has a written adoption path, with today's state, the change it needs and its trigger, in </w:t>
      </w:r>
      <w:r>
        <w:rPr>
          <w:rFonts w:ascii="Arial" w:hAnsi="Arial" w:eastAsia="Arial"/>
          <w:b w:val="0"/>
          <w:color w:val="000000"/>
          <w:sz w:val="24"/>
        </w:rPr>
        <w:t>orderflow-engine-docs/spec/plan.md</w:t>
      </w:r>
      <w:r>
        <w:rPr>
          <w:rFonts w:ascii="Arial" w:hAnsi="Arial" w:eastAsia="Arial"/>
          <w:b w:val="0"/>
          <w:color w:val="000000"/>
          <w:sz w:val="24"/>
        </w:rPr>
        <w:t xml:space="preserve"> §3.</w:t>
      </w:r>
    </w:p>
    <w:p>
      <w:pPr>
        <w:pStyle w:val="Heading2"/>
        <w:keepNext/>
        <w:spacing w:before="160" w:after="80"/>
      </w:pPr>
      <w:r>
        <w:rPr>
          <w:rFonts w:ascii="Arial" w:hAnsi="Arial" w:eastAsia="Arial"/>
          <w:b/>
          <w:color w:val="000000"/>
          <w:sz w:val="24"/>
        </w:rPr>
        <w:t>13. Time spent</w:t>
      </w:r>
    </w:p>
    <w:p>
      <w:r>
        <w:rPr>
          <w:rFonts w:ascii="Arial" w:hAnsi="Arial" w:eastAsia="Arial"/>
          <w:b w:val="0"/>
          <w:color w:val="000000"/>
          <w:sz w:val="24"/>
        </w:rPr>
        <w:t>The measured times come from the "Time spent" table of the API README: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62"/>
        <w:gridCol w:w="2976"/>
      </w:tblGrid>
      <w:tr>
        <w:tc>
          <w:tcPr>
            <w:tcW w:type="dxa" w:w="6662"/>
          </w:tcPr>
          <w:p>
            <w:pPr>
              <w:spacing w:after="0"/>
            </w:pPr>
            <w:r>
              <w:rPr>
                <w:rFonts w:ascii="Arial" w:hAnsi="Arial" w:eastAsia="Arial"/>
                <w:b/>
                <w:color w:val="000000"/>
                <w:sz w:val="24"/>
              </w:rPr>
              <w:t>Part</w:t>
            </w:r>
          </w:p>
        </w:tc>
        <w:tc>
          <w:tcPr>
            <w:tcW w:type="dxa" w:w="2976"/>
          </w:tcPr>
          <w:p>
            <w:pPr>
              <w:spacing w:after="0"/>
            </w:pPr>
            <w:r>
              <w:rPr>
                <w:rFonts w:ascii="Arial" w:hAnsi="Arial" w:eastAsia="Arial"/>
                <w:b/>
                <w:color w:val="000000"/>
                <w:sz w:val="24"/>
              </w:rPr>
              <w:t>Measured time</w:t>
            </w:r>
          </w:p>
        </w:tc>
      </w:tr>
      <w:tr>
        <w:tc>
          <w:tcPr>
            <w:tcW w:type="dxa" w:w="6662"/>
          </w:tcPr>
          <w:p>
            <w:pPr>
              <w:spacing w:after="0"/>
            </w:pPr>
            <w:r>
              <w:rPr>
                <w:rFonts w:ascii="Arial" w:hAnsi="Arial" w:eastAsia="Arial"/>
                <w:b w:val="0"/>
                <w:color w:val="000000"/>
                <w:sz w:val="24"/>
              </w:rPr>
              <w:t>The take-home (A1, A2, A3), including the specification</w:t>
            </w:r>
          </w:p>
        </w:tc>
        <w:tc>
          <w:tcPr>
            <w:tcW w:type="dxa" w:w="2976"/>
          </w:tcPr>
          <w:p>
            <w:pPr>
              <w:spacing w:after="0"/>
            </w:pPr>
            <w:r>
              <w:rPr>
                <w:rFonts w:ascii="Arial" w:hAnsi="Arial" w:eastAsia="Arial"/>
                <w:b w:val="0"/>
                <w:color w:val="000000"/>
                <w:sz w:val="24"/>
              </w:rPr>
              <w:t>Three working days, 2026-10-13 to 2026-10-15</w:t>
            </w:r>
          </w:p>
        </w:tc>
      </w:tr>
      <w:tr>
        <w:tc>
          <w:tcPr>
            <w:tcW w:type="dxa" w:w="6662"/>
          </w:tcPr>
          <w:p>
            <w:pPr>
              <w:spacing w:after="0"/>
            </w:pPr>
            <w:r>
              <w:rPr>
                <w:rFonts w:ascii="Arial" w:hAnsi="Arial" w:eastAsia="Arial"/>
                <w:b w:val="0"/>
                <w:color w:val="000000"/>
                <w:sz w:val="24"/>
              </w:rPr>
              <w:t>The assignment's optional screen: the order summary</w:t>
            </w:r>
          </w:p>
        </w:tc>
        <w:tc>
          <w:tcPr>
            <w:tcW w:type="dxa" w:w="2976"/>
          </w:tcPr>
          <w:p>
            <w:pPr>
              <w:spacing w:after="0"/>
            </w:pPr>
            <w:r>
              <w:rPr>
                <w:rFonts w:ascii="Arial" w:hAnsi="Arial" w:eastAsia="Arial"/>
                <w:b w:val="0"/>
                <w:color w:val="000000"/>
                <w:sz w:val="24"/>
              </w:rPr>
              <w:t>68 min</w:t>
            </w:r>
          </w:p>
        </w:tc>
      </w:tr>
      <w:tr>
        <w:tc>
          <w:tcPr>
            <w:tcW w:type="dxa" w:w="6662"/>
          </w:tcPr>
          <w:p>
            <w:pPr>
              <w:spacing w:after="0"/>
            </w:pPr>
            <w:r>
              <w:rPr>
                <w:rFonts w:ascii="Arial" w:hAnsi="Arial" w:eastAsia="Arial"/>
                <w:b w:val="0"/>
                <w:color w:val="000000"/>
                <w:sz w:val="24"/>
              </w:rPr>
              <w:t xml:space="preserve">Its container, the web client in the full stack and the web step of </w:t>
            </w:r>
            <w:r>
              <w:rPr>
                <w:rFonts w:ascii="Arial" w:hAnsi="Arial" w:eastAsia="Arial"/>
                <w:b w:val="0"/>
                <w:color w:val="000000"/>
                <w:sz w:val="24"/>
              </w:rPr>
              <w:t>test-all</w:t>
            </w:r>
          </w:p>
        </w:tc>
        <w:tc>
          <w:tcPr>
            <w:tcW w:type="dxa" w:w="2976"/>
          </w:tcPr>
          <w:p>
            <w:pPr>
              <w:spacing w:after="0"/>
            </w:pPr>
            <w:r>
              <w:rPr>
                <w:rFonts w:ascii="Arial" w:hAnsi="Arial" w:eastAsia="Arial"/>
                <w:b w:val="0"/>
                <w:color w:val="000000"/>
                <w:sz w:val="24"/>
              </w:rPr>
              <w:t>55 min</w:t>
            </w:r>
          </w:p>
        </w:tc>
      </w:tr>
      <w:tr>
        <w:tc>
          <w:tcPr>
            <w:tcW w:type="dxa" w:w="6662"/>
          </w:tcPr>
          <w:p>
            <w:pPr>
              <w:spacing w:after="0"/>
            </w:pPr>
            <w:r>
              <w:rPr>
                <w:rFonts w:ascii="Arial" w:hAnsi="Arial" w:eastAsia="Arial"/>
                <w:b w:val="0"/>
                <w:color w:val="000000"/>
                <w:sz w:val="24"/>
              </w:rPr>
              <w:t>The extension beyond the assignment: the product list (E-07), the cart, the idempotent confirmation, the order, the store picker and My orders</w:t>
            </w:r>
          </w:p>
        </w:tc>
        <w:tc>
          <w:tcPr>
            <w:tcW w:type="dxa" w:w="2976"/>
          </w:tcPr>
          <w:p>
            <w:pPr>
              <w:spacing w:after="0"/>
            </w:pPr>
            <w:r>
              <w:rPr>
                <w:rFonts w:ascii="Arial" w:hAnsi="Arial" w:eastAsia="Arial"/>
                <w:b w:val="0"/>
                <w:color w:val="000000"/>
                <w:sz w:val="24"/>
              </w:rPr>
              <w:t>3 h 1 min</w:t>
            </w:r>
          </w:p>
        </w:tc>
      </w:tr>
    </w:tbl>
    <w:p>
      <w:pPr>
        <w:spacing w:before="120"/>
      </w:pPr>
      <w:r>
        <w:rPr>
          <w:rFonts w:ascii="Arial" w:hAnsi="Arial" w:eastAsia="Arial"/>
          <w:b w:val="0"/>
          <w:color w:val="000000"/>
          <w:sz w:val="24"/>
        </w:rPr>
        <w:t>The web times are working time per slice, building and fixing it, taken from timestamps recorded at each step; review time is not included. The slices were built between 2026-10-15 22:05 and 2026-10-16 06:15 (UTC-5), several of them in parallel. The assignment allows five days; the last phase closed on 2026-10-17.</w:t>
      </w:r>
    </w:p>
    <w:p>
      <w:pPr>
        <w:pStyle w:val="Heading2"/>
        <w:keepNext/>
        <w:spacing w:before="160" w:after="80"/>
      </w:pPr>
      <w:r>
        <w:rPr>
          <w:rFonts w:ascii="Arial" w:hAnsi="Arial" w:eastAsia="Arial"/>
          <w:b/>
          <w:color w:val="000000"/>
          <w:sz w:val="24"/>
        </w:rPr>
        <w:t>14. How to verify it yourself in 5 commands</w:t>
      </w:r>
    </w:p>
    <w:p>
      <w:r>
        <w:rPr>
          <w:rFonts w:ascii="Arial" w:hAnsi="Arial" w:eastAsia="Arial"/>
          <w:b w:val="0"/>
          <w:color w:val="000000"/>
          <w:sz w:val="24"/>
        </w:rPr>
        <w:t>From an empty folder, with Git, the GitHub CLI, JDK 21, Node 18 or later and Docker running (read access to the repositories is needed while they are private):</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for r in api web infra docs tools app; do gh repo clone ariel5253/orderflow-engine-$r; done</w:t>
      </w:r>
      <w:r>
        <w:rPr>
          <w:rFonts w:ascii="Arial" w:hAnsi="Arial" w:eastAsia="Arial"/>
          <w:b w:val="0"/>
          <w:color w:val="000000"/>
          <w:sz w:val="24"/>
        </w:rPr>
        <w:br/>
        <w:t>(cd orderflow-engine-api &amp;&amp; ./mvnw verify)</w:t>
      </w:r>
      <w:r>
        <w:rPr>
          <w:rFonts w:ascii="Arial" w:hAnsi="Arial" w:eastAsia="Arial"/>
          <w:b w:val="0"/>
          <w:color w:val="000000"/>
          <w:sz w:val="24"/>
        </w:rPr>
        <w:br/>
        <w:t>(cd orderflow-engine-api &amp;&amp; ./mvnw -Pmutation verify)</w:t>
      </w:r>
      <w:r>
        <w:rPr>
          <w:rFonts w:ascii="Arial" w:hAnsi="Arial" w:eastAsia="Arial"/>
          <w:b w:val="0"/>
          <w:color w:val="000000"/>
          <w:sz w:val="24"/>
        </w:rPr>
        <w:br/>
        <w:t>bash orderflow-engine-infra/scripts/test-all.sh</w:t>
      </w:r>
      <w:r>
        <w:rPr>
          <w:rFonts w:ascii="Arial" w:hAnsi="Arial" w:eastAsia="Arial"/>
          <w:b w:val="0"/>
          <w:color w:val="000000"/>
          <w:sz w:val="24"/>
        </w:rPr>
        <w:br/>
        <w:t>(cd orderflow-engine-infra &amp;&amp; docker compose up --build)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7"/>
        <w:gridCol w:w="3873"/>
        <w:gridCol w:w="5307"/>
      </w:tblGrid>
      <w:tr>
        <w:tc>
          <w:tcPr>
            <w:tcW w:type="dxa" w:w="457"/>
          </w:tcPr>
          <w:p>
            <w:pPr>
              <w:spacing w:after="0"/>
            </w:pPr>
            <w:r>
              <w:rPr>
                <w:rFonts w:ascii="Arial" w:hAnsi="Arial" w:eastAsia="Arial"/>
                <w:b/>
                <w:color w:val="000000"/>
                <w:sz w:val="24"/>
              </w:rPr>
              <w:t>#</w:t>
            </w:r>
          </w:p>
        </w:tc>
        <w:tc>
          <w:tcPr>
            <w:tcW w:type="dxa" w:w="3873"/>
          </w:tcPr>
          <w:p>
            <w:pPr>
              <w:spacing w:after="0"/>
            </w:pPr>
            <w:r>
              <w:rPr>
                <w:rFonts w:ascii="Arial" w:hAnsi="Arial" w:eastAsia="Arial"/>
                <w:b/>
                <w:color w:val="000000"/>
                <w:sz w:val="24"/>
              </w:rPr>
              <w:t>Command</w:t>
            </w:r>
          </w:p>
        </w:tc>
        <w:tc>
          <w:tcPr>
            <w:tcW w:type="dxa" w:w="5307"/>
          </w:tcPr>
          <w:p>
            <w:pPr>
              <w:spacing w:after="0"/>
            </w:pPr>
            <w:r>
              <w:rPr>
                <w:rFonts w:ascii="Arial" w:hAnsi="Arial" w:eastAsia="Arial"/>
                <w:b/>
                <w:color w:val="000000"/>
                <w:sz w:val="24"/>
              </w:rPr>
              <w:t>What it proves</w:t>
            </w:r>
          </w:p>
        </w:tc>
      </w:tr>
      <w:tr>
        <w:tc>
          <w:tcPr>
            <w:tcW w:type="dxa" w:w="457"/>
          </w:tcPr>
          <w:p>
            <w:pPr>
              <w:spacing w:after="0"/>
            </w:pPr>
            <w:r>
              <w:rPr>
                <w:rFonts w:ascii="Arial" w:hAnsi="Arial" w:eastAsia="Arial"/>
                <w:b w:val="0"/>
                <w:color w:val="000000"/>
                <w:sz w:val="24"/>
              </w:rPr>
              <w:t>1</w:t>
            </w:r>
          </w:p>
        </w:tc>
        <w:tc>
          <w:tcPr>
            <w:tcW w:type="dxa" w:w="3873"/>
          </w:tcPr>
          <w:p>
            <w:pPr>
              <w:spacing w:after="0"/>
            </w:pPr>
            <w:r>
              <w:rPr>
                <w:rFonts w:ascii="Arial" w:hAnsi="Arial" w:eastAsia="Arial"/>
                <w:b w:val="0"/>
                <w:color w:val="000000"/>
                <w:sz w:val="24"/>
              </w:rPr>
              <w:t>Clone the six repositories side by side</w:t>
            </w:r>
          </w:p>
        </w:tc>
        <w:tc>
          <w:tcPr>
            <w:tcW w:type="dxa" w:w="5307"/>
          </w:tcPr>
          <w:p>
            <w:pPr>
              <w:spacing w:after="0"/>
            </w:pPr>
            <w:r>
              <w:rPr>
                <w:rFonts w:ascii="Arial" w:hAnsi="Arial" w:eastAsia="Arial"/>
                <w:b w:val="0"/>
                <w:color w:val="000000"/>
                <w:sz w:val="24"/>
              </w:rPr>
              <w:t xml:space="preserve">The workspace layout that </w:t>
            </w:r>
            <w:r>
              <w:rPr>
                <w:rFonts w:ascii="Arial" w:hAnsi="Arial" w:eastAsia="Arial"/>
                <w:b w:val="0"/>
                <w:color w:val="000000"/>
                <w:sz w:val="24"/>
              </w:rPr>
              <w:t>test-all</w:t>
            </w:r>
            <w:r>
              <w:rPr>
                <w:rFonts w:ascii="Arial" w:hAnsi="Arial" w:eastAsia="Arial"/>
                <w:b w:val="0"/>
                <w:color w:val="000000"/>
                <w:sz w:val="24"/>
              </w:rPr>
              <w:t xml:space="preserve"> and the full-stack compose expect</w:t>
            </w:r>
          </w:p>
        </w:tc>
      </w:tr>
      <w:tr>
        <w:tc>
          <w:tcPr>
            <w:tcW w:type="dxa" w:w="457"/>
          </w:tcPr>
          <w:p>
            <w:pPr>
              <w:spacing w:after="0"/>
            </w:pPr>
            <w:r>
              <w:rPr>
                <w:rFonts w:ascii="Arial" w:hAnsi="Arial" w:eastAsia="Arial"/>
                <w:b w:val="0"/>
                <w:color w:val="000000"/>
                <w:sz w:val="24"/>
              </w:rPr>
              <w:t>2</w:t>
            </w:r>
          </w:p>
        </w:tc>
        <w:tc>
          <w:tcPr>
            <w:tcW w:type="dxa" w:w="3873"/>
          </w:tcPr>
          <w:p>
            <w:pPr>
              <w:spacing w:after="0"/>
            </w:pPr>
            <w:r>
              <w:rPr>
                <w:rFonts w:ascii="Arial" w:hAnsi="Arial" w:eastAsia="Arial"/>
                <w:b w:val="0"/>
                <w:color w:val="000000"/>
                <w:sz w:val="24"/>
              </w:rPr>
              <w:t>./mvnw verify</w:t>
            </w:r>
            <w:r>
              <w:rPr>
                <w:rFonts w:ascii="Arial" w:hAnsi="Arial" w:eastAsia="Arial"/>
                <w:b w:val="0"/>
                <w:color w:val="000000"/>
                <w:sz w:val="24"/>
              </w:rPr>
              <w:t xml:space="preserve"> in </w:t>
            </w:r>
            <w:r>
              <w:rPr>
                <w:rFonts w:ascii="Arial" w:hAnsi="Arial" w:eastAsia="Arial"/>
                <w:b w:val="0"/>
                <w:color w:val="000000"/>
                <w:sz w:val="24"/>
              </w:rPr>
              <w:t>orderflow-engine-api</w:t>
            </w:r>
          </w:p>
        </w:tc>
        <w:tc>
          <w:tcPr>
            <w:tcW w:type="dxa" w:w="5307"/>
          </w:tcPr>
          <w:p>
            <w:pPr>
              <w:spacing w:after="0"/>
            </w:pPr>
            <w:r>
              <w:rPr>
                <w:rFonts w:ascii="Arial" w:hAnsi="Arial" w:eastAsia="Arial"/>
                <w:b w:val="0"/>
                <w:color w:val="000000"/>
                <w:sz w:val="24"/>
              </w:rPr>
              <w:t>The single command of the assignment: unit, golden, contract, architecture and integration tests against PostgreSQL, and the coverage gate</w:t>
            </w:r>
          </w:p>
        </w:tc>
      </w:tr>
      <w:tr>
        <w:tc>
          <w:tcPr>
            <w:tcW w:type="dxa" w:w="457"/>
          </w:tcPr>
          <w:p>
            <w:pPr>
              <w:spacing w:after="0"/>
            </w:pPr>
            <w:r>
              <w:rPr>
                <w:rFonts w:ascii="Arial" w:hAnsi="Arial" w:eastAsia="Arial"/>
                <w:b w:val="0"/>
                <w:color w:val="000000"/>
                <w:sz w:val="24"/>
              </w:rPr>
              <w:t>3</w:t>
            </w:r>
          </w:p>
        </w:tc>
        <w:tc>
          <w:tcPr>
            <w:tcW w:type="dxa" w:w="3873"/>
          </w:tcPr>
          <w:p>
            <w:pPr>
              <w:spacing w:after="0"/>
            </w:pPr>
            <w:r>
              <w:rPr>
                <w:rFonts w:ascii="Arial" w:hAnsi="Arial" w:eastAsia="Arial"/>
                <w:b w:val="0"/>
                <w:color w:val="000000"/>
                <w:sz w:val="24"/>
              </w:rPr>
              <w:t>./mvnw -Pmutation verify</w:t>
            </w:r>
            <w:r>
              <w:rPr>
                <w:rFonts w:ascii="Arial" w:hAnsi="Arial" w:eastAsia="Arial"/>
                <w:b w:val="0"/>
                <w:color w:val="000000"/>
                <w:sz w:val="24"/>
              </w:rPr>
              <w:t xml:space="preserve"> in </w:t>
            </w:r>
            <w:r>
              <w:rPr>
                <w:rFonts w:ascii="Arial" w:hAnsi="Arial" w:eastAsia="Arial"/>
                <w:b w:val="0"/>
                <w:color w:val="000000"/>
                <w:sz w:val="24"/>
              </w:rPr>
              <w:t>orderflow-engine-api</w:t>
            </w:r>
          </w:p>
        </w:tc>
        <w:tc>
          <w:tcPr>
            <w:tcW w:type="dxa" w:w="5307"/>
          </w:tcPr>
          <w:p>
            <w:pPr>
              <w:spacing w:after="0"/>
            </w:pPr>
            <w:r>
              <w:rPr>
                <w:rFonts w:ascii="Arial" w:hAnsi="Arial" w:eastAsia="Arial"/>
                <w:b w:val="0"/>
                <w:color w:val="000000"/>
                <w:sz w:val="24"/>
              </w:rPr>
              <w:t>PIT on the pricing domain, threshold 80%</w:t>
            </w:r>
          </w:p>
        </w:tc>
      </w:tr>
      <w:tr>
        <w:tc>
          <w:tcPr>
            <w:tcW w:type="dxa" w:w="457"/>
          </w:tcPr>
          <w:p>
            <w:pPr>
              <w:spacing w:after="0"/>
            </w:pPr>
            <w:r>
              <w:rPr>
                <w:rFonts w:ascii="Arial" w:hAnsi="Arial" w:eastAsia="Arial"/>
                <w:b w:val="0"/>
                <w:color w:val="000000"/>
                <w:sz w:val="24"/>
              </w:rPr>
              <w:t>4</w:t>
            </w:r>
          </w:p>
        </w:tc>
        <w:tc>
          <w:tcPr>
            <w:tcW w:type="dxa" w:w="3873"/>
          </w:tcPr>
          <w:p>
            <w:pPr>
              <w:spacing w:after="0"/>
            </w:pPr>
            <w:r>
              <w:rPr>
                <w:rFonts w:ascii="Arial" w:hAnsi="Arial" w:eastAsia="Arial"/>
                <w:b w:val="0"/>
                <w:color w:val="000000"/>
                <w:sz w:val="24"/>
              </w:rPr>
              <w:t>bash orderflow-engine-infra/scripts/test-all.sh</w:t>
            </w:r>
          </w:p>
        </w:tc>
        <w:tc>
          <w:tcPr>
            <w:tcW w:type="dxa" w:w="5307"/>
          </w:tcPr>
          <w:p>
            <w:pPr>
              <w:spacing w:after="0"/>
            </w:pPr>
            <w:r>
              <w:rPr>
                <w:rFonts w:ascii="Arial" w:hAnsi="Arial" w:eastAsia="Arial"/>
                <w:b w:val="0"/>
                <w:color w:val="000000"/>
                <w:sz w:val="24"/>
              </w:rPr>
              <w:t xml:space="preserve">Everything: it ends with </w:t>
            </w:r>
            <w:r>
              <w:rPr>
                <w:rFonts w:ascii="Arial" w:hAnsi="Arial" w:eastAsia="Arial"/>
                <w:b w:val="0"/>
                <w:color w:val="000000"/>
                <w:sz w:val="24"/>
              </w:rPr>
              <w:t>test-all: OK (API verify, web tests, end-to-end, documentation check, integrity check)</w:t>
            </w:r>
          </w:p>
        </w:tc>
      </w:tr>
      <w:tr>
        <w:tc>
          <w:tcPr>
            <w:tcW w:type="dxa" w:w="457"/>
          </w:tcPr>
          <w:p>
            <w:pPr>
              <w:spacing w:after="0"/>
            </w:pPr>
            <w:r>
              <w:rPr>
                <w:rFonts w:ascii="Arial" w:hAnsi="Arial" w:eastAsia="Arial"/>
                <w:b w:val="0"/>
                <w:color w:val="000000"/>
                <w:sz w:val="24"/>
              </w:rPr>
              <w:t>5</w:t>
            </w:r>
          </w:p>
        </w:tc>
        <w:tc>
          <w:tcPr>
            <w:tcW w:type="dxa" w:w="3873"/>
          </w:tcPr>
          <w:p>
            <w:pPr>
              <w:spacing w:after="0"/>
            </w:pPr>
            <w:r>
              <w:rPr>
                <w:rFonts w:ascii="Arial" w:hAnsi="Arial" w:eastAsia="Arial"/>
                <w:b w:val="0"/>
                <w:color w:val="000000"/>
                <w:sz w:val="24"/>
              </w:rPr>
              <w:t>docker compose up --build</w:t>
            </w:r>
            <w:r>
              <w:rPr>
                <w:rFonts w:ascii="Arial" w:hAnsi="Arial" w:eastAsia="Arial"/>
                <w:b w:val="0"/>
                <w:color w:val="000000"/>
                <w:sz w:val="24"/>
              </w:rPr>
              <w:t xml:space="preserve"> in </w:t>
            </w:r>
            <w:r>
              <w:rPr>
                <w:rFonts w:ascii="Arial" w:hAnsi="Arial" w:eastAsia="Arial"/>
                <w:b w:val="0"/>
                <w:color w:val="000000"/>
                <w:sz w:val="24"/>
              </w:rPr>
              <w:t>orderflow-engine-infra</w:t>
            </w:r>
          </w:p>
        </w:tc>
        <w:tc>
          <w:tcPr>
            <w:tcW w:type="dxa" w:w="5307"/>
          </w:tcPr>
          <w:p>
            <w:pPr>
              <w:spacing w:after="0"/>
            </w:pPr>
            <w:r>
              <w:rPr>
                <w:rFonts w:ascii="Arial" w:hAnsi="Arial" w:eastAsia="Arial"/>
                <w:b w:val="0"/>
                <w:color w:val="000000"/>
                <w:sz w:val="24"/>
              </w:rPr>
              <w:t xml:space="preserve">The running stack: the web client on </w:t>
            </w:r>
            <w:r>
              <w:rPr>
                <w:rFonts w:ascii="Arial" w:hAnsi="Arial" w:eastAsia="Arial"/>
                <w:b w:val="0"/>
                <w:color w:val="000000"/>
                <w:sz w:val="24"/>
              </w:rPr>
              <w:t>http://localhost:8081</w:t>
            </w:r>
            <w:r>
              <w:rPr>
                <w:rFonts w:ascii="Arial" w:hAnsi="Arial" w:eastAsia="Arial"/>
                <w:b w:val="0"/>
                <w:color w:val="000000"/>
                <w:sz w:val="24"/>
              </w:rPr>
              <w:t xml:space="preserve"> and the API on </w:t>
            </w:r>
            <w:r>
              <w:rPr>
                <w:rFonts w:ascii="Arial" w:hAnsi="Arial" w:eastAsia="Arial"/>
                <w:b w:val="0"/>
                <w:color w:val="000000"/>
                <w:sz w:val="24"/>
              </w:rPr>
              <w:t>http://localhost:8080</w:t>
            </w:r>
          </w:p>
        </w:tc>
      </w:tr>
    </w:tbl>
    <w:p>
      <w:pPr>
        <w:spacing w:before="120"/>
      </w:pPr>
      <w:r>
        <w:rPr>
          <w:rFonts w:ascii="Arial" w:hAnsi="Arial" w:eastAsia="Arial"/>
          <w:b w:val="0"/>
          <w:color w:val="000000"/>
          <w:sz w:val="24"/>
        </w:rPr>
        <w:t xml:space="preserve">With the stack running, choose the store "Tienda Norte", add 25 units of "Gaseosa cola 350 ml", choose "Credit" and press "Get quote": the summary shows golden test 1, a 2,750 tier discount, 11,353 of tax and a total of 71,103 COP. Press "Confirm order", and the order appears first in "My orders" with the same total. On Windows, </w:t>
      </w:r>
      <w:r>
        <w:rPr>
          <w:rFonts w:ascii="Arial" w:hAnsi="Arial" w:eastAsia="Arial"/>
          <w:b w:val="0"/>
          <w:color w:val="000000"/>
          <w:sz w:val="24"/>
        </w:rPr>
        <w:t>pwsh -File orderflow-engine-infra/scripts/test-all.ps1</w:t>
      </w:r>
      <w:r>
        <w:rPr>
          <w:rFonts w:ascii="Arial" w:hAnsi="Arial" w:eastAsia="Arial"/>
          <w:b w:val="0"/>
          <w:color w:val="000000"/>
          <w:sz w:val="24"/>
        </w:rPr>
        <w:t xml:space="preserve"> replaces step 4.</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color w:val="000000"/>
        <w:sz w:val="24"/>
      </w:rPr>
      <w:t xml:space="preserve">Source: orderflow-engine-docs/delivery/solution-walkthrough.md · p. </w:t>
    </w:r>
    <w:r>
      <w:rPr>
        <w:rFonts w:ascii="Arial" w:hAnsi="Arial" w:eastAsia="Arial"/>
        <w:b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Orderflow Engine — Solution walkthrough</dc:title>
  <dc:subject/>
  <dc:creator>Jesús Ariel González Bonilla</dc:creator>
  <cp:keywords/>
  <dc:description/>
  <cp:lastModifiedBy>Jesús Ariel González Bonilla</cp:lastModifiedBy>
  <cp:revision>1</cp:revision>
  <dcterms:created xsi:type="dcterms:W3CDTF">2013-12-23T23:15:00Z</dcterms:created>
  <dcterms:modified xsi:type="dcterms:W3CDTF">2013-12-23T23:15:00Z</dcterms:modified>
  <cp:category/>
</cp:coreProperties>
</file>