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Arial"/>
          <w:b/>
          <w:color w:val="000000"/>
          <w:sz w:val="24"/>
        </w:rPr>
        <w:t>Orderflow Engine — Recorrido de la solución</w:t>
      </w:r>
    </w:p>
    <w:p>
      <w:pPr>
        <w:keepNext/>
        <w:spacing w:after="40"/>
        <w:jc w:val="center"/>
      </w:pPr>
      <w:r>
        <w:rPr>
          <w:rFonts w:ascii="Arial" w:hAnsi="Arial" w:eastAsia="Arial"/>
          <w:b w:val="0"/>
          <w:color w:val="000000"/>
          <w:sz w:val="24"/>
        </w:rPr>
        <w:t>Jesús Ariel González Bonilla</w:t>
      </w:r>
    </w:p>
    <w:p>
      <w:pPr>
        <w:keepNext/>
        <w:spacing w:after="240"/>
        <w:jc w:val="center"/>
      </w:pPr>
      <w:r>
        <w:rPr>
          <w:rFonts w:ascii="Arial" w:hAnsi="Arial" w:eastAsia="Arial"/>
          <w:b w:val="0"/>
          <w:color w:val="000000"/>
          <w:sz w:val="24"/>
        </w:rPr>
        <w:t>2026-10-17</w:t>
      </w:r>
    </w:p>
    <w:p>
      <w:r>
        <w:rPr>
          <w:rFonts w:ascii="Arial" w:hAnsi="Arial" w:eastAsia="Arial"/>
          <w:b/>
          <w:color w:val="000000"/>
          <w:sz w:val="24"/>
        </w:rPr>
        <w:t>Pregunta que responde este documento:</w:t>
      </w:r>
      <w:r>
        <w:rPr>
          <w:rFonts w:ascii="Arial" w:hAnsi="Arial" w:eastAsia="Arial"/>
          <w:b w:val="0"/>
          <w:color w:val="000000"/>
          <w:sz w:val="24"/>
        </w:rPr>
        <w:t xml:space="preserve"> ¿cómo se resolvió la prueba, paso a paso, y qué decisiones de ingeniería se tomaron en el camino?</w:t>
      </w:r>
    </w:p>
    <w:p>
      <w:r>
        <w:rPr>
          <w:rFonts w:ascii="Arial" w:hAnsi="Arial" w:eastAsia="Arial"/>
          <w:b w:val="0"/>
          <w:color w:val="000000"/>
          <w:sz w:val="24"/>
        </w:rPr>
        <w:t xml:space="preserve">Este recorrido está escrito para quien evalúa la prueba. Sigue el trabajo en el orden en que ocurrió: leer el enunciado, escribir la especificación, planificar, construir el motor de precios y la confirmación del pedido, demostrarlos y entregar. Cada cifra sale de un archivo de los repositorios o del comando que se indica a su lado. El estado verificado vive en un solo lugar, </w:t>
      </w:r>
      <w:r>
        <w:rPr>
          <w:rFonts w:ascii="Arial" w:hAnsi="Arial" w:eastAsia="Arial"/>
          <w:b w:val="0"/>
          <w:color w:val="000000"/>
          <w:sz w:val="24"/>
        </w:rPr>
        <w:t>orderflow-engine-docs/handoff/HANDOFF.md</w:t>
      </w:r>
      <w:r>
        <w:rPr>
          <w:rFonts w:ascii="Arial" w:hAnsi="Arial" w:eastAsia="Arial"/>
          <w:b w:val="0"/>
          <w:color w:val="000000"/>
          <w:sz w:val="24"/>
        </w:rPr>
        <w:t xml:space="preserve"> §3, y este documento lo cita.</w:t>
      </w:r>
    </w:p>
    <w:p>
      <w:pPr>
        <w:pStyle w:val="Heading2"/>
        <w:keepNext/>
        <w:spacing w:before="160" w:after="80"/>
      </w:pPr>
      <w:r>
        <w:rPr>
          <w:rFonts w:ascii="Arial" w:hAnsi="Arial" w:eastAsia="Arial"/>
          <w:b/>
          <w:color w:val="000000"/>
          <w:sz w:val="24"/>
        </w:rPr>
        <w:t>1. El enunciado en una página</w:t>
      </w:r>
    </w:p>
    <w:p>
      <w:r>
        <w:rPr>
          <w:rFonts w:ascii="Arial" w:hAnsi="Arial" w:eastAsia="Arial"/>
          <w:b w:val="0"/>
          <w:color w:val="000000"/>
          <w:sz w:val="24"/>
        </w:rPr>
        <w:t>El enunciado (</w:t>
      </w:r>
      <w:r>
        <w:rPr>
          <w:rFonts w:ascii="Arial" w:hAnsi="Arial" w:eastAsia="Arial"/>
          <w:b w:val="0"/>
          <w:color w:val="000000"/>
          <w:sz w:val="24"/>
        </w:rPr>
        <w:t>orderflow-engine-docs/assignment/</w:t>
      </w:r>
      <w:r>
        <w:rPr>
          <w:rFonts w:ascii="Arial" w:hAnsi="Arial" w:eastAsia="Arial"/>
          <w:b w:val="0"/>
          <w:color w:val="000000"/>
          <w:sz w:val="24"/>
        </w:rPr>
        <w:t>) describe un marketplace B2B donde los tenderos les compran a distribuidores de bebidas. Una sola plataforma multi-tenant atiende varios países (Colombia, Ecuador, Guatemala, Perú) y varias marcas. Un pedido pasa por catálogo, carrito, checkout (la cotización), confirmación e historial. Cinco palancas comerciales actúan sobre el precio y pueden coexistir en un mismo pedido: descuento por escala, combo, obsequio, impuestos y cupo de crédito. El plazo es de cinco días, y el lenguaje es Go, Java (Spring Boot o WebFlux) o NestJS.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31"/>
        <w:gridCol w:w="5405"/>
        <w:gridCol w:w="2003"/>
      </w:tblGrid>
      <w:tr>
        <w:tc>
          <w:tcPr>
            <w:tcW w:type="dxa" w:w="2231"/>
          </w:tcPr>
          <w:p>
            <w:pPr>
              <w:spacing w:after="0"/>
            </w:pPr>
            <w:r>
              <w:rPr>
                <w:rFonts w:ascii="Arial" w:hAnsi="Arial" w:eastAsia="Arial"/>
                <w:b/>
                <w:color w:val="000000"/>
                <w:sz w:val="24"/>
              </w:rPr>
              <w:t>Parte</w:t>
            </w:r>
          </w:p>
        </w:tc>
        <w:tc>
          <w:tcPr>
            <w:tcW w:type="dxa" w:w="5405"/>
          </w:tcPr>
          <w:p>
            <w:pPr>
              <w:spacing w:after="0"/>
            </w:pPr>
            <w:r>
              <w:rPr>
                <w:rFonts w:ascii="Arial" w:hAnsi="Arial" w:eastAsia="Arial"/>
                <w:b/>
                <w:color w:val="000000"/>
                <w:sz w:val="24"/>
              </w:rPr>
              <w:t>Qué pide</w:t>
            </w:r>
          </w:p>
        </w:tc>
        <w:tc>
          <w:tcPr>
            <w:tcW w:type="dxa" w:w="2003"/>
          </w:tcPr>
          <w:p>
            <w:pPr>
              <w:spacing w:after="0"/>
            </w:pPr>
            <w:r>
              <w:rPr>
                <w:rFonts w:ascii="Arial" w:hAnsi="Arial" w:eastAsia="Arial"/>
                <w:b/>
                <w:color w:val="000000"/>
                <w:sz w:val="24"/>
              </w:rPr>
              <w:t>Dónde lo responde este documento</w:t>
            </w:r>
          </w:p>
        </w:tc>
      </w:tr>
      <w:tr>
        <w:tc>
          <w:tcPr>
            <w:tcW w:type="dxa" w:w="2231"/>
          </w:tcPr>
          <w:p>
            <w:pPr>
              <w:spacing w:after="0"/>
            </w:pPr>
            <w:r>
              <w:rPr>
                <w:rFonts w:ascii="Arial" w:hAnsi="Arial" w:eastAsia="Arial"/>
                <w:b w:val="0"/>
                <w:color w:val="000000"/>
                <w:sz w:val="24"/>
              </w:rPr>
              <w:t>A1. Motor de cálculo</w:t>
            </w:r>
          </w:p>
        </w:tc>
        <w:tc>
          <w:tcPr>
            <w:tcW w:type="dxa" w:w="5405"/>
          </w:tcPr>
          <w:p>
            <w:pPr>
              <w:spacing w:after="0"/>
            </w:pPr>
            <w:r>
              <w:rPr>
                <w:rFonts w:ascii="Arial" w:hAnsi="Arial" w:eastAsia="Arial"/>
                <w:b w:val="0"/>
                <w:color w:val="000000"/>
                <w:sz w:val="24"/>
              </w:rPr>
              <w:t>Un endpoint o caso de uso que reciba el carrito y devuelva el desglose por línea y los totales: subtotal bruto, descuentos con su origen, obsequios con su cantidad, base gravable, impuestos y total. Las palancas coexisten, y su orden debe definirse y justificarse. Un pedido a crédito debe indicar si cabe en el cupo disponible</w:t>
            </w:r>
          </w:p>
        </w:tc>
        <w:tc>
          <w:tcPr>
            <w:tcW w:type="dxa" w:w="2003"/>
          </w:tcPr>
          <w:p>
            <w:pPr>
              <w:spacing w:after="0"/>
            </w:pPr>
            <w:r>
              <w:rPr>
                <w:rFonts w:ascii="Arial" w:hAnsi="Arial" w:eastAsia="Arial"/>
                <w:b w:val="0"/>
                <w:color w:val="000000"/>
                <w:sz w:val="24"/>
              </w:rPr>
              <w:t>§5</w:t>
            </w:r>
          </w:p>
        </w:tc>
      </w:tr>
      <w:tr>
        <w:tc>
          <w:tcPr>
            <w:tcW w:type="dxa" w:w="2231"/>
          </w:tcPr>
          <w:p>
            <w:pPr>
              <w:spacing w:after="0"/>
            </w:pPr>
            <w:r>
              <w:rPr>
                <w:rFonts w:ascii="Arial" w:hAnsi="Arial" w:eastAsia="Arial"/>
                <w:b w:val="0"/>
                <w:color w:val="000000"/>
                <w:sz w:val="24"/>
              </w:rPr>
              <w:t>A1. Núcleo no funcional</w:t>
            </w:r>
          </w:p>
        </w:tc>
        <w:tc>
          <w:tcPr>
            <w:tcW w:type="dxa" w:w="5405"/>
          </w:tcPr>
          <w:p>
            <w:pPr>
              <w:spacing w:after="0"/>
            </w:pPr>
            <w:r>
              <w:rPr>
                <w:rFonts w:ascii="Arial" w:hAnsi="Arial" w:eastAsia="Arial"/>
                <w:b w:val="0"/>
                <w:color w:val="000000"/>
                <w:sz w:val="24"/>
              </w:rPr>
              <w:t>El total cotizado y el confirmado deben ser idénticos, aunque cambien precios o palancas entre un momento y otro. Nada de punto flotante para dinero, con tipo, escala decimal, regla de redondeo y puntos de redondeo explícitos. Moneda, escala y tasas no pueden quedar quemadas en el código</w:t>
            </w:r>
          </w:p>
        </w:tc>
        <w:tc>
          <w:tcPr>
            <w:tcW w:type="dxa" w:w="2003"/>
          </w:tcPr>
          <w:p>
            <w:pPr>
              <w:spacing w:after="0"/>
            </w:pPr>
            <w:r>
              <w:rPr>
                <w:rFonts w:ascii="Arial" w:hAnsi="Arial" w:eastAsia="Arial"/>
                <w:b w:val="0"/>
                <w:color w:val="000000"/>
                <w:sz w:val="24"/>
              </w:rPr>
              <w:t>§5, §6.1</w:t>
            </w:r>
          </w:p>
        </w:tc>
      </w:tr>
      <w:tr>
        <w:tc>
          <w:tcPr>
            <w:tcW w:type="dxa" w:w="2231"/>
          </w:tcPr>
          <w:p>
            <w:pPr>
              <w:spacing w:after="0"/>
            </w:pPr>
            <w:r>
              <w:rPr>
                <w:rFonts w:ascii="Arial" w:hAnsi="Arial" w:eastAsia="Arial"/>
                <w:b w:val="0"/>
                <w:color w:val="000000"/>
                <w:sz w:val="24"/>
              </w:rPr>
              <w:t>A1. Golden tests</w:t>
            </w:r>
          </w:p>
        </w:tc>
        <w:tc>
          <w:tcPr>
            <w:tcW w:type="dxa" w:w="5405"/>
          </w:tcPr>
          <w:p>
            <w:pPr>
              <w:spacing w:after="0"/>
            </w:pPr>
            <w:r>
              <w:rPr>
                <w:rFonts w:ascii="Arial" w:hAnsi="Arial" w:eastAsia="Arial"/>
                <w:b w:val="0"/>
                <w:color w:val="000000"/>
                <w:sz w:val="24"/>
              </w:rPr>
              <w:t>Seis casos obligatorios: descuento en dos tramos; combo cuyos productos no aparecen como descuento suelto; obsequio con su cantidad; combo con impuestos; pedido a crédito que excede el cupo; cotizar y confirmar dan el mismo total</w:t>
            </w:r>
          </w:p>
        </w:tc>
        <w:tc>
          <w:tcPr>
            <w:tcW w:type="dxa" w:w="2003"/>
          </w:tcPr>
          <w:p>
            <w:pPr>
              <w:spacing w:after="0"/>
            </w:pPr>
            <w:r>
              <w:rPr>
                <w:rFonts w:ascii="Arial" w:hAnsi="Arial" w:eastAsia="Arial"/>
                <w:b w:val="0"/>
                <w:color w:val="000000"/>
                <w:sz w:val="24"/>
              </w:rPr>
              <w:t>§5.5</w:t>
            </w:r>
          </w:p>
        </w:tc>
      </w:tr>
      <w:tr>
        <w:tc>
          <w:tcPr>
            <w:tcW w:type="dxa" w:w="2231"/>
          </w:tcPr>
          <w:p>
            <w:pPr>
              <w:spacing w:after="0"/>
            </w:pPr>
            <w:r>
              <w:rPr>
                <w:rFonts w:ascii="Arial" w:hAnsi="Arial" w:eastAsia="Arial"/>
                <w:b w:val="0"/>
                <w:color w:val="000000"/>
                <w:sz w:val="24"/>
              </w:rPr>
              <w:t>A2. Confirmación del pedido</w:t>
            </w:r>
          </w:p>
        </w:tc>
        <w:tc>
          <w:tcPr>
            <w:tcW w:type="dxa" w:w="5405"/>
          </w:tcPr>
          <w:p>
            <w:pPr>
              <w:spacing w:after="0"/>
            </w:pPr>
            <w:r>
              <w:rPr>
                <w:rFonts w:ascii="Arial" w:hAnsi="Arial" w:eastAsia="Arial"/>
                <w:b w:val="0"/>
                <w:color w:val="000000"/>
                <w:sz w:val="24"/>
              </w:rPr>
              <w:t xml:space="preserve">En tres releases distintas se confirmó un pedido, se devolvió un número de orden y después el pedido no aparecía en el historial. </w:t>
            </w:r>
            <w:r>
              <w:rPr>
                <w:rFonts w:ascii="Arial" w:hAnsi="Arial" w:eastAsia="Arial"/>
                <w:b w:val="0"/>
                <w:color w:val="000000"/>
                <w:sz w:val="24"/>
              </w:rPr>
              <w:t>POST /orders</w:t>
            </w:r>
            <w:r>
              <w:rPr>
                <w:rFonts w:ascii="Arial" w:hAnsi="Arial" w:eastAsia="Arial"/>
                <w:b w:val="0"/>
                <w:color w:val="000000"/>
                <w:sz w:val="24"/>
              </w:rPr>
              <w:t xml:space="preserve"> recibe una clave de idempotencia, para que los reintentos nunca dupliquen un pedido ni consuman el cupo dos veces. Un 201 significa que el pedido existe y se puede consultar. Los efectos hacia push y ERP nunca se pierden ni se duplican, también con el sistema externo caído. El modelo de consistencia y lo que sacrifica quedan documentados</w:t>
            </w:r>
          </w:p>
        </w:tc>
        <w:tc>
          <w:tcPr>
            <w:tcW w:type="dxa" w:w="2003"/>
          </w:tcPr>
          <w:p>
            <w:pPr>
              <w:spacing w:after="0"/>
            </w:pPr>
            <w:r>
              <w:rPr>
                <w:rFonts w:ascii="Arial" w:hAnsi="Arial" w:eastAsia="Arial"/>
                <w:b w:val="0"/>
                <w:color w:val="000000"/>
                <w:sz w:val="24"/>
              </w:rPr>
              <w:t>§6</w:t>
            </w:r>
          </w:p>
        </w:tc>
      </w:tr>
      <w:tr>
        <w:tc>
          <w:tcPr>
            <w:tcW w:type="dxa" w:w="2231"/>
          </w:tcPr>
          <w:p>
            <w:pPr>
              <w:spacing w:after="0"/>
            </w:pPr>
            <w:r>
              <w:rPr>
                <w:rFonts w:ascii="Arial" w:hAnsi="Arial" w:eastAsia="Arial"/>
                <w:b w:val="0"/>
                <w:color w:val="000000"/>
                <w:sz w:val="24"/>
              </w:rPr>
              <w:t>A3. ADR</w:t>
            </w:r>
          </w:p>
        </w:tc>
        <w:tc>
          <w:tcPr>
            <w:tcW w:type="dxa" w:w="5405"/>
          </w:tcPr>
          <w:p>
            <w:pPr>
              <w:spacing w:after="0"/>
            </w:pPr>
            <w:r>
              <w:rPr>
                <w:rFonts w:ascii="Arial" w:hAnsi="Arial" w:eastAsia="Arial"/>
                <w:b w:val="0"/>
                <w:color w:val="000000"/>
                <w:sz w:val="24"/>
              </w:rPr>
              <w:t>Máximo una página: decisiones y alternativas descartadas, qué no se implementó a propósito, qué revisar en un code review y un riesgo con su mitigación</w:t>
            </w:r>
          </w:p>
        </w:tc>
        <w:tc>
          <w:tcPr>
            <w:tcW w:type="dxa" w:w="2003"/>
          </w:tcPr>
          <w:p>
            <w:pPr>
              <w:spacing w:after="0"/>
            </w:pPr>
            <w:r>
              <w:rPr>
                <w:rFonts w:ascii="Arial" w:hAnsi="Arial" w:eastAsia="Arial"/>
                <w:b w:val="0"/>
                <w:color w:val="000000"/>
                <w:sz w:val="24"/>
              </w:rPr>
              <w:t>§7</w:t>
            </w:r>
          </w:p>
        </w:tc>
      </w:tr>
      <w:tr>
        <w:tc>
          <w:tcPr>
            <w:tcW w:type="dxa" w:w="2231"/>
          </w:tcPr>
          <w:p>
            <w:pPr>
              <w:spacing w:after="0"/>
            </w:pPr>
            <w:r>
              <w:rPr>
                <w:rFonts w:ascii="Arial" w:hAnsi="Arial" w:eastAsia="Arial"/>
                <w:b w:val="0"/>
                <w:color w:val="000000"/>
                <w:sz w:val="24"/>
              </w:rPr>
              <w:t>Entrega</w:t>
            </w:r>
          </w:p>
        </w:tc>
        <w:tc>
          <w:tcPr>
            <w:tcW w:type="dxa" w:w="5405"/>
          </w:tcPr>
          <w:p>
            <w:pPr>
              <w:spacing w:after="0"/>
            </w:pPr>
            <w:r>
              <w:rPr>
                <w:rFonts w:ascii="Arial" w:hAnsi="Arial" w:eastAsia="Arial"/>
                <w:b w:val="0"/>
                <w:color w:val="000000"/>
                <w:sz w:val="24"/>
              </w:rPr>
              <w:t>Un repositorio Git con el código y las pruebas, un comando único para correrlas, un README con cómo correrlo, el orden de las palancas, la política de redondeo y el modelo de consistencia, el ADR y un historial de commits legible</w:t>
            </w:r>
          </w:p>
        </w:tc>
        <w:tc>
          <w:tcPr>
            <w:tcW w:type="dxa" w:w="2003"/>
          </w:tcPr>
          <w:p>
            <w:pPr>
              <w:spacing w:after="0"/>
            </w:pPr>
            <w:r>
              <w:rPr>
                <w:rFonts w:ascii="Arial" w:hAnsi="Arial" w:eastAsia="Arial"/>
                <w:b w:val="0"/>
                <w:color w:val="000000"/>
                <w:sz w:val="24"/>
              </w:rPr>
              <w:t>§11, §14</w:t>
            </w:r>
          </w:p>
        </w:tc>
      </w:tr>
      <w:tr>
        <w:tc>
          <w:tcPr>
            <w:tcW w:type="dxa" w:w="2231"/>
          </w:tcPr>
          <w:p>
            <w:pPr>
              <w:spacing w:after="0"/>
            </w:pPr>
            <w:r>
              <w:rPr>
                <w:rFonts w:ascii="Arial" w:hAnsi="Arial" w:eastAsia="Arial"/>
                <w:b w:val="0"/>
                <w:color w:val="000000"/>
                <w:sz w:val="24"/>
              </w:rPr>
              <w:t>Front opcional</w:t>
            </w:r>
          </w:p>
        </w:tc>
        <w:tc>
          <w:tcPr>
            <w:tcW w:type="dxa" w:w="5405"/>
          </w:tcPr>
          <w:p>
            <w:pPr>
              <w:spacing w:after="0"/>
            </w:pPr>
            <w:r>
              <w:rPr>
                <w:rFonts w:ascii="Arial" w:hAnsi="Arial" w:eastAsia="Arial"/>
                <w:b w:val="0"/>
                <w:color w:val="000000"/>
                <w:sz w:val="24"/>
              </w:rPr>
              <w:t>Una pantalla de resumen del pedido en Angular o Flutter, con una hora de trabajo como máximo. Tres defectos no deben ocurrir: textos cortados, controles tapados por la barra del sistema o por el teclado, e imágenes de un mismo grid escaladas con criterios distintos. Suma explicar cómo prevenirlos a nivel de componente</w:t>
            </w:r>
          </w:p>
        </w:tc>
        <w:tc>
          <w:tcPr>
            <w:tcW w:type="dxa" w:w="2003"/>
          </w:tcPr>
          <w:p>
            <w:pPr>
              <w:spacing w:after="0"/>
            </w:pPr>
            <w:r>
              <w:rPr>
                <w:rFonts w:ascii="Arial" w:hAnsi="Arial" w:eastAsia="Arial"/>
                <w:b w:val="0"/>
                <w:color w:val="000000"/>
                <w:sz w:val="24"/>
              </w:rPr>
              <w:t>§8</w:t>
            </w:r>
          </w:p>
        </w:tc>
      </w:tr>
    </w:tbl>
    <w:p>
      <w:pPr>
        <w:spacing w:before="120"/>
      </w:pPr>
      <w:r>
        <w:rPr>
          <w:rFonts w:ascii="Arial" w:hAnsi="Arial" w:eastAsia="Arial"/>
          <w:b w:val="0"/>
          <w:color w:val="000000"/>
          <w:sz w:val="24"/>
        </w:rPr>
        <w:t>El mismo enunciado llama a los requisitos no funcionales de A1 el corazón del ejercicio. El diseño empezó por ahí: una cotización sellada para que lo cotizado sea lo confirmado, un tipo decimal para el dinero con redondeo por línea, y datos por país en lugar de constantes.</w:t>
      </w:r>
    </w:p>
    <w:p>
      <w:pPr>
        <w:pStyle w:val="Heading2"/>
        <w:keepNext/>
        <w:spacing w:before="160" w:after="80"/>
      </w:pPr>
      <w:r>
        <w:rPr>
          <w:rFonts w:ascii="Arial" w:hAnsi="Arial" w:eastAsia="Arial"/>
          <w:b/>
          <w:color w:val="000000"/>
          <w:sz w:val="24"/>
        </w:rPr>
        <w:t>2. Lectura del problema: ambigüedades y supuestos</w:t>
      </w:r>
    </w:p>
    <w:p>
      <w:r>
        <w:rPr>
          <w:rFonts w:ascii="Arial" w:hAnsi="Arial" w:eastAsia="Arial"/>
          <w:b w:val="0"/>
          <w:color w:val="000000"/>
          <w:sz w:val="24"/>
        </w:rPr>
        <w:t xml:space="preserve">Antes de escribir código, se leyó el enunciado frase por frase. Cada frase que admitía dos lecturas se convirtió en un supuesto con un ID estable en </w:t>
      </w:r>
      <w:r>
        <w:rPr>
          <w:rFonts w:ascii="Arial" w:hAnsi="Arial" w:eastAsia="Arial"/>
          <w:b w:val="0"/>
          <w:color w:val="000000"/>
          <w:sz w:val="24"/>
        </w:rPr>
        <w:t>orderflow-engine-docs/spec/SPEC.md</w:t>
      </w:r>
      <w:r>
        <w:rPr>
          <w:rFonts w:ascii="Arial" w:hAnsi="Arial" w:eastAsia="Arial"/>
          <w:b w:val="0"/>
          <w:color w:val="000000"/>
          <w:sz w:val="24"/>
        </w:rPr>
        <w:t xml:space="preserve"> §13, y cada supuesto se hace cumplir con una regla de negocio (BR-xx) y una prueba.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9"/>
        <w:gridCol w:w="2401"/>
        <w:gridCol w:w="2609"/>
        <w:gridCol w:w="3729"/>
      </w:tblGrid>
      <w:tr>
        <w:tc>
          <w:tcPr>
            <w:tcW w:type="dxa" w:w="899"/>
          </w:tcPr>
          <w:p>
            <w:pPr>
              <w:spacing w:after="0"/>
            </w:pPr>
            <w:r>
              <w:rPr>
                <w:rFonts w:ascii="Arial" w:hAnsi="Arial" w:eastAsia="Arial"/>
                <w:b/>
                <w:color w:val="000000"/>
                <w:sz w:val="24"/>
              </w:rPr>
              <w:t>ID</w:t>
            </w:r>
          </w:p>
        </w:tc>
        <w:tc>
          <w:tcPr>
            <w:tcW w:type="dxa" w:w="2401"/>
          </w:tcPr>
          <w:p>
            <w:pPr>
              <w:spacing w:after="0"/>
            </w:pPr>
            <w:r>
              <w:rPr>
                <w:rFonts w:ascii="Arial" w:hAnsi="Arial" w:eastAsia="Arial"/>
                <w:b/>
                <w:color w:val="000000"/>
                <w:sz w:val="24"/>
              </w:rPr>
              <w:t>Ambigüedad del enunciado</w:t>
            </w:r>
          </w:p>
        </w:tc>
        <w:tc>
          <w:tcPr>
            <w:tcW w:type="dxa" w:w="2609"/>
          </w:tcPr>
          <w:p>
            <w:pPr>
              <w:spacing w:after="0"/>
            </w:pPr>
            <w:r>
              <w:rPr>
                <w:rFonts w:ascii="Arial" w:hAnsi="Arial" w:eastAsia="Arial"/>
                <w:b/>
                <w:color w:val="000000"/>
                <w:sz w:val="24"/>
              </w:rPr>
              <w:t>Supuesto adoptado</w:t>
            </w:r>
          </w:p>
        </w:tc>
        <w:tc>
          <w:tcPr>
            <w:tcW w:type="dxa" w:w="3729"/>
          </w:tcPr>
          <w:p>
            <w:pPr>
              <w:spacing w:after="0"/>
            </w:pPr>
            <w:r>
              <w:rPr>
                <w:rFonts w:ascii="Arial" w:hAnsi="Arial" w:eastAsia="Arial"/>
                <w:b/>
                <w:color w:val="000000"/>
                <w:sz w:val="24"/>
              </w:rPr>
              <w:t>Por qué</w:t>
            </w:r>
          </w:p>
        </w:tc>
      </w:tr>
      <w:tr>
        <w:tc>
          <w:tcPr>
            <w:tcW w:type="dxa" w:w="899"/>
          </w:tcPr>
          <w:p>
            <w:pPr>
              <w:spacing w:after="0"/>
            </w:pPr>
            <w:r>
              <w:rPr>
                <w:rFonts w:ascii="Arial" w:hAnsi="Arial" w:eastAsia="Arial"/>
                <w:b w:val="0"/>
                <w:color w:val="000000"/>
                <w:sz w:val="24"/>
              </w:rPr>
              <w:t>A-01</w:t>
            </w:r>
          </w:p>
        </w:tc>
        <w:tc>
          <w:tcPr>
            <w:tcW w:type="dxa" w:w="2401"/>
          </w:tcPr>
          <w:p>
            <w:pPr>
              <w:spacing w:after="0"/>
            </w:pPr>
            <w:r>
              <w:rPr>
                <w:rFonts w:ascii="Arial" w:hAnsi="Arial" w:eastAsia="Arial"/>
                <w:b w:val="0"/>
                <w:color w:val="000000"/>
                <w:sz w:val="24"/>
              </w:rPr>
              <w:t>Las escalas son "acumulativas por tramos"</w:t>
            </w:r>
          </w:p>
        </w:tc>
        <w:tc>
          <w:tcPr>
            <w:tcW w:type="dxa" w:w="2609"/>
          </w:tcPr>
          <w:p>
            <w:pPr>
              <w:spacing w:after="0"/>
            </w:pPr>
            <w:r>
              <w:rPr>
                <w:rFonts w:ascii="Arial" w:hAnsi="Arial" w:eastAsia="Arial"/>
                <w:b w:val="0"/>
                <w:color w:val="000000"/>
                <w:sz w:val="24"/>
              </w:rPr>
              <w:t>Tramos marginales: cada porcentaje se aplica solo a las unidades dentro de su tramo, y los porcentajes nunca se suman</w:t>
            </w:r>
          </w:p>
        </w:tc>
        <w:tc>
          <w:tcPr>
            <w:tcW w:type="dxa" w:w="3729"/>
          </w:tcPr>
          <w:p>
            <w:pPr>
              <w:spacing w:after="0"/>
            </w:pPr>
            <w:r>
              <w:rPr>
                <w:rFonts w:ascii="Arial" w:hAnsi="Arial" w:eastAsia="Arial"/>
                <w:b w:val="0"/>
                <w:color w:val="000000"/>
                <w:sz w:val="24"/>
              </w:rPr>
              <w:t>Los tramos se acumulan segmento por segmento, como los tramos de un impuesto. El golden test 1 fija esta lectura con cifras exactas</w:t>
            </w:r>
          </w:p>
        </w:tc>
      </w:tr>
      <w:tr>
        <w:tc>
          <w:tcPr>
            <w:tcW w:type="dxa" w:w="899"/>
          </w:tcPr>
          <w:p>
            <w:pPr>
              <w:spacing w:after="0"/>
            </w:pPr>
            <w:r>
              <w:rPr>
                <w:rFonts w:ascii="Arial" w:hAnsi="Arial" w:eastAsia="Arial"/>
                <w:b w:val="0"/>
                <w:color w:val="000000"/>
                <w:sz w:val="24"/>
              </w:rPr>
              <w:t>A-02</w:t>
            </w:r>
          </w:p>
        </w:tc>
        <w:tc>
          <w:tcPr>
            <w:tcW w:type="dxa" w:w="2401"/>
          </w:tcPr>
          <w:p>
            <w:pPr>
              <w:spacing w:after="0"/>
            </w:pPr>
            <w:r>
              <w:rPr>
                <w:rFonts w:ascii="Arial" w:hAnsi="Arial" w:eastAsia="Arial"/>
                <w:b w:val="0"/>
                <w:color w:val="000000"/>
                <w:sz w:val="24"/>
              </w:rPr>
              <w:t>Un SKU puede tener a la vez una regla por SKU y una por familia</w:t>
            </w:r>
          </w:p>
        </w:tc>
        <w:tc>
          <w:tcPr>
            <w:tcW w:type="dxa" w:w="2609"/>
          </w:tcPr>
          <w:p>
            <w:pPr>
              <w:spacing w:after="0"/>
            </w:pPr>
            <w:r>
              <w:rPr>
                <w:rFonts w:ascii="Arial" w:hAnsi="Arial" w:eastAsia="Arial"/>
                <w:b w:val="0"/>
                <w:color w:val="000000"/>
                <w:sz w:val="24"/>
              </w:rPr>
              <w:t>La regla por SKU saca ese SKU de las reglas por familia</w:t>
            </w:r>
          </w:p>
        </w:tc>
        <w:tc>
          <w:tcPr>
            <w:tcW w:type="dxa" w:w="3729"/>
          </w:tcPr>
          <w:p>
            <w:pPr>
              <w:spacing w:after="0"/>
            </w:pPr>
            <w:r>
              <w:rPr>
                <w:rFonts w:ascii="Arial" w:hAnsi="Arial" w:eastAsia="Arial"/>
                <w:b w:val="0"/>
                <w:color w:val="000000"/>
                <w:sz w:val="24"/>
              </w:rPr>
              <w:t>Gana la regla específica, y ninguna unidad recibe dos descuentos por escala (</w:t>
            </w:r>
            <w:r>
              <w:rPr>
                <w:rFonts w:ascii="Arial" w:hAnsi="Arial" w:eastAsia="Arial"/>
                <w:b w:val="0"/>
                <w:color w:val="000000"/>
                <w:sz w:val="24"/>
              </w:rPr>
              <w:t>TierPrecedenceTest</w:t>
            </w:r>
            <w:r>
              <w:rPr>
                <w:rFonts w:ascii="Arial" w:hAnsi="Arial" w:eastAsia="Arial"/>
                <w:b w:val="0"/>
                <w:color w:val="000000"/>
                <w:sz w:val="24"/>
              </w:rPr>
              <w:t>)</w:t>
            </w:r>
          </w:p>
        </w:tc>
      </w:tr>
      <w:tr>
        <w:tc>
          <w:tcPr>
            <w:tcW w:type="dxa" w:w="899"/>
          </w:tcPr>
          <w:p>
            <w:pPr>
              <w:spacing w:after="0"/>
            </w:pPr>
            <w:r>
              <w:rPr>
                <w:rFonts w:ascii="Arial" w:hAnsi="Arial" w:eastAsia="Arial"/>
                <w:b w:val="0"/>
                <w:color w:val="000000"/>
                <w:sz w:val="24"/>
              </w:rPr>
              <w:t>A-03</w:t>
            </w:r>
          </w:p>
        </w:tc>
        <w:tc>
          <w:tcPr>
            <w:tcW w:type="dxa" w:w="2401"/>
          </w:tcPr>
          <w:p>
            <w:pPr>
              <w:spacing w:after="0"/>
            </w:pPr>
            <w:r>
              <w:rPr>
                <w:rFonts w:ascii="Arial" w:hAnsi="Arial" w:eastAsia="Arial"/>
                <w:b w:val="0"/>
                <w:color w:val="000000"/>
                <w:sz w:val="24"/>
              </w:rPr>
              <w:t>El orden en que las unidades de una familia llenan los tramos</w:t>
            </w:r>
          </w:p>
        </w:tc>
        <w:tc>
          <w:tcPr>
            <w:tcW w:type="dxa" w:w="2609"/>
          </w:tcPr>
          <w:p>
            <w:pPr>
              <w:spacing w:after="0"/>
            </w:pPr>
            <w:r>
              <w:rPr>
                <w:rFonts w:ascii="Arial" w:hAnsi="Arial" w:eastAsia="Arial"/>
                <w:b w:val="0"/>
                <w:color w:val="000000"/>
                <w:sz w:val="24"/>
              </w:rPr>
              <w:t>El orden normalizado por SKU</w:t>
            </w:r>
          </w:p>
        </w:tc>
        <w:tc>
          <w:tcPr>
            <w:tcW w:type="dxa" w:w="3729"/>
          </w:tcPr>
          <w:p>
            <w:pPr>
              <w:spacing w:after="0"/>
            </w:pPr>
            <w:r>
              <w:rPr>
                <w:rFonts w:ascii="Arial" w:hAnsi="Arial" w:eastAsia="Arial"/>
                <w:b w:val="0"/>
                <w:color w:val="000000"/>
                <w:sz w:val="24"/>
              </w:rPr>
              <w:t>El mismo carrito siempre da el mismo precio, sin importar el orden de sus líneas (BR-00)</w:t>
            </w:r>
          </w:p>
        </w:tc>
      </w:tr>
      <w:tr>
        <w:tc>
          <w:tcPr>
            <w:tcW w:type="dxa" w:w="899"/>
          </w:tcPr>
          <w:p>
            <w:pPr>
              <w:spacing w:after="0"/>
            </w:pPr>
            <w:r>
              <w:rPr>
                <w:rFonts w:ascii="Arial" w:hAnsi="Arial" w:eastAsia="Arial"/>
                <w:b w:val="0"/>
                <w:color w:val="000000"/>
                <w:sz w:val="24"/>
              </w:rPr>
              <w:t>A-04</w:t>
            </w:r>
          </w:p>
        </w:tc>
        <w:tc>
          <w:tcPr>
            <w:tcW w:type="dxa" w:w="2401"/>
          </w:tcPr>
          <w:p>
            <w:pPr>
              <w:spacing w:after="0"/>
            </w:pPr>
            <w:r>
              <w:rPr>
                <w:rFonts w:ascii="Arial" w:hAnsi="Arial" w:eastAsia="Arial"/>
                <w:b w:val="0"/>
                <w:color w:val="000000"/>
                <w:sz w:val="24"/>
              </w:rPr>
              <w:t>Si las unidades de combo y de obsequio cuentan para la escala</w:t>
            </w:r>
          </w:p>
        </w:tc>
        <w:tc>
          <w:tcPr>
            <w:tcW w:type="dxa" w:w="2609"/>
          </w:tcPr>
          <w:p>
            <w:pPr>
              <w:spacing w:after="0"/>
            </w:pPr>
            <w:r>
              <w:rPr>
                <w:rFonts w:ascii="Arial" w:hAnsi="Arial" w:eastAsia="Arial"/>
                <w:b w:val="0"/>
                <w:color w:val="000000"/>
                <w:sz w:val="24"/>
              </w:rPr>
              <w:t>Quedan fuera de los umbrales y del descuento por escala</w:t>
            </w:r>
          </w:p>
        </w:tc>
        <w:tc>
          <w:tcPr>
            <w:tcW w:type="dxa" w:w="3729"/>
          </w:tcPr>
          <w:p>
            <w:pPr>
              <w:spacing w:after="0"/>
            </w:pPr>
            <w:r>
              <w:rPr>
                <w:rFonts w:ascii="Arial" w:hAnsi="Arial" w:eastAsia="Arial"/>
                <w:b w:val="0"/>
                <w:color w:val="000000"/>
                <w:sz w:val="24"/>
              </w:rPr>
              <w:t>Sin doble beneficio: una unidad con precio de combo no se descuenta otra vez (golden test 2)</w:t>
            </w:r>
          </w:p>
        </w:tc>
      </w:tr>
      <w:tr>
        <w:tc>
          <w:tcPr>
            <w:tcW w:type="dxa" w:w="899"/>
          </w:tcPr>
          <w:p>
            <w:pPr>
              <w:spacing w:after="0"/>
            </w:pPr>
            <w:r>
              <w:rPr>
                <w:rFonts w:ascii="Arial" w:hAnsi="Arial" w:eastAsia="Arial"/>
                <w:b w:val="0"/>
                <w:color w:val="000000"/>
                <w:sz w:val="24"/>
              </w:rPr>
              <w:t>A-05</w:t>
            </w:r>
          </w:p>
        </w:tc>
        <w:tc>
          <w:tcPr>
            <w:tcW w:type="dxa" w:w="2401"/>
          </w:tcPr>
          <w:p>
            <w:pPr>
              <w:spacing w:after="0"/>
            </w:pPr>
            <w:r>
              <w:rPr>
                <w:rFonts w:ascii="Arial" w:hAnsi="Arial" w:eastAsia="Arial"/>
                <w:b w:val="0"/>
                <w:color w:val="000000"/>
                <w:sz w:val="24"/>
              </w:rPr>
              <w:t>Cuánto dura vigente una cotización</w:t>
            </w:r>
          </w:p>
        </w:tc>
        <w:tc>
          <w:tcPr>
            <w:tcW w:type="dxa" w:w="2609"/>
          </w:tcPr>
          <w:p>
            <w:pPr>
              <w:spacing w:after="0"/>
            </w:pPr>
            <w:r>
              <w:rPr>
                <w:rFonts w:ascii="Arial" w:hAnsi="Arial" w:eastAsia="Arial"/>
                <w:b w:val="0"/>
                <w:color w:val="000000"/>
                <w:sz w:val="24"/>
              </w:rPr>
              <w:t>15 minutos por defecto, definidos por país como dato</w:t>
            </w:r>
          </w:p>
        </w:tc>
        <w:tc>
          <w:tcPr>
            <w:tcW w:type="dxa" w:w="3729"/>
          </w:tcPr>
          <w:p>
            <w:pPr>
              <w:spacing w:after="0"/>
            </w:pPr>
            <w:r>
              <w:rPr>
                <w:rFonts w:ascii="Arial" w:hAnsi="Arial" w:eastAsia="Arial"/>
                <w:b w:val="0"/>
                <w:color w:val="000000"/>
                <w:sz w:val="24"/>
              </w:rPr>
              <w:t>Acota cuánto tiempo se respeta un precio sellado, que es el riesgo del ADR</w:t>
            </w:r>
          </w:p>
        </w:tc>
      </w:tr>
      <w:tr>
        <w:tc>
          <w:tcPr>
            <w:tcW w:type="dxa" w:w="899"/>
          </w:tcPr>
          <w:p>
            <w:pPr>
              <w:spacing w:after="0"/>
            </w:pPr>
            <w:r>
              <w:rPr>
                <w:rFonts w:ascii="Arial" w:hAnsi="Arial" w:eastAsia="Arial"/>
                <w:b w:val="0"/>
                <w:color w:val="000000"/>
                <w:sz w:val="24"/>
              </w:rPr>
              <w:t>A-06</w:t>
            </w:r>
          </w:p>
        </w:tc>
        <w:tc>
          <w:tcPr>
            <w:tcW w:type="dxa" w:w="2401"/>
          </w:tcPr>
          <w:p>
            <w:pPr>
              <w:spacing w:after="0"/>
            </w:pPr>
            <w:r>
              <w:rPr>
                <w:rFonts w:ascii="Arial" w:hAnsi="Arial" w:eastAsia="Arial"/>
                <w:b w:val="0"/>
                <w:color w:val="000000"/>
                <w:sz w:val="24"/>
              </w:rPr>
              <w:t>Quién llama: el enunciado no dice nada de autenticación</w:t>
            </w:r>
          </w:p>
        </w:tc>
        <w:tc>
          <w:tcPr>
            <w:tcW w:type="dxa" w:w="2609"/>
          </w:tcPr>
          <w:p>
            <w:pPr>
              <w:spacing w:after="0"/>
            </w:pPr>
            <w:r>
              <w:rPr>
                <w:rFonts w:ascii="Arial" w:hAnsi="Arial" w:eastAsia="Arial"/>
                <w:b w:val="0"/>
                <w:color w:val="000000"/>
                <w:sz w:val="24"/>
              </w:rPr>
              <w:t xml:space="preserve">La autenticación queda fuera del alcance. Tenant y cliente llegan en los encabezados </w:t>
            </w:r>
            <w:r>
              <w:rPr>
                <w:rFonts w:ascii="Arial" w:hAnsi="Arial" w:eastAsia="Arial"/>
                <w:b w:val="0"/>
                <w:color w:val="000000"/>
                <w:sz w:val="24"/>
              </w:rPr>
              <w:t>X-Tenant-Id</w:t>
            </w:r>
            <w:r>
              <w:rPr>
                <w:rFonts w:ascii="Arial" w:hAnsi="Arial" w:eastAsia="Arial"/>
                <w:b w:val="0"/>
                <w:color w:val="000000"/>
                <w:sz w:val="24"/>
              </w:rPr>
              <w:t xml:space="preserve"> y </w:t>
            </w:r>
            <w:r>
              <w:rPr>
                <w:rFonts w:ascii="Arial" w:hAnsi="Arial" w:eastAsia="Arial"/>
                <w:b w:val="0"/>
                <w:color w:val="000000"/>
                <w:sz w:val="24"/>
              </w:rPr>
              <w:t>X-Customer-Id</w:t>
            </w:r>
          </w:p>
        </w:tc>
        <w:tc>
          <w:tcPr>
            <w:tcW w:type="dxa" w:w="3729"/>
          </w:tcPr>
          <w:p>
            <w:pPr>
              <w:spacing w:after="0"/>
            </w:pPr>
            <w:r>
              <w:rPr>
                <w:rFonts w:ascii="Arial" w:hAnsi="Arial" w:eastAsia="Arial"/>
                <w:b w:val="0"/>
                <w:color w:val="000000"/>
                <w:sz w:val="24"/>
              </w:rPr>
              <w:t>Un gateway los inyectaría. En el cliente web, el selector de tienda hace las veces de inicio de sesión</w:t>
            </w:r>
          </w:p>
        </w:tc>
      </w:tr>
      <w:tr>
        <w:tc>
          <w:tcPr>
            <w:tcW w:type="dxa" w:w="899"/>
          </w:tcPr>
          <w:p>
            <w:pPr>
              <w:spacing w:after="0"/>
            </w:pPr>
            <w:r>
              <w:rPr>
                <w:rFonts w:ascii="Arial" w:hAnsi="Arial" w:eastAsia="Arial"/>
                <w:b w:val="0"/>
                <w:color w:val="000000"/>
                <w:sz w:val="24"/>
              </w:rPr>
              <w:t>A-07</w:t>
            </w:r>
          </w:p>
        </w:tc>
        <w:tc>
          <w:tcPr>
            <w:tcW w:type="dxa" w:w="2401"/>
          </w:tcPr>
          <w:p>
            <w:pPr>
              <w:spacing w:after="0"/>
            </w:pPr>
            <w:r>
              <w:rPr>
                <w:rFonts w:ascii="Arial" w:hAnsi="Arial" w:eastAsia="Arial"/>
                <w:b w:val="0"/>
                <w:color w:val="000000"/>
                <w:sz w:val="24"/>
              </w:rPr>
              <w:t>Cómo aparece un combo en el desglose</w:t>
            </w:r>
          </w:p>
        </w:tc>
        <w:tc>
          <w:tcPr>
            <w:tcW w:type="dxa" w:w="2609"/>
          </w:tcPr>
          <w:p>
            <w:pPr>
              <w:spacing w:after="0"/>
            </w:pPr>
            <w:r>
              <w:rPr>
                <w:rFonts w:ascii="Arial" w:hAnsi="Arial" w:eastAsia="Arial"/>
                <w:b w:val="0"/>
                <w:color w:val="000000"/>
                <w:sz w:val="24"/>
              </w:rPr>
              <w:t>Una sola entrada de descuento por combo. La asignación por línea solo sirve para derivar la base gravable de cada línea</w:t>
            </w:r>
          </w:p>
        </w:tc>
        <w:tc>
          <w:tcPr>
            <w:tcW w:type="dxa" w:w="3729"/>
          </w:tcPr>
          <w:p>
            <w:pPr>
              <w:spacing w:after="0"/>
            </w:pPr>
            <w:r>
              <w:rPr>
                <w:rFonts w:ascii="Arial" w:hAnsi="Arial" w:eastAsia="Arial"/>
                <w:b w:val="0"/>
                <w:color w:val="000000"/>
                <w:sz w:val="24"/>
              </w:rPr>
              <w:t>El golden test 2 prohíbe mostrar los productos del combo como descuentos sueltos, y el impuesto igual necesita una base por línea</w:t>
            </w:r>
          </w:p>
        </w:tc>
      </w:tr>
      <w:tr>
        <w:tc>
          <w:tcPr>
            <w:tcW w:type="dxa" w:w="899"/>
          </w:tcPr>
          <w:p>
            <w:pPr>
              <w:spacing w:after="0"/>
            </w:pPr>
            <w:r>
              <w:rPr>
                <w:rFonts w:ascii="Arial" w:hAnsi="Arial" w:eastAsia="Arial"/>
                <w:b w:val="0"/>
                <w:color w:val="000000"/>
                <w:sz w:val="24"/>
              </w:rPr>
              <w:t>A-08</w:t>
            </w:r>
          </w:p>
        </w:tc>
        <w:tc>
          <w:tcPr>
            <w:tcW w:type="dxa" w:w="2401"/>
          </w:tcPr>
          <w:p>
            <w:pPr>
              <w:spacing w:after="0"/>
            </w:pPr>
            <w:r>
              <w:rPr>
                <w:rFonts w:ascii="Arial" w:hAnsi="Arial" w:eastAsia="Arial"/>
                <w:b w:val="0"/>
                <w:color w:val="000000"/>
                <w:sz w:val="24"/>
              </w:rPr>
              <w:t>Si el cupo se reserva al cotizar</w:t>
            </w:r>
          </w:p>
        </w:tc>
        <w:tc>
          <w:tcPr>
            <w:tcW w:type="dxa" w:w="2609"/>
          </w:tcPr>
          <w:p>
            <w:pPr>
              <w:spacing w:after="0"/>
            </w:pPr>
            <w:r>
              <w:rPr>
                <w:rFonts w:ascii="Arial" w:hAnsi="Arial" w:eastAsia="Arial"/>
                <w:b w:val="0"/>
                <w:color w:val="000000"/>
                <w:sz w:val="24"/>
              </w:rPr>
              <w:t>No. Al cotizar, la verificación es solo informativa</w:t>
            </w:r>
          </w:p>
        </w:tc>
        <w:tc>
          <w:tcPr>
            <w:tcW w:type="dxa" w:w="3729"/>
          </w:tcPr>
          <w:p>
            <w:pPr>
              <w:spacing w:after="0"/>
            </w:pPr>
            <w:r>
              <w:rPr>
                <w:rFonts w:ascii="Arial" w:hAnsi="Arial" w:eastAsia="Arial"/>
                <w:b w:val="0"/>
                <w:color w:val="000000"/>
                <w:sz w:val="24"/>
              </w:rPr>
              <w:t>La verificación que obliga corre una sola vez, dentro de la transacción de confirmación. Si dos cotizaciones abiertas caben, ahí se resuelve: una se confirma y la otra recibe 409</w:t>
            </w:r>
          </w:p>
        </w:tc>
      </w:tr>
      <w:tr>
        <w:tc>
          <w:tcPr>
            <w:tcW w:type="dxa" w:w="899"/>
          </w:tcPr>
          <w:p>
            <w:pPr>
              <w:spacing w:after="0"/>
            </w:pPr>
            <w:r>
              <w:rPr>
                <w:rFonts w:ascii="Arial" w:hAnsi="Arial" w:eastAsia="Arial"/>
                <w:b w:val="0"/>
                <w:color w:val="000000"/>
                <w:sz w:val="24"/>
              </w:rPr>
              <w:t>A-09</w:t>
            </w:r>
          </w:p>
        </w:tc>
        <w:tc>
          <w:tcPr>
            <w:tcW w:type="dxa" w:w="2401"/>
          </w:tcPr>
          <w:p>
            <w:pPr>
              <w:spacing w:after="0"/>
            </w:pPr>
            <w:r>
              <w:rPr>
                <w:rFonts w:ascii="Arial" w:hAnsi="Arial" w:eastAsia="Arial"/>
                <w:b w:val="0"/>
                <w:color w:val="000000"/>
                <w:sz w:val="24"/>
              </w:rPr>
              <w:t>Cancelación y liberación de cupo</w:t>
            </w:r>
          </w:p>
        </w:tc>
        <w:tc>
          <w:tcPr>
            <w:tcW w:type="dxa" w:w="2609"/>
          </w:tcPr>
          <w:p>
            <w:pPr>
              <w:spacing w:after="0"/>
            </w:pPr>
            <w:r>
              <w:rPr>
                <w:rFonts w:ascii="Arial" w:hAnsi="Arial" w:eastAsia="Arial"/>
                <w:b w:val="0"/>
                <w:color w:val="000000"/>
                <w:sz w:val="24"/>
              </w:rPr>
              <w:t>Fuera del alcance</w:t>
            </w:r>
          </w:p>
        </w:tc>
        <w:tc>
          <w:tcPr>
            <w:tcW w:type="dxa" w:w="3729"/>
          </w:tcPr>
          <w:p>
            <w:pPr>
              <w:spacing w:after="0"/>
            </w:pPr>
            <w:r>
              <w:rPr>
                <w:rFonts w:ascii="Arial" w:hAnsi="Arial" w:eastAsia="Arial"/>
                <w:b w:val="0"/>
                <w:color w:val="000000"/>
                <w:sz w:val="24"/>
              </w:rPr>
              <w:t>El enunciado no las pide</w:t>
            </w:r>
          </w:p>
        </w:tc>
      </w:tr>
      <w:tr>
        <w:tc>
          <w:tcPr>
            <w:tcW w:type="dxa" w:w="899"/>
          </w:tcPr>
          <w:p>
            <w:pPr>
              <w:spacing w:after="0"/>
            </w:pPr>
            <w:r>
              <w:rPr>
                <w:rFonts w:ascii="Arial" w:hAnsi="Arial" w:eastAsia="Arial"/>
                <w:b w:val="0"/>
                <w:color w:val="000000"/>
                <w:sz w:val="24"/>
              </w:rPr>
              <w:t>A-10</w:t>
            </w:r>
          </w:p>
        </w:tc>
        <w:tc>
          <w:tcPr>
            <w:tcW w:type="dxa" w:w="2401"/>
          </w:tcPr>
          <w:p>
            <w:pPr>
              <w:spacing w:after="0"/>
            </w:pPr>
            <w:r>
              <w:rPr>
                <w:rFonts w:ascii="Arial" w:hAnsi="Arial" w:eastAsia="Arial"/>
                <w:b w:val="0"/>
                <w:color w:val="000000"/>
                <w:sz w:val="24"/>
              </w:rPr>
              <w:t>Qué significa "una condición de compra" para un obsequio</w:t>
            </w:r>
          </w:p>
        </w:tc>
        <w:tc>
          <w:tcPr>
            <w:tcW w:type="dxa" w:w="2609"/>
          </w:tcPr>
          <w:p>
            <w:pPr>
              <w:spacing w:after="0"/>
            </w:pPr>
            <w:r>
              <w:rPr>
                <w:rFonts w:ascii="Arial" w:hAnsi="Arial" w:eastAsia="Arial"/>
                <w:b w:val="0"/>
                <w:color w:val="000000"/>
                <w:sz w:val="24"/>
              </w:rPr>
              <w:t>Una cantidad mínima pagada de un SKU o familia, o un subtotal bruto mínimo antes de descuentos. La línea de obsequio siempre va aparte de la línea pagada</w:t>
            </w:r>
          </w:p>
        </w:tc>
        <w:tc>
          <w:tcPr>
            <w:tcW w:type="dxa" w:w="3729"/>
          </w:tcPr>
          <w:p>
            <w:pPr>
              <w:spacing w:after="0"/>
            </w:pPr>
            <w:r>
              <w:rPr>
                <w:rFonts w:ascii="Arial" w:hAnsi="Arial" w:eastAsia="Arial"/>
                <w:b w:val="0"/>
                <w:color w:val="000000"/>
                <w:sz w:val="24"/>
              </w:rPr>
              <w:t>El obsequio lo dispara lo que se compra y nunca cambia lo que se paga por producto</w:t>
            </w:r>
          </w:p>
        </w:tc>
      </w:tr>
    </w:tbl>
    <w:p>
      <w:pPr>
        <w:spacing w:before="120"/>
      </w:pPr>
      <w:r>
        <w:rPr>
          <w:rFonts w:ascii="Arial" w:hAnsi="Arial" w:eastAsia="Arial"/>
          <w:b w:val="0"/>
          <w:color w:val="000000"/>
          <w:sz w:val="24"/>
        </w:rPr>
        <w:t>Algunas preguntas el enunciado se las hace directamente al candidato. Cada respuesta es una regla de la especificación: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47"/>
        <w:gridCol w:w="5121"/>
        <w:gridCol w:w="1271"/>
      </w:tblGrid>
      <w:tr>
        <w:tc>
          <w:tcPr>
            <w:tcW w:type="dxa" w:w="3247"/>
          </w:tcPr>
          <w:p>
            <w:pPr>
              <w:spacing w:after="0"/>
            </w:pPr>
            <w:r>
              <w:rPr>
                <w:rFonts w:ascii="Arial" w:hAnsi="Arial" w:eastAsia="Arial"/>
                <w:b/>
                <w:color w:val="000000"/>
                <w:sz w:val="24"/>
              </w:rPr>
              <w:t>Pregunta del enunciado</w:t>
            </w:r>
          </w:p>
        </w:tc>
        <w:tc>
          <w:tcPr>
            <w:tcW w:type="dxa" w:w="5121"/>
          </w:tcPr>
          <w:p>
            <w:pPr>
              <w:spacing w:after="0"/>
            </w:pPr>
            <w:r>
              <w:rPr>
                <w:rFonts w:ascii="Arial" w:hAnsi="Arial" w:eastAsia="Arial"/>
                <w:b/>
                <w:color w:val="000000"/>
                <w:sz w:val="24"/>
              </w:rPr>
              <w:t>Respuesta</w:t>
            </w:r>
          </w:p>
        </w:tc>
        <w:tc>
          <w:tcPr>
            <w:tcW w:type="dxa" w:w="1271"/>
          </w:tcPr>
          <w:p>
            <w:pPr>
              <w:spacing w:after="0"/>
            </w:pPr>
            <w:r>
              <w:rPr>
                <w:rFonts w:ascii="Arial" w:hAnsi="Arial" w:eastAsia="Arial"/>
                <w:b/>
                <w:color w:val="000000"/>
                <w:sz w:val="24"/>
              </w:rPr>
              <w:t>Dónde</w:t>
            </w:r>
          </w:p>
        </w:tc>
      </w:tr>
      <w:tr>
        <w:tc>
          <w:tcPr>
            <w:tcW w:type="dxa" w:w="3247"/>
          </w:tcPr>
          <w:p>
            <w:pPr>
              <w:spacing w:after="0"/>
            </w:pPr>
            <w:r>
              <w:rPr>
                <w:rFonts w:ascii="Arial" w:hAnsi="Arial" w:eastAsia="Arial"/>
                <w:b w:val="0"/>
                <w:color w:val="000000"/>
                <w:sz w:val="24"/>
              </w:rPr>
              <w:t>¿Qué tipo, escala y regla de redondeo para el dinero?</w:t>
            </w:r>
          </w:p>
        </w:tc>
        <w:tc>
          <w:tcPr>
            <w:tcW w:type="dxa" w:w="5121"/>
          </w:tcPr>
          <w:p>
            <w:pPr>
              <w:spacing w:after="0"/>
            </w:pPr>
            <w:r>
              <w:rPr>
                <w:rFonts w:ascii="Arial" w:hAnsi="Arial" w:eastAsia="Arial"/>
                <w:b w:val="0"/>
                <w:color w:val="000000"/>
                <w:sz w:val="24"/>
              </w:rPr>
              <w:t>Money</w:t>
            </w:r>
            <w:r>
              <w:rPr>
                <w:rFonts w:ascii="Arial" w:hAnsi="Arial" w:eastAsia="Arial"/>
                <w:b w:val="0"/>
                <w:color w:val="000000"/>
                <w:sz w:val="24"/>
              </w:rPr>
              <w:t xml:space="preserve"> con un </w:t>
            </w:r>
            <w:r>
              <w:rPr>
                <w:rFonts w:ascii="Arial" w:hAnsi="Arial" w:eastAsia="Arial"/>
                <w:b w:val="0"/>
                <w:color w:val="000000"/>
                <w:sz w:val="24"/>
              </w:rPr>
              <w:t>BigDecimal</w:t>
            </w:r>
            <w:r>
              <w:rPr>
                <w:rFonts w:ascii="Arial" w:hAnsi="Arial" w:eastAsia="Arial"/>
                <w:b w:val="0"/>
                <w:color w:val="000000"/>
                <w:sz w:val="24"/>
              </w:rPr>
              <w:t xml:space="preserve"> y una política de moneda; escala y modo de redondeo tomados de los datos del país; </w:t>
            </w:r>
            <w:r>
              <w:rPr>
                <w:rFonts w:ascii="Arial" w:hAnsi="Arial" w:eastAsia="Arial"/>
                <w:b w:val="0"/>
                <w:color w:val="000000"/>
                <w:sz w:val="24"/>
              </w:rPr>
              <w:t>HALF_UP</w:t>
            </w:r>
            <w:r>
              <w:rPr>
                <w:rFonts w:ascii="Arial" w:hAnsi="Arial" w:eastAsia="Arial"/>
                <w:b w:val="0"/>
                <w:color w:val="000000"/>
                <w:sz w:val="24"/>
              </w:rPr>
              <w:t xml:space="preserve"> en los cuatro países sembrados</w:t>
            </w:r>
          </w:p>
        </w:tc>
        <w:tc>
          <w:tcPr>
            <w:tcW w:type="dxa" w:w="1271"/>
          </w:tcPr>
          <w:p>
            <w:pPr>
              <w:spacing w:after="0"/>
            </w:pPr>
            <w:r>
              <w:rPr>
                <w:rFonts w:ascii="Arial" w:hAnsi="Arial" w:eastAsia="Arial"/>
                <w:b w:val="0"/>
                <w:color w:val="000000"/>
                <w:sz w:val="24"/>
              </w:rPr>
              <w:t>SPEC §4</w:t>
            </w:r>
          </w:p>
        </w:tc>
      </w:tr>
      <w:tr>
        <w:tc>
          <w:tcPr>
            <w:tcW w:type="dxa" w:w="3247"/>
          </w:tcPr>
          <w:p>
            <w:pPr>
              <w:spacing w:after="0"/>
            </w:pPr>
            <w:r>
              <w:rPr>
                <w:rFonts w:ascii="Arial" w:hAnsi="Arial" w:eastAsia="Arial"/>
                <w:b w:val="0"/>
                <w:color w:val="000000"/>
                <w:sz w:val="24"/>
              </w:rPr>
              <w:t>¿Se redondea por línea, por total o por impuesto?</w:t>
            </w:r>
          </w:p>
        </w:tc>
        <w:tc>
          <w:tcPr>
            <w:tcW w:type="dxa" w:w="5121"/>
          </w:tcPr>
          <w:p>
            <w:pPr>
              <w:spacing w:after="0"/>
            </w:pPr>
            <w:r>
              <w:rPr>
                <w:rFonts w:ascii="Arial" w:hAnsi="Arial" w:eastAsia="Arial"/>
                <w:b w:val="0"/>
                <w:color w:val="000000"/>
                <w:sz w:val="24"/>
              </w:rPr>
              <w:t>Solo por línea. Los totales son sumas de líneas ya redondeadas y nunca se vuelven a redondear</w:t>
            </w:r>
          </w:p>
        </w:tc>
        <w:tc>
          <w:tcPr>
            <w:tcW w:type="dxa" w:w="1271"/>
          </w:tcPr>
          <w:p>
            <w:pPr>
              <w:spacing w:after="0"/>
            </w:pPr>
            <w:r>
              <w:rPr>
                <w:rFonts w:ascii="Arial" w:hAnsi="Arial" w:eastAsia="Arial"/>
                <w:b w:val="0"/>
                <w:color w:val="000000"/>
                <w:sz w:val="24"/>
              </w:rPr>
              <w:t>SPEC §4</w:t>
            </w:r>
          </w:p>
        </w:tc>
      </w:tr>
      <w:tr>
        <w:tc>
          <w:tcPr>
            <w:tcW w:type="dxa" w:w="3247"/>
          </w:tcPr>
          <w:p>
            <w:pPr>
              <w:spacing w:after="0"/>
            </w:pPr>
            <w:r>
              <w:rPr>
                <w:rFonts w:ascii="Arial" w:hAnsi="Arial" w:eastAsia="Arial"/>
                <w:b w:val="0"/>
                <w:color w:val="000000"/>
                <w:sz w:val="24"/>
              </w:rPr>
              <w:t>¿Qué significa la implicación tributaria del obsequio?</w:t>
            </w:r>
          </w:p>
        </w:tc>
        <w:tc>
          <w:tcPr>
            <w:tcW w:type="dxa" w:w="5121"/>
          </w:tcPr>
          <w:p>
            <w:pPr>
              <w:spacing w:after="0"/>
            </w:pPr>
            <w:r>
              <w:rPr>
                <w:rFonts w:ascii="Arial" w:hAnsi="Arial" w:eastAsia="Arial"/>
                <w:b w:val="0"/>
                <w:color w:val="000000"/>
                <w:sz w:val="24"/>
              </w:rPr>
              <w:t xml:space="preserve">Decide la política del país para obsequios: </w:t>
            </w:r>
            <w:r>
              <w:rPr>
                <w:rFonts w:ascii="Arial" w:hAnsi="Arial" w:eastAsia="Arial"/>
                <w:b w:val="0"/>
                <w:color w:val="000000"/>
                <w:sz w:val="24"/>
              </w:rPr>
              <w:t>EXEMPT</w:t>
            </w:r>
            <w:r>
              <w:rPr>
                <w:rFonts w:ascii="Arial" w:hAnsi="Arial" w:eastAsia="Arial"/>
                <w:b w:val="0"/>
                <w:color w:val="000000"/>
                <w:sz w:val="24"/>
              </w:rPr>
              <w:t xml:space="preserve"> o </w:t>
            </w:r>
            <w:r>
              <w:rPr>
                <w:rFonts w:ascii="Arial" w:hAnsi="Arial" w:eastAsia="Arial"/>
                <w:b w:val="0"/>
                <w:color w:val="000000"/>
                <w:sz w:val="24"/>
              </w:rPr>
              <w:t>TAXED</w:t>
            </w:r>
            <w:r>
              <w:rPr>
                <w:rFonts w:ascii="Arial" w:hAnsi="Arial" w:eastAsia="Arial"/>
                <w:b w:val="0"/>
                <w:color w:val="000000"/>
                <w:sz w:val="24"/>
              </w:rPr>
              <w:t xml:space="preserve"> sobre el valor de referencia del obsequio</w:t>
            </w:r>
          </w:p>
        </w:tc>
        <w:tc>
          <w:tcPr>
            <w:tcW w:type="dxa" w:w="1271"/>
          </w:tcPr>
          <w:p>
            <w:pPr>
              <w:spacing w:after="0"/>
            </w:pPr>
            <w:r>
              <w:rPr>
                <w:rFonts w:ascii="Arial" w:hAnsi="Arial" w:eastAsia="Arial"/>
                <w:b w:val="0"/>
                <w:color w:val="000000"/>
                <w:sz w:val="24"/>
              </w:rPr>
              <w:t>SPEC BR-04</w:t>
            </w:r>
          </w:p>
        </w:tc>
      </w:tr>
      <w:tr>
        <w:tc>
          <w:tcPr>
            <w:tcW w:type="dxa" w:w="3247"/>
          </w:tcPr>
          <w:p>
            <w:pPr>
              <w:spacing w:after="0"/>
            </w:pPr>
            <w:r>
              <w:rPr>
                <w:rFonts w:ascii="Arial" w:hAnsi="Arial" w:eastAsia="Arial"/>
                <w:b w:val="0"/>
                <w:color w:val="000000"/>
                <w:sz w:val="24"/>
              </w:rPr>
              <w:t>¿Qué garantiza un 201?</w:t>
            </w:r>
          </w:p>
        </w:tc>
        <w:tc>
          <w:tcPr>
            <w:tcW w:type="dxa" w:w="5121"/>
          </w:tcPr>
          <w:p>
            <w:pPr>
              <w:spacing w:after="0"/>
            </w:pPr>
            <w:r>
              <w:rPr>
                <w:rFonts w:ascii="Arial" w:hAnsi="Arial" w:eastAsia="Arial"/>
                <w:b w:val="0"/>
                <w:color w:val="000000"/>
                <w:sz w:val="24"/>
              </w:rPr>
              <w:t>La fila del pedido queda confirmada en la base de datos y legible antes de serializar el 201 (invariante I-201)</w:t>
            </w:r>
          </w:p>
        </w:tc>
        <w:tc>
          <w:tcPr>
            <w:tcW w:type="dxa" w:w="1271"/>
          </w:tcPr>
          <w:p>
            <w:pPr>
              <w:spacing w:after="0"/>
            </w:pPr>
            <w:r>
              <w:rPr>
                <w:rFonts w:ascii="Arial" w:hAnsi="Arial" w:eastAsia="Arial"/>
                <w:b w:val="0"/>
                <w:color w:val="000000"/>
                <w:sz w:val="24"/>
              </w:rPr>
              <w:t>SPEC §7.2</w:t>
            </w:r>
          </w:p>
        </w:tc>
      </w:tr>
      <w:tr>
        <w:tc>
          <w:tcPr>
            <w:tcW w:type="dxa" w:w="3247"/>
          </w:tcPr>
          <w:p>
            <w:pPr>
              <w:spacing w:after="0"/>
            </w:pPr>
            <w:r>
              <w:rPr>
                <w:rFonts w:ascii="Arial" w:hAnsi="Arial" w:eastAsia="Arial"/>
                <w:b w:val="0"/>
                <w:color w:val="000000"/>
                <w:sz w:val="24"/>
              </w:rPr>
              <w:t>¿Qué modelo de consistencia, y qué se sacrifica?</w:t>
            </w:r>
          </w:p>
        </w:tc>
        <w:tc>
          <w:tcPr>
            <w:tcW w:type="dxa" w:w="5121"/>
          </w:tcPr>
          <w:p>
            <w:pPr>
              <w:spacing w:after="0"/>
            </w:pPr>
            <w:r>
              <w:rPr>
                <w:rFonts w:ascii="Arial" w:hAnsi="Arial" w:eastAsia="Arial"/>
                <w:b w:val="0"/>
                <w:color w:val="000000"/>
                <w:sz w:val="24"/>
              </w:rPr>
              <w:t>Fuerte para pedido, cupo, clave y outbox en una sola base de datos; eventual para push y ERP</w:t>
            </w:r>
          </w:p>
        </w:tc>
        <w:tc>
          <w:tcPr>
            <w:tcW w:type="dxa" w:w="1271"/>
          </w:tcPr>
          <w:p>
            <w:pPr>
              <w:spacing w:after="0"/>
            </w:pPr>
            <w:r>
              <w:rPr>
                <w:rFonts w:ascii="Arial" w:hAnsi="Arial" w:eastAsia="Arial"/>
                <w:b w:val="0"/>
                <w:color w:val="000000"/>
                <w:sz w:val="24"/>
              </w:rPr>
              <w:t>SPEC §7.5</w:t>
            </w:r>
          </w:p>
        </w:tc>
      </w:tr>
    </w:tbl>
    <w:p>
      <w:pPr>
        <w:pStyle w:val="Heading2"/>
        <w:keepNext/>
        <w:spacing w:before="160" w:after="80"/>
      </w:pPr>
      <w:r>
        <w:rPr>
          <w:rFonts w:ascii="Arial" w:hAnsi="Arial" w:eastAsia="Arial"/>
          <w:b/>
          <w:color w:val="000000"/>
          <w:sz w:val="24"/>
        </w:rPr>
        <w:t>3. Primero la especificación</w:t>
      </w:r>
    </w:p>
    <w:p>
      <w:r>
        <w:rPr>
          <w:rFonts w:ascii="Arial" w:hAnsi="Arial" w:eastAsia="Arial"/>
          <w:b w:val="0"/>
          <w:color w:val="000000"/>
          <w:sz w:val="24"/>
        </w:rPr>
        <w:t>La especificación se escribió y se integró antes de la primera línea de código del servicio. Los primeros pull requests del repositorio de documentación, el 2026-10-14, son la constitución y la especificación, luego el plan, las tareas y el contrato, y después el modelo de datos y la arquitectura. El código del servicio empezó el 2026-10-15.</w:t>
      </w:r>
    </w:p>
    <w:p>
      <w:pPr>
        <w:pStyle w:val="Heading3"/>
        <w:keepNext/>
        <w:spacing w:before="160" w:after="80"/>
      </w:pPr>
      <w:r>
        <w:rPr>
          <w:rFonts w:ascii="Arial" w:hAnsi="Arial" w:eastAsia="Arial"/>
          <w:b/>
          <w:color w:val="000000"/>
          <w:sz w:val="24"/>
        </w:rPr>
        <w:t>3.1 La constitución</w:t>
      </w:r>
    </w:p>
    <w:p>
      <w:r>
        <w:rPr>
          <w:rFonts w:ascii="Arial" w:hAnsi="Arial" w:eastAsia="Arial"/>
          <w:b w:val="0"/>
          <w:color w:val="000000"/>
          <w:sz w:val="24"/>
        </w:rPr>
        <w:t>orderflow-engine-docs/spec/constitution.md</w:t>
      </w:r>
      <w:r>
        <w:rPr>
          <w:rFonts w:ascii="Arial" w:hAnsi="Arial" w:eastAsia="Arial"/>
          <w:b w:val="0"/>
          <w:color w:val="000000"/>
          <w:sz w:val="24"/>
        </w:rPr>
        <w:t xml:space="preserve"> reúne 15 principios no negociables. Cada uno dice cómo se verifica, porque un principio sin verificación es apenas un deseo. Los que más marcaron la solución: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76"/>
        <w:gridCol w:w="3930"/>
        <w:gridCol w:w="4032"/>
      </w:tblGrid>
      <w:tr>
        <w:tc>
          <w:tcPr>
            <w:tcW w:type="dxa" w:w="1676"/>
          </w:tcPr>
          <w:p>
            <w:pPr>
              <w:spacing w:after="0"/>
            </w:pPr>
            <w:r>
              <w:rPr>
                <w:rFonts w:ascii="Arial" w:hAnsi="Arial" w:eastAsia="Arial"/>
                <w:b/>
                <w:color w:val="000000"/>
                <w:sz w:val="24"/>
              </w:rPr>
              <w:t>Artículo</w:t>
            </w:r>
          </w:p>
        </w:tc>
        <w:tc>
          <w:tcPr>
            <w:tcW w:type="dxa" w:w="3930"/>
          </w:tcPr>
          <w:p>
            <w:pPr>
              <w:spacing w:after="0"/>
            </w:pPr>
            <w:r>
              <w:rPr>
                <w:rFonts w:ascii="Arial" w:hAnsi="Arial" w:eastAsia="Arial"/>
                <w:b/>
                <w:color w:val="000000"/>
                <w:sz w:val="24"/>
              </w:rPr>
              <w:t>Principio</w:t>
            </w:r>
          </w:p>
        </w:tc>
        <w:tc>
          <w:tcPr>
            <w:tcW w:type="dxa" w:w="4032"/>
          </w:tcPr>
          <w:p>
            <w:pPr>
              <w:spacing w:after="0"/>
            </w:pPr>
            <w:r>
              <w:rPr>
                <w:rFonts w:ascii="Arial" w:hAnsi="Arial" w:eastAsia="Arial"/>
                <w:b/>
                <w:color w:val="000000"/>
                <w:sz w:val="24"/>
              </w:rPr>
              <w:t>Verificado por</w:t>
            </w:r>
          </w:p>
        </w:tc>
      </w:tr>
      <w:tr>
        <w:tc>
          <w:tcPr>
            <w:tcW w:type="dxa" w:w="1676"/>
          </w:tcPr>
          <w:p>
            <w:pPr>
              <w:spacing w:after="0"/>
            </w:pPr>
            <w:r>
              <w:rPr>
                <w:rFonts w:ascii="Arial" w:hAnsi="Arial" w:eastAsia="Arial"/>
                <w:b w:val="0"/>
                <w:color w:val="000000"/>
                <w:sz w:val="24"/>
              </w:rPr>
              <w:t>P-01</w:t>
            </w:r>
          </w:p>
        </w:tc>
        <w:tc>
          <w:tcPr>
            <w:tcW w:type="dxa" w:w="3930"/>
          </w:tcPr>
          <w:p>
            <w:pPr>
              <w:spacing w:after="0"/>
            </w:pPr>
            <w:r>
              <w:rPr>
                <w:rFonts w:ascii="Arial" w:hAnsi="Arial" w:eastAsia="Arial"/>
                <w:b w:val="0"/>
                <w:color w:val="000000"/>
                <w:sz w:val="24"/>
              </w:rPr>
              <w:t>El dinero nunca es un número binario de punto flotante</w:t>
            </w:r>
          </w:p>
        </w:tc>
        <w:tc>
          <w:tcPr>
            <w:tcW w:type="dxa" w:w="4032"/>
          </w:tcPr>
          <w:p>
            <w:pPr>
              <w:spacing w:after="0"/>
            </w:pPr>
            <w:r>
              <w:rPr>
                <w:rFonts w:ascii="Arial" w:hAnsi="Arial" w:eastAsia="Arial"/>
                <w:b w:val="0"/>
                <w:color w:val="000000"/>
                <w:sz w:val="24"/>
              </w:rPr>
              <w:t>DomainPurityArchTest</w:t>
            </w:r>
            <w:r>
              <w:rPr>
                <w:rFonts w:ascii="Arial" w:hAnsi="Arial" w:eastAsia="Arial"/>
                <w:b w:val="0"/>
                <w:color w:val="000000"/>
                <w:sz w:val="24"/>
              </w:rPr>
              <w:t xml:space="preserve">, </w:t>
            </w:r>
            <w:r>
              <w:rPr>
                <w:rFonts w:ascii="Arial" w:hAnsi="Arial" w:eastAsia="Arial"/>
                <w:b w:val="0"/>
                <w:color w:val="000000"/>
                <w:sz w:val="24"/>
              </w:rPr>
              <w:t>MoneyTest</w:t>
            </w:r>
          </w:p>
        </w:tc>
      </w:tr>
      <w:tr>
        <w:tc>
          <w:tcPr>
            <w:tcW w:type="dxa" w:w="1676"/>
          </w:tcPr>
          <w:p>
            <w:pPr>
              <w:spacing w:after="0"/>
            </w:pPr>
            <w:r>
              <w:rPr>
                <w:rFonts w:ascii="Arial" w:hAnsi="Arial" w:eastAsia="Arial"/>
                <w:b w:val="0"/>
                <w:color w:val="000000"/>
                <w:sz w:val="24"/>
              </w:rPr>
              <w:t>P-02</w:t>
            </w:r>
          </w:p>
        </w:tc>
        <w:tc>
          <w:tcPr>
            <w:tcW w:type="dxa" w:w="3930"/>
          </w:tcPr>
          <w:p>
            <w:pPr>
              <w:spacing w:after="0"/>
            </w:pPr>
            <w:r>
              <w:rPr>
                <w:rFonts w:ascii="Arial" w:hAnsi="Arial" w:eastAsia="Arial"/>
                <w:b w:val="0"/>
                <w:color w:val="000000"/>
                <w:sz w:val="24"/>
              </w:rPr>
              <w:t>El total cotizado es el total confirmado: el pedido referencia la cotización sellada y no guarda montos</w:t>
            </w:r>
          </w:p>
        </w:tc>
        <w:tc>
          <w:tcPr>
            <w:tcW w:type="dxa" w:w="4032"/>
          </w:tcPr>
          <w:p>
            <w:pPr>
              <w:spacing w:after="0"/>
            </w:pPr>
            <w:r>
              <w:rPr>
                <w:rFonts w:ascii="Arial" w:hAnsi="Arial" w:eastAsia="Arial"/>
                <w:b w:val="0"/>
                <w:color w:val="000000"/>
                <w:sz w:val="24"/>
              </w:rPr>
              <w:t>QuoteConfirmRegressionIT</w:t>
            </w:r>
            <w:r>
              <w:rPr>
                <w:rFonts w:ascii="Arial" w:hAnsi="Arial" w:eastAsia="Arial"/>
                <w:b w:val="0"/>
                <w:color w:val="000000"/>
                <w:sz w:val="24"/>
              </w:rPr>
              <w:t xml:space="preserve"> (golden test 6)</w:t>
            </w:r>
          </w:p>
        </w:tc>
      </w:tr>
      <w:tr>
        <w:tc>
          <w:tcPr>
            <w:tcW w:type="dxa" w:w="1676"/>
          </w:tcPr>
          <w:p>
            <w:pPr>
              <w:spacing w:after="0"/>
            </w:pPr>
            <w:r>
              <w:rPr>
                <w:rFonts w:ascii="Arial" w:hAnsi="Arial" w:eastAsia="Arial"/>
                <w:b w:val="0"/>
                <w:color w:val="000000"/>
                <w:sz w:val="24"/>
              </w:rPr>
              <w:t>P-03</w:t>
            </w:r>
          </w:p>
        </w:tc>
        <w:tc>
          <w:tcPr>
            <w:tcW w:type="dxa" w:w="3930"/>
          </w:tcPr>
          <w:p>
            <w:pPr>
              <w:spacing w:after="0"/>
            </w:pPr>
            <w:r>
              <w:rPr>
                <w:rFonts w:ascii="Arial" w:hAnsi="Arial" w:eastAsia="Arial"/>
                <w:b w:val="0"/>
                <w:color w:val="000000"/>
                <w:sz w:val="24"/>
              </w:rPr>
              <w:t>El 201 se envía solo después del commit de la transacción que creó el pedido</w:t>
            </w:r>
          </w:p>
        </w:tc>
        <w:tc>
          <w:tcPr>
            <w:tcW w:type="dxa" w:w="4032"/>
          </w:tcPr>
          <w:p>
            <w:pPr>
              <w:spacing w:after="0"/>
            </w:pPr>
            <w:r>
              <w:rPr>
                <w:rFonts w:ascii="Arial" w:hAnsi="Arial" w:eastAsia="Arial"/>
                <w:b w:val="0"/>
                <w:color w:val="000000"/>
                <w:sz w:val="24"/>
              </w:rPr>
              <w:t>ConfirmOrderCommitOrderingIT</w:t>
            </w:r>
            <w:r>
              <w:rPr>
                <w:rFonts w:ascii="Arial" w:hAnsi="Arial" w:eastAsia="Arial"/>
                <w:b w:val="0"/>
                <w:color w:val="000000"/>
                <w:sz w:val="24"/>
              </w:rPr>
              <w:t xml:space="preserve">, </w:t>
            </w:r>
            <w:r>
              <w:rPr>
                <w:rFonts w:ascii="Arial" w:hAnsi="Arial" w:eastAsia="Arial"/>
                <w:b w:val="0"/>
                <w:color w:val="000000"/>
                <w:sz w:val="24"/>
              </w:rPr>
              <w:t>OrderReadYourWritesIT</w:t>
            </w:r>
          </w:p>
        </w:tc>
      </w:tr>
      <w:tr>
        <w:tc>
          <w:tcPr>
            <w:tcW w:type="dxa" w:w="1676"/>
          </w:tcPr>
          <w:p>
            <w:pPr>
              <w:spacing w:after="0"/>
            </w:pPr>
            <w:r>
              <w:rPr>
                <w:rFonts w:ascii="Arial" w:hAnsi="Arial" w:eastAsia="Arial"/>
                <w:b w:val="0"/>
                <w:color w:val="000000"/>
                <w:sz w:val="24"/>
              </w:rPr>
              <w:t>P-04</w:t>
            </w:r>
          </w:p>
        </w:tc>
        <w:tc>
          <w:tcPr>
            <w:tcW w:type="dxa" w:w="3930"/>
          </w:tcPr>
          <w:p>
            <w:pPr>
              <w:spacing w:after="0"/>
            </w:pPr>
            <w:r>
              <w:rPr>
                <w:rFonts w:ascii="Arial" w:hAnsi="Arial" w:eastAsia="Arial"/>
                <w:b w:val="0"/>
                <w:color w:val="000000"/>
                <w:sz w:val="24"/>
              </w:rPr>
              <w:t>Todo efecto externo pasa por el outbox, escrito en la transacción del pedido</w:t>
            </w:r>
          </w:p>
        </w:tc>
        <w:tc>
          <w:tcPr>
            <w:tcW w:type="dxa" w:w="4032"/>
          </w:tcPr>
          <w:p>
            <w:pPr>
              <w:spacing w:after="0"/>
            </w:pPr>
            <w:r>
              <w:rPr>
                <w:rFonts w:ascii="Arial" w:hAnsi="Arial" w:eastAsia="Arial"/>
                <w:b w:val="0"/>
                <w:color w:val="000000"/>
                <w:sz w:val="24"/>
              </w:rPr>
              <w:t>OutboxWriteIT</w:t>
            </w:r>
            <w:r>
              <w:rPr>
                <w:rFonts w:ascii="Arial" w:hAnsi="Arial" w:eastAsia="Arial"/>
                <w:b w:val="0"/>
                <w:color w:val="000000"/>
                <w:sz w:val="24"/>
              </w:rPr>
              <w:t xml:space="preserve">, </w:t>
            </w:r>
            <w:r>
              <w:rPr>
                <w:rFonts w:ascii="Arial" w:hAnsi="Arial" w:eastAsia="Arial"/>
                <w:b w:val="0"/>
                <w:color w:val="000000"/>
                <w:sz w:val="24"/>
              </w:rPr>
              <w:t>OutboxRelayIT</w:t>
            </w:r>
          </w:p>
        </w:tc>
      </w:tr>
      <w:tr>
        <w:tc>
          <w:tcPr>
            <w:tcW w:type="dxa" w:w="1676"/>
          </w:tcPr>
          <w:p>
            <w:pPr>
              <w:spacing w:after="0"/>
            </w:pPr>
            <w:r>
              <w:rPr>
                <w:rFonts w:ascii="Arial" w:hAnsi="Arial" w:eastAsia="Arial"/>
                <w:b w:val="0"/>
                <w:color w:val="000000"/>
                <w:sz w:val="24"/>
              </w:rPr>
              <w:t>P-05</w:t>
            </w:r>
          </w:p>
        </w:tc>
        <w:tc>
          <w:tcPr>
            <w:tcW w:type="dxa" w:w="3930"/>
          </w:tcPr>
          <w:p>
            <w:pPr>
              <w:spacing w:after="0"/>
            </w:pPr>
            <w:r>
              <w:rPr>
                <w:rFonts w:ascii="Arial" w:hAnsi="Arial" w:eastAsia="Arial"/>
                <w:b w:val="0"/>
                <w:color w:val="000000"/>
                <w:sz w:val="24"/>
              </w:rPr>
              <w:t>Ninguna llamada remota dentro de una transacción de base de datos</w:t>
            </w:r>
          </w:p>
        </w:tc>
        <w:tc>
          <w:tcPr>
            <w:tcW w:type="dxa" w:w="4032"/>
          </w:tcPr>
          <w:p>
            <w:pPr>
              <w:spacing w:after="0"/>
            </w:pPr>
            <w:r>
              <w:rPr>
                <w:rFonts w:ascii="Arial" w:hAnsi="Arial" w:eastAsia="Arial"/>
                <w:b w:val="0"/>
                <w:color w:val="000000"/>
                <w:sz w:val="24"/>
              </w:rPr>
              <w:t>TransactionBoundaryArchTest</w:t>
            </w:r>
          </w:p>
        </w:tc>
      </w:tr>
      <w:tr>
        <w:tc>
          <w:tcPr>
            <w:tcW w:type="dxa" w:w="1676"/>
          </w:tcPr>
          <w:p>
            <w:pPr>
              <w:spacing w:after="0"/>
            </w:pPr>
            <w:r>
              <w:rPr>
                <w:rFonts w:ascii="Arial" w:hAnsi="Arial" w:eastAsia="Arial"/>
                <w:b w:val="0"/>
                <w:color w:val="000000"/>
                <w:sz w:val="24"/>
              </w:rPr>
              <w:t>P-06</w:t>
            </w:r>
          </w:p>
        </w:tc>
        <w:tc>
          <w:tcPr>
            <w:tcW w:type="dxa" w:w="3930"/>
          </w:tcPr>
          <w:p>
            <w:pPr>
              <w:spacing w:after="0"/>
            </w:pPr>
            <w:r>
              <w:rPr>
                <w:rFonts w:ascii="Arial" w:hAnsi="Arial" w:eastAsia="Arial"/>
                <w:b w:val="0"/>
                <w:color w:val="000000"/>
                <w:sz w:val="24"/>
              </w:rPr>
              <w:t>El dominio de precios es puro: sin Spring, JDBC, HTTP ni reloj</w:t>
            </w:r>
          </w:p>
        </w:tc>
        <w:tc>
          <w:tcPr>
            <w:tcW w:type="dxa" w:w="4032"/>
          </w:tcPr>
          <w:p>
            <w:pPr>
              <w:spacing w:after="0"/>
            </w:pPr>
            <w:r>
              <w:rPr>
                <w:rFonts w:ascii="Arial" w:hAnsi="Arial" w:eastAsia="Arial"/>
                <w:b w:val="0"/>
                <w:color w:val="000000"/>
                <w:sz w:val="24"/>
              </w:rPr>
              <w:t>DomainPurityArchTest</w:t>
            </w:r>
            <w:r>
              <w:rPr>
                <w:rFonts w:ascii="Arial" w:hAnsi="Arial" w:eastAsia="Arial"/>
                <w:b w:val="0"/>
                <w:color w:val="000000"/>
                <w:sz w:val="24"/>
              </w:rPr>
              <w:t>, los golden tests</w:t>
            </w:r>
          </w:p>
        </w:tc>
      </w:tr>
      <w:tr>
        <w:tc>
          <w:tcPr>
            <w:tcW w:type="dxa" w:w="1676"/>
          </w:tcPr>
          <w:p>
            <w:pPr>
              <w:spacing w:after="0"/>
            </w:pPr>
            <w:r>
              <w:rPr>
                <w:rFonts w:ascii="Arial" w:hAnsi="Arial" w:eastAsia="Arial"/>
                <w:b w:val="0"/>
                <w:color w:val="000000"/>
                <w:sz w:val="24"/>
              </w:rPr>
              <w:t>P-07</w:t>
            </w:r>
          </w:p>
        </w:tc>
        <w:tc>
          <w:tcPr>
            <w:tcW w:type="dxa" w:w="3930"/>
          </w:tcPr>
          <w:p>
            <w:pPr>
              <w:spacing w:after="0"/>
            </w:pPr>
            <w:r>
              <w:rPr>
                <w:rFonts w:ascii="Arial" w:hAnsi="Arial" w:eastAsia="Arial"/>
                <w:b w:val="0"/>
                <w:color w:val="000000"/>
                <w:sz w:val="24"/>
              </w:rPr>
              <w:t>Ningún dato de país en el código</w:t>
            </w:r>
          </w:p>
        </w:tc>
        <w:tc>
          <w:tcPr>
            <w:tcW w:type="dxa" w:w="4032"/>
          </w:tcPr>
          <w:p>
            <w:pPr>
              <w:spacing w:after="0"/>
            </w:pPr>
            <w:r>
              <w:rPr>
                <w:rFonts w:ascii="Arial" w:hAnsi="Arial" w:eastAsia="Arial"/>
                <w:b w:val="0"/>
                <w:color w:val="000000"/>
                <w:sz w:val="24"/>
              </w:rPr>
              <w:t>GoldenPricingTest#multiCountry</w:t>
            </w:r>
            <w:r>
              <w:rPr>
                <w:rFonts w:ascii="Arial" w:hAnsi="Arial" w:eastAsia="Arial"/>
                <w:b w:val="0"/>
                <w:color w:val="000000"/>
                <w:sz w:val="24"/>
              </w:rPr>
              <w:t>, datos semilla de Liquibase</w:t>
            </w:r>
          </w:p>
        </w:tc>
      </w:tr>
      <w:tr>
        <w:tc>
          <w:tcPr>
            <w:tcW w:type="dxa" w:w="1676"/>
          </w:tcPr>
          <w:p>
            <w:pPr>
              <w:spacing w:after="0"/>
            </w:pPr>
            <w:r>
              <w:rPr>
                <w:rFonts w:ascii="Arial" w:hAnsi="Arial" w:eastAsia="Arial"/>
                <w:b w:val="0"/>
                <w:color w:val="000000"/>
                <w:sz w:val="24"/>
              </w:rPr>
              <w:t>P-08</w:t>
            </w:r>
          </w:p>
        </w:tc>
        <w:tc>
          <w:tcPr>
            <w:tcW w:type="dxa" w:w="3930"/>
          </w:tcPr>
          <w:p>
            <w:pPr>
              <w:spacing w:after="0"/>
            </w:pPr>
            <w:r>
              <w:rPr>
                <w:rFonts w:ascii="Arial" w:hAnsi="Arial" w:eastAsia="Arial"/>
                <w:b w:val="0"/>
                <w:color w:val="000000"/>
                <w:sz w:val="24"/>
              </w:rPr>
              <w:t>Toda regla de negocio tiene una prueba que se vio fallar</w:t>
            </w:r>
          </w:p>
        </w:tc>
        <w:tc>
          <w:tcPr>
            <w:tcW w:type="dxa" w:w="4032"/>
          </w:tcPr>
          <w:p>
            <w:pPr>
              <w:spacing w:after="0"/>
            </w:pPr>
            <w:r>
              <w:rPr>
                <w:rFonts w:ascii="Arial" w:hAnsi="Arial" w:eastAsia="Arial"/>
                <w:b w:val="0"/>
                <w:color w:val="000000"/>
                <w:sz w:val="24"/>
              </w:rPr>
              <w:t>El ciclo de cada tarea (§10), puntaje de PIT de al menos 80%</w:t>
            </w:r>
          </w:p>
        </w:tc>
      </w:tr>
      <w:tr>
        <w:tc>
          <w:tcPr>
            <w:tcW w:type="dxa" w:w="1676"/>
          </w:tcPr>
          <w:p>
            <w:pPr>
              <w:spacing w:after="0"/>
            </w:pPr>
            <w:r>
              <w:rPr>
                <w:rFonts w:ascii="Arial" w:hAnsi="Arial" w:eastAsia="Arial"/>
                <w:b w:val="0"/>
                <w:color w:val="000000"/>
                <w:sz w:val="24"/>
              </w:rPr>
              <w:t>P-12</w:t>
            </w:r>
          </w:p>
        </w:tc>
        <w:tc>
          <w:tcPr>
            <w:tcW w:type="dxa" w:w="3930"/>
          </w:tcPr>
          <w:p>
            <w:pPr>
              <w:spacing w:after="0"/>
            </w:pPr>
            <w:r>
              <w:rPr>
                <w:rFonts w:ascii="Arial" w:hAnsi="Arial" w:eastAsia="Arial"/>
                <w:b w:val="0"/>
                <w:color w:val="000000"/>
                <w:sz w:val="24"/>
              </w:rPr>
              <w:t>Ninguna afirmación sin evidencia</w:t>
            </w:r>
          </w:p>
        </w:tc>
        <w:tc>
          <w:tcPr>
            <w:tcW w:type="dxa" w:w="4032"/>
          </w:tcPr>
          <w:p>
            <w:pPr>
              <w:spacing w:after="0"/>
            </w:pPr>
            <w:r>
              <w:rPr>
                <w:rFonts w:ascii="Arial" w:hAnsi="Arial" w:eastAsia="Arial"/>
                <w:b w:val="0"/>
                <w:color w:val="000000"/>
                <w:sz w:val="24"/>
              </w:rPr>
              <w:t>HANDOFF.md</w:t>
            </w:r>
            <w:r>
              <w:rPr>
                <w:rFonts w:ascii="Arial" w:hAnsi="Arial" w:eastAsia="Arial"/>
                <w:b w:val="0"/>
                <w:color w:val="000000"/>
                <w:sz w:val="24"/>
              </w:rPr>
              <w:t xml:space="preserve"> §3</w:t>
            </w:r>
          </w:p>
        </w:tc>
      </w:tr>
      <w:tr>
        <w:tc>
          <w:tcPr>
            <w:tcW w:type="dxa" w:w="1676"/>
          </w:tcPr>
          <w:p>
            <w:pPr>
              <w:spacing w:after="0"/>
            </w:pPr>
            <w:r>
              <w:rPr>
                <w:rFonts w:ascii="Arial" w:hAnsi="Arial" w:eastAsia="Arial"/>
                <w:b w:val="0"/>
                <w:color w:val="000000"/>
                <w:sz w:val="24"/>
              </w:rPr>
              <w:t>P-15</w:t>
            </w:r>
          </w:p>
        </w:tc>
        <w:tc>
          <w:tcPr>
            <w:tcW w:type="dxa" w:w="3930"/>
          </w:tcPr>
          <w:p>
            <w:pPr>
              <w:spacing w:after="0"/>
            </w:pPr>
            <w:r>
              <w:rPr>
                <w:rFonts w:ascii="Arial" w:hAnsi="Arial" w:eastAsia="Arial"/>
                <w:b w:val="0"/>
                <w:color w:val="000000"/>
                <w:sz w:val="24"/>
              </w:rPr>
              <w:t xml:space="preserve">Un alcance menor nunca baja el estándar: ni </w:t>
            </w:r>
            <w:r>
              <w:rPr>
                <w:rFonts w:ascii="Arial" w:hAnsi="Arial" w:eastAsia="Arial"/>
                <w:b w:val="0"/>
                <w:color w:val="000000"/>
                <w:sz w:val="24"/>
              </w:rPr>
              <w:t>TODO</w:t>
            </w:r>
            <w:r>
              <w:rPr>
                <w:rFonts w:ascii="Arial" w:hAnsi="Arial" w:eastAsia="Arial"/>
                <w:b w:val="0"/>
                <w:color w:val="000000"/>
                <w:sz w:val="24"/>
              </w:rPr>
              <w:t>, ni marcadores provisionales, ni código muerto</w:t>
            </w:r>
          </w:p>
        </w:tc>
        <w:tc>
          <w:tcPr>
            <w:tcW w:type="dxa" w:w="4032"/>
          </w:tcPr>
          <w:p>
            <w:pPr>
              <w:spacing w:after="0"/>
            </w:pPr>
            <w:r>
              <w:rPr>
                <w:rFonts w:ascii="Arial" w:hAnsi="Arial" w:eastAsia="Arial"/>
                <w:b w:val="0"/>
                <w:color w:val="000000"/>
                <w:sz w:val="24"/>
              </w:rPr>
              <w:t>check-docs</w:t>
            </w:r>
            <w:r>
              <w:rPr>
                <w:rFonts w:ascii="Arial" w:hAnsi="Arial" w:eastAsia="Arial"/>
                <w:b w:val="0"/>
                <w:color w:val="000000"/>
                <w:sz w:val="24"/>
              </w:rPr>
              <w:t>, revisión</w:t>
            </w:r>
          </w:p>
        </w:tc>
      </w:tr>
    </w:tbl>
    <w:p>
      <w:pPr>
        <w:spacing w:before="120"/>
      </w:pPr>
      <w:r>
        <w:rPr>
          <w:rFonts w:ascii="Arial" w:hAnsi="Arial" w:eastAsia="Arial"/>
          <w:b w:val="0"/>
          <w:color w:val="000000"/>
          <w:sz w:val="24"/>
        </w:rPr>
        <w:t>Los demás artículos fijan la división de idiomas (inglés para ingeniería, español por defecto para los usuarios), los documentos de entrega bilingües, la documentación gobernada, los comentarios que explican el porqué y los README de cada repositorio, que responden cinco preguntas.</w:t>
      </w:r>
    </w:p>
    <w:p>
      <w:pPr>
        <w:pStyle w:val="Heading3"/>
        <w:keepNext/>
        <w:spacing w:before="160" w:after="80"/>
      </w:pPr>
      <w:r>
        <w:rPr>
          <w:rFonts w:ascii="Arial" w:hAnsi="Arial" w:eastAsia="Arial"/>
          <w:b/>
          <w:color w:val="000000"/>
          <w:sz w:val="24"/>
        </w:rPr>
        <w:t>3.2 SPEC, reglas de negocio y criterios de aceptación</w:t>
      </w:r>
    </w:p>
    <w:p>
      <w:r>
        <w:rPr>
          <w:rFonts w:ascii="Arial" w:hAnsi="Arial" w:eastAsia="Arial"/>
          <w:b w:val="0"/>
          <w:color w:val="000000"/>
          <w:sz w:val="24"/>
        </w:rPr>
        <w:t>orderflow-engine-docs/spec/SPEC.md</w:t>
      </w:r>
      <w:r>
        <w:rPr>
          <w:rFonts w:ascii="Arial" w:hAnsi="Arial" w:eastAsia="Arial"/>
          <w:b w:val="0"/>
          <w:color w:val="000000"/>
          <w:sz w:val="24"/>
        </w:rPr>
        <w:t xml:space="preserve"> abre con cuatro garantías, cada una con su mecanismo: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45"/>
        <w:gridCol w:w="4101"/>
        <w:gridCol w:w="4792"/>
      </w:tblGrid>
      <w:tr>
        <w:tc>
          <w:tcPr>
            <w:tcW w:type="dxa" w:w="745"/>
          </w:tcPr>
          <w:p>
            <w:pPr>
              <w:spacing w:after="0"/>
            </w:pPr>
            <w:r>
              <w:rPr>
                <w:rFonts w:ascii="Arial" w:hAnsi="Arial" w:eastAsia="Arial"/>
                <w:b/>
                <w:color w:val="000000"/>
                <w:sz w:val="24"/>
              </w:rPr>
              <w:t>#</w:t>
            </w:r>
          </w:p>
        </w:tc>
        <w:tc>
          <w:tcPr>
            <w:tcW w:type="dxa" w:w="4101"/>
          </w:tcPr>
          <w:p>
            <w:pPr>
              <w:spacing w:after="0"/>
            </w:pPr>
            <w:r>
              <w:rPr>
                <w:rFonts w:ascii="Arial" w:hAnsi="Arial" w:eastAsia="Arial"/>
                <w:b/>
                <w:color w:val="000000"/>
                <w:sz w:val="24"/>
              </w:rPr>
              <w:t>Garantía</w:t>
            </w:r>
          </w:p>
        </w:tc>
        <w:tc>
          <w:tcPr>
            <w:tcW w:type="dxa" w:w="4792"/>
          </w:tcPr>
          <w:p>
            <w:pPr>
              <w:spacing w:after="0"/>
            </w:pPr>
            <w:r>
              <w:rPr>
                <w:rFonts w:ascii="Arial" w:hAnsi="Arial" w:eastAsia="Arial"/>
                <w:b/>
                <w:color w:val="000000"/>
                <w:sz w:val="24"/>
              </w:rPr>
              <w:t>Mecanismo</w:t>
            </w:r>
          </w:p>
        </w:tc>
      </w:tr>
      <w:tr>
        <w:tc>
          <w:tcPr>
            <w:tcW w:type="dxa" w:w="745"/>
          </w:tcPr>
          <w:p>
            <w:pPr>
              <w:spacing w:after="0"/>
            </w:pPr>
            <w:r>
              <w:rPr>
                <w:rFonts w:ascii="Arial" w:hAnsi="Arial" w:eastAsia="Arial"/>
                <w:b w:val="0"/>
                <w:color w:val="000000"/>
                <w:sz w:val="24"/>
              </w:rPr>
              <w:t>G-1</w:t>
            </w:r>
          </w:p>
        </w:tc>
        <w:tc>
          <w:tcPr>
            <w:tcW w:type="dxa" w:w="4101"/>
          </w:tcPr>
          <w:p>
            <w:pPr>
              <w:spacing w:after="0"/>
            </w:pPr>
            <w:r>
              <w:rPr>
                <w:rFonts w:ascii="Arial" w:hAnsi="Arial" w:eastAsia="Arial"/>
                <w:b w:val="0"/>
                <w:color w:val="000000"/>
                <w:sz w:val="24"/>
              </w:rPr>
              <w:t>El total cotizado es el total confirmado</w:t>
            </w:r>
          </w:p>
        </w:tc>
        <w:tc>
          <w:tcPr>
            <w:tcW w:type="dxa" w:w="4792"/>
          </w:tcPr>
          <w:p>
            <w:pPr>
              <w:spacing w:after="0"/>
            </w:pPr>
            <w:r>
              <w:rPr>
                <w:rFonts w:ascii="Arial" w:hAnsi="Arial" w:eastAsia="Arial"/>
                <w:b w:val="0"/>
                <w:color w:val="000000"/>
                <w:sz w:val="24"/>
              </w:rPr>
              <w:t>Una cotización sellada, de solo inserción. El pedido la referencia y no guarda montos</w:t>
            </w:r>
          </w:p>
        </w:tc>
      </w:tr>
      <w:tr>
        <w:tc>
          <w:tcPr>
            <w:tcW w:type="dxa" w:w="745"/>
          </w:tcPr>
          <w:p>
            <w:pPr>
              <w:spacing w:after="0"/>
            </w:pPr>
            <w:r>
              <w:rPr>
                <w:rFonts w:ascii="Arial" w:hAnsi="Arial" w:eastAsia="Arial"/>
                <w:b w:val="0"/>
                <w:color w:val="000000"/>
                <w:sz w:val="24"/>
              </w:rPr>
              <w:t>G-2</w:t>
            </w:r>
          </w:p>
        </w:tc>
        <w:tc>
          <w:tcPr>
            <w:tcW w:type="dxa" w:w="4101"/>
          </w:tcPr>
          <w:p>
            <w:pPr>
              <w:spacing w:after="0"/>
            </w:pPr>
            <w:r>
              <w:rPr>
                <w:rFonts w:ascii="Arial" w:hAnsi="Arial" w:eastAsia="Arial"/>
                <w:b w:val="0"/>
                <w:color w:val="000000"/>
                <w:sz w:val="24"/>
              </w:rPr>
              <w:t>Nada de punto flotante para dinero</w:t>
            </w:r>
          </w:p>
        </w:tc>
        <w:tc>
          <w:tcPr>
            <w:tcW w:type="dxa" w:w="4792"/>
          </w:tcPr>
          <w:p>
            <w:pPr>
              <w:spacing w:after="0"/>
            </w:pPr>
            <w:r>
              <w:rPr>
                <w:rFonts w:ascii="Arial" w:hAnsi="Arial" w:eastAsia="Arial"/>
                <w:b w:val="0"/>
                <w:color w:val="000000"/>
                <w:sz w:val="24"/>
              </w:rPr>
              <w:t xml:space="preserve">Un value object con </w:t>
            </w:r>
            <w:r>
              <w:rPr>
                <w:rFonts w:ascii="Arial" w:hAnsi="Arial" w:eastAsia="Arial"/>
                <w:b w:val="0"/>
                <w:color w:val="000000"/>
                <w:sz w:val="24"/>
              </w:rPr>
              <w:t>BigDecimal</w:t>
            </w:r>
            <w:r>
              <w:rPr>
                <w:rFonts w:ascii="Arial" w:hAnsi="Arial" w:eastAsia="Arial"/>
                <w:b w:val="0"/>
                <w:color w:val="000000"/>
                <w:sz w:val="24"/>
              </w:rPr>
              <w:t>, escala y redondeo tomados de los datos del país, redondeo por línea</w:t>
            </w:r>
          </w:p>
        </w:tc>
      </w:tr>
      <w:tr>
        <w:tc>
          <w:tcPr>
            <w:tcW w:type="dxa" w:w="745"/>
          </w:tcPr>
          <w:p>
            <w:pPr>
              <w:spacing w:after="0"/>
            </w:pPr>
            <w:r>
              <w:rPr>
                <w:rFonts w:ascii="Arial" w:hAnsi="Arial" w:eastAsia="Arial"/>
                <w:b w:val="0"/>
                <w:color w:val="000000"/>
                <w:sz w:val="24"/>
              </w:rPr>
              <w:t>G-3</w:t>
            </w:r>
          </w:p>
        </w:tc>
        <w:tc>
          <w:tcPr>
            <w:tcW w:type="dxa" w:w="4101"/>
          </w:tcPr>
          <w:p>
            <w:pPr>
              <w:spacing w:after="0"/>
            </w:pPr>
            <w:r>
              <w:rPr>
                <w:rFonts w:ascii="Arial" w:hAnsi="Arial" w:eastAsia="Arial"/>
                <w:b w:val="0"/>
                <w:color w:val="000000"/>
                <w:sz w:val="24"/>
              </w:rPr>
              <w:t>Un 201 significa que el pedido existe; los reintentos nunca lo duplican ni consumen el cupo dos veces</w:t>
            </w:r>
          </w:p>
        </w:tc>
        <w:tc>
          <w:tcPr>
            <w:tcW w:type="dxa" w:w="4792"/>
          </w:tcPr>
          <w:p>
            <w:pPr>
              <w:spacing w:after="0"/>
            </w:pPr>
            <w:r>
              <w:rPr>
                <w:rFonts w:ascii="Arial" w:hAnsi="Arial" w:eastAsia="Arial"/>
                <w:b w:val="0"/>
                <w:color w:val="000000"/>
                <w:sz w:val="24"/>
              </w:rPr>
              <w:t>Pedido, cupo, clave de idempotencia y outbox en una sola transacción ACID, y la respuesta después del commit</w:t>
            </w:r>
          </w:p>
        </w:tc>
      </w:tr>
      <w:tr>
        <w:tc>
          <w:tcPr>
            <w:tcW w:type="dxa" w:w="745"/>
          </w:tcPr>
          <w:p>
            <w:pPr>
              <w:spacing w:after="0"/>
            </w:pPr>
            <w:r>
              <w:rPr>
                <w:rFonts w:ascii="Arial" w:hAnsi="Arial" w:eastAsia="Arial"/>
                <w:b w:val="0"/>
                <w:color w:val="000000"/>
                <w:sz w:val="24"/>
              </w:rPr>
              <w:t>G-4</w:t>
            </w:r>
          </w:p>
        </w:tc>
        <w:tc>
          <w:tcPr>
            <w:tcW w:type="dxa" w:w="4101"/>
          </w:tcPr>
          <w:p>
            <w:pPr>
              <w:spacing w:after="0"/>
            </w:pPr>
            <w:r>
              <w:rPr>
                <w:rFonts w:ascii="Arial" w:hAnsi="Arial" w:eastAsia="Arial"/>
                <w:b w:val="0"/>
                <w:color w:val="000000"/>
                <w:sz w:val="24"/>
              </w:rPr>
              <w:t>Los efectos en push y ERP nunca se pierden ni se aplican dos veces</w:t>
            </w:r>
          </w:p>
        </w:tc>
        <w:tc>
          <w:tcPr>
            <w:tcW w:type="dxa" w:w="4792"/>
          </w:tcPr>
          <w:p>
            <w:pPr>
              <w:spacing w:after="0"/>
            </w:pPr>
            <w:r>
              <w:rPr>
                <w:rFonts w:ascii="Arial" w:hAnsi="Arial" w:eastAsia="Arial"/>
                <w:b w:val="0"/>
                <w:color w:val="000000"/>
                <w:sz w:val="24"/>
              </w:rPr>
              <w:t xml:space="preserve">Outbox transaccional, relay con lease y reintentos, y consumidores que deduplican por </w:t>
            </w:r>
            <w:r>
              <w:rPr>
                <w:rFonts w:ascii="Arial" w:hAnsi="Arial" w:eastAsia="Arial"/>
                <w:b w:val="0"/>
                <w:color w:val="000000"/>
                <w:sz w:val="24"/>
              </w:rPr>
              <w:t>event_id</w:t>
            </w:r>
          </w:p>
        </w:tc>
      </w:tr>
    </w:tbl>
    <w:p>
      <w:pPr>
        <w:spacing w:before="120"/>
      </w:pPr>
      <w:r>
        <w:rPr>
          <w:rFonts w:ascii="Arial" w:hAnsi="Arial" w:eastAsia="Arial"/>
          <w:b w:val="0"/>
          <w:color w:val="000000"/>
          <w:sz w:val="24"/>
        </w:rPr>
        <w:t>Después vienen el alcance (§1, con una tabla explícita de lo que entra y lo que no), el glosario y las reglas de negocio: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4"/>
        <w:gridCol w:w="8484"/>
      </w:tblGrid>
      <w:tr>
        <w:tc>
          <w:tcPr>
            <w:tcW w:type="dxa" w:w="1154"/>
          </w:tcPr>
          <w:p>
            <w:pPr>
              <w:spacing w:after="0"/>
            </w:pPr>
            <w:r>
              <w:rPr>
                <w:rFonts w:ascii="Arial" w:hAnsi="Arial" w:eastAsia="Arial"/>
                <w:b/>
                <w:color w:val="000000"/>
                <w:sz w:val="24"/>
              </w:rPr>
              <w:t>Regla</w:t>
            </w:r>
          </w:p>
        </w:tc>
        <w:tc>
          <w:tcPr>
            <w:tcW w:type="dxa" w:w="8484"/>
          </w:tcPr>
          <w:p>
            <w:pPr>
              <w:spacing w:after="0"/>
            </w:pPr>
            <w:r>
              <w:rPr>
                <w:rFonts w:ascii="Arial" w:hAnsi="Arial" w:eastAsia="Arial"/>
                <w:b/>
                <w:color w:val="000000"/>
                <w:sz w:val="24"/>
              </w:rPr>
              <w:t>Tema</w:t>
            </w:r>
          </w:p>
        </w:tc>
      </w:tr>
      <w:tr>
        <w:tc>
          <w:tcPr>
            <w:tcW w:type="dxa" w:w="1154"/>
          </w:tcPr>
          <w:p>
            <w:pPr>
              <w:spacing w:after="0"/>
            </w:pPr>
            <w:r>
              <w:rPr>
                <w:rFonts w:ascii="Arial" w:hAnsi="Arial" w:eastAsia="Arial"/>
                <w:b w:val="0"/>
                <w:color w:val="000000"/>
                <w:sz w:val="24"/>
              </w:rPr>
              <w:t>BR-00</w:t>
            </w:r>
          </w:p>
        </w:tc>
        <w:tc>
          <w:tcPr>
            <w:tcW w:type="dxa" w:w="8484"/>
          </w:tcPr>
          <w:p>
            <w:pPr>
              <w:spacing w:after="0"/>
            </w:pPr>
            <w:r>
              <w:rPr>
                <w:rFonts w:ascii="Arial" w:hAnsi="Arial" w:eastAsia="Arial"/>
                <w:b w:val="0"/>
                <w:color w:val="000000"/>
                <w:sz w:val="24"/>
              </w:rPr>
              <w:t>Normalización del carrito: unir SKU repetidos, ordenar por SKU, rechazar cantidades inválidas, carritos vacíos y SKU desconocidos</w:t>
            </w:r>
          </w:p>
        </w:tc>
      </w:tr>
      <w:tr>
        <w:tc>
          <w:tcPr>
            <w:tcW w:type="dxa" w:w="1154"/>
          </w:tcPr>
          <w:p>
            <w:pPr>
              <w:spacing w:after="0"/>
            </w:pPr>
            <w:r>
              <w:rPr>
                <w:rFonts w:ascii="Arial" w:hAnsi="Arial" w:eastAsia="Arial"/>
                <w:b w:val="0"/>
                <w:color w:val="000000"/>
                <w:sz w:val="24"/>
              </w:rPr>
              <w:t>BR-01</w:t>
            </w:r>
          </w:p>
        </w:tc>
        <w:tc>
          <w:tcPr>
            <w:tcW w:type="dxa" w:w="8484"/>
          </w:tcPr>
          <w:p>
            <w:pPr>
              <w:spacing w:after="0"/>
            </w:pPr>
            <w:r>
              <w:rPr>
                <w:rFonts w:ascii="Arial" w:hAnsi="Arial" w:eastAsia="Arial"/>
                <w:b w:val="0"/>
                <w:color w:val="000000"/>
                <w:sz w:val="24"/>
              </w:rPr>
              <w:t>El orden en que se aplican las palancas, con la razón de cada paso</w:t>
            </w:r>
          </w:p>
        </w:tc>
      </w:tr>
      <w:tr>
        <w:tc>
          <w:tcPr>
            <w:tcW w:type="dxa" w:w="1154"/>
          </w:tcPr>
          <w:p>
            <w:pPr>
              <w:spacing w:after="0"/>
            </w:pPr>
            <w:r>
              <w:rPr>
                <w:rFonts w:ascii="Arial" w:hAnsi="Arial" w:eastAsia="Arial"/>
                <w:b w:val="0"/>
                <w:color w:val="000000"/>
                <w:sz w:val="24"/>
              </w:rPr>
              <w:t>BR-02</w:t>
            </w:r>
          </w:p>
        </w:tc>
        <w:tc>
          <w:tcPr>
            <w:tcW w:type="dxa" w:w="8484"/>
          </w:tcPr>
          <w:p>
            <w:pPr>
              <w:spacing w:after="0"/>
            </w:pPr>
            <w:r>
              <w:rPr>
                <w:rFonts w:ascii="Arial" w:hAnsi="Arial" w:eastAsia="Arial"/>
                <w:b w:val="0"/>
                <w:color w:val="000000"/>
                <w:sz w:val="24"/>
              </w:rPr>
              <w:t>Descuento por escala: tramos marginales, redondeo una vez por línea, la regla por SKU por encima de la regla por familia</w:t>
            </w:r>
          </w:p>
        </w:tc>
      </w:tr>
      <w:tr>
        <w:tc>
          <w:tcPr>
            <w:tcW w:type="dxa" w:w="1154"/>
          </w:tcPr>
          <w:p>
            <w:pPr>
              <w:spacing w:after="0"/>
            </w:pPr>
            <w:r>
              <w:rPr>
                <w:rFonts w:ascii="Arial" w:hAnsi="Arial" w:eastAsia="Arial"/>
                <w:b w:val="0"/>
                <w:color w:val="000000"/>
                <w:sz w:val="24"/>
              </w:rPr>
              <w:t>BR-03</w:t>
            </w:r>
          </w:p>
        </w:tc>
        <w:tc>
          <w:tcPr>
            <w:tcW w:type="dxa" w:w="8484"/>
          </w:tcPr>
          <w:p>
            <w:pPr>
              <w:spacing w:after="0"/>
            </w:pPr>
            <w:r>
              <w:rPr>
                <w:rFonts w:ascii="Arial" w:hAnsi="Arial" w:eastAsia="Arial"/>
                <w:b w:val="0"/>
                <w:color w:val="000000"/>
                <w:sz w:val="24"/>
              </w:rPr>
              <w:t>Combos: aplicaciones, descuento, una entrada por combo, asignación por mayor residuo</w:t>
            </w:r>
          </w:p>
        </w:tc>
      </w:tr>
      <w:tr>
        <w:tc>
          <w:tcPr>
            <w:tcW w:type="dxa" w:w="1154"/>
          </w:tcPr>
          <w:p>
            <w:pPr>
              <w:spacing w:after="0"/>
            </w:pPr>
            <w:r>
              <w:rPr>
                <w:rFonts w:ascii="Arial" w:hAnsi="Arial" w:eastAsia="Arial"/>
                <w:b w:val="0"/>
                <w:color w:val="000000"/>
                <w:sz w:val="24"/>
              </w:rPr>
              <w:t>BR-04</w:t>
            </w:r>
          </w:p>
        </w:tc>
        <w:tc>
          <w:tcPr>
            <w:tcW w:type="dxa" w:w="8484"/>
          </w:tcPr>
          <w:p>
            <w:pPr>
              <w:spacing w:after="0"/>
            </w:pPr>
            <w:r>
              <w:rPr>
                <w:rFonts w:ascii="Arial" w:hAnsi="Arial" w:eastAsia="Arial"/>
                <w:b w:val="0"/>
                <w:color w:val="000000"/>
                <w:sz w:val="24"/>
              </w:rPr>
              <w:t>Obsequios: condición, línea de obsequio aparte, valor de referencia, política tributaria del país</w:t>
            </w:r>
          </w:p>
        </w:tc>
      </w:tr>
      <w:tr>
        <w:tc>
          <w:tcPr>
            <w:tcW w:type="dxa" w:w="1154"/>
          </w:tcPr>
          <w:p>
            <w:pPr>
              <w:spacing w:after="0"/>
            </w:pPr>
            <w:r>
              <w:rPr>
                <w:rFonts w:ascii="Arial" w:hAnsi="Arial" w:eastAsia="Arial"/>
                <w:b w:val="0"/>
                <w:color w:val="000000"/>
                <w:sz w:val="24"/>
              </w:rPr>
              <w:t>BR-05</w:t>
            </w:r>
          </w:p>
        </w:tc>
        <w:tc>
          <w:tcPr>
            <w:tcW w:type="dxa" w:w="8484"/>
          </w:tcPr>
          <w:p>
            <w:pPr>
              <w:spacing w:after="0"/>
            </w:pPr>
            <w:r>
              <w:rPr>
                <w:rFonts w:ascii="Arial" w:hAnsi="Arial" w:eastAsia="Arial"/>
                <w:b w:val="0"/>
                <w:color w:val="000000"/>
                <w:sz w:val="24"/>
              </w:rPr>
              <w:t>Impuesto por línea y las identidades de totales que todo desglose debe cumplir</w:t>
            </w:r>
          </w:p>
        </w:tc>
      </w:tr>
      <w:tr>
        <w:tc>
          <w:tcPr>
            <w:tcW w:type="dxa" w:w="1154"/>
          </w:tcPr>
          <w:p>
            <w:pPr>
              <w:spacing w:after="0"/>
            </w:pPr>
            <w:r>
              <w:rPr>
                <w:rFonts w:ascii="Arial" w:hAnsi="Arial" w:eastAsia="Arial"/>
                <w:b w:val="0"/>
                <w:color w:val="000000"/>
                <w:sz w:val="24"/>
              </w:rPr>
              <w:t>BR-06</w:t>
            </w:r>
          </w:p>
        </w:tc>
        <w:tc>
          <w:tcPr>
            <w:tcW w:type="dxa" w:w="8484"/>
          </w:tcPr>
          <w:p>
            <w:pPr>
              <w:spacing w:after="0"/>
            </w:pPr>
            <w:r>
              <w:rPr>
                <w:rFonts w:ascii="Arial" w:hAnsi="Arial" w:eastAsia="Arial"/>
                <w:b w:val="0"/>
                <w:color w:val="000000"/>
                <w:sz w:val="24"/>
              </w:rPr>
              <w:t>Cupo de crédito: informativo al cotizar, consumo condicional al confirmar</w:t>
            </w:r>
          </w:p>
        </w:tc>
      </w:tr>
      <w:tr>
        <w:tc>
          <w:tcPr>
            <w:tcW w:type="dxa" w:w="1154"/>
          </w:tcPr>
          <w:p>
            <w:pPr>
              <w:spacing w:after="0"/>
            </w:pPr>
            <w:r>
              <w:rPr>
                <w:rFonts w:ascii="Arial" w:hAnsi="Arial" w:eastAsia="Arial"/>
                <w:b w:val="0"/>
                <w:color w:val="000000"/>
                <w:sz w:val="24"/>
              </w:rPr>
              <w:t>BR-07</w:t>
            </w:r>
          </w:p>
        </w:tc>
        <w:tc>
          <w:tcPr>
            <w:tcW w:type="dxa" w:w="8484"/>
          </w:tcPr>
          <w:p>
            <w:pPr>
              <w:spacing w:after="0"/>
            </w:pPr>
            <w:r>
              <w:rPr>
                <w:rFonts w:ascii="Arial" w:hAnsi="Arial" w:eastAsia="Arial"/>
                <w:b w:val="0"/>
                <w:color w:val="000000"/>
                <w:sz w:val="24"/>
              </w:rPr>
              <w:t xml:space="preserve">Ciclo de vida de la cotización: </w:t>
            </w:r>
            <w:r>
              <w:rPr>
                <w:rFonts w:ascii="Arial" w:hAnsi="Arial" w:eastAsia="Arial"/>
                <w:b w:val="0"/>
                <w:color w:val="000000"/>
                <w:sz w:val="24"/>
              </w:rPr>
              <w:t>OPEN</w:t>
            </w:r>
            <w:r>
              <w:rPr>
                <w:rFonts w:ascii="Arial" w:hAnsi="Arial" w:eastAsia="Arial"/>
                <w:b w:val="0"/>
                <w:color w:val="000000"/>
                <w:sz w:val="24"/>
              </w:rPr>
              <w:t xml:space="preserve">, </w:t>
            </w:r>
            <w:r>
              <w:rPr>
                <w:rFonts w:ascii="Arial" w:hAnsi="Arial" w:eastAsia="Arial"/>
                <w:b w:val="0"/>
                <w:color w:val="000000"/>
                <w:sz w:val="24"/>
              </w:rPr>
              <w:t>CONFIRMED</w:t>
            </w:r>
            <w:r>
              <w:rPr>
                <w:rFonts w:ascii="Arial" w:hAnsi="Arial" w:eastAsia="Arial"/>
                <w:b w:val="0"/>
                <w:color w:val="000000"/>
                <w:sz w:val="24"/>
              </w:rPr>
              <w:t xml:space="preserve">, </w:t>
            </w:r>
            <w:r>
              <w:rPr>
                <w:rFonts w:ascii="Arial" w:hAnsi="Arial" w:eastAsia="Arial"/>
                <w:b w:val="0"/>
                <w:color w:val="000000"/>
                <w:sz w:val="24"/>
              </w:rPr>
              <w:t>EXPIRED</w:t>
            </w:r>
            <w:r>
              <w:rPr>
                <w:rFonts w:ascii="Arial" w:hAnsi="Arial" w:eastAsia="Arial"/>
                <w:b w:val="0"/>
                <w:color w:val="000000"/>
                <w:sz w:val="24"/>
              </w:rPr>
              <w:t>, derivado y nunca guardado</w:t>
            </w:r>
          </w:p>
        </w:tc>
      </w:tr>
    </w:tbl>
    <w:p>
      <w:pPr>
        <w:spacing w:before="120"/>
      </w:pPr>
      <w:r>
        <w:rPr>
          <w:rFonts w:ascii="Arial" w:hAnsi="Arial" w:eastAsia="Arial"/>
          <w:b w:val="0"/>
          <w:color w:val="000000"/>
          <w:sz w:val="24"/>
        </w:rPr>
        <w:t>BR-02 y BR-03 traen ejemplos resueltos a mano antes de escribir código. Esos ejemplos se volvieron los fixtures de los golden tests 1 y 4, así que la especificación y las pruebas comparten las mismas cifras.</w:t>
      </w:r>
    </w:p>
    <w:p>
      <w:r>
        <w:rPr>
          <w:rFonts w:ascii="Arial" w:hAnsi="Arial" w:eastAsia="Arial"/>
          <w:b w:val="0"/>
          <w:color w:val="000000"/>
          <w:sz w:val="24"/>
        </w:rPr>
        <w:t>Los criterios de aceptación son 52 filas, de AC-01 a AC-53. AC-22 salió del alcance, y los ID nunca se renumeran. Cada fila nombra la regla a la que sirve, la tarea que la entrega y la clase de prueba que la demuestra.</w:t>
      </w:r>
    </w:p>
    <w:p>
      <w:pPr>
        <w:pStyle w:val="Heading3"/>
        <w:keepNext/>
        <w:spacing w:before="160" w:after="80"/>
      </w:pPr>
      <w:r>
        <w:rPr>
          <w:rFonts w:ascii="Arial" w:hAnsi="Arial" w:eastAsia="Arial"/>
          <w:b/>
          <w:color w:val="000000"/>
          <w:sz w:val="24"/>
        </w:rPr>
        <w:t>3.3 Trazabilidad</w:t>
      </w:r>
    </w:p>
    <w:p>
      <w:r>
        <w:rPr>
          <w:rFonts w:ascii="Arial" w:hAnsi="Arial" w:eastAsia="Arial"/>
          <w:b w:val="0"/>
          <w:color w:val="000000"/>
          <w:sz w:val="24"/>
        </w:rPr>
        <w:t>SPEC §14 enlaza el enunciado con el código en tres tablas: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07"/>
        <w:gridCol w:w="7131"/>
      </w:tblGrid>
      <w:tr>
        <w:tc>
          <w:tcPr>
            <w:tcW w:type="dxa" w:w="2507"/>
          </w:tcPr>
          <w:p>
            <w:pPr>
              <w:spacing w:after="0"/>
            </w:pPr>
            <w:r>
              <w:rPr>
                <w:rFonts w:ascii="Arial" w:hAnsi="Arial" w:eastAsia="Arial"/>
                <w:b/>
                <w:color w:val="000000"/>
                <w:sz w:val="24"/>
              </w:rPr>
              <w:t>Tabla</w:t>
            </w:r>
          </w:p>
        </w:tc>
        <w:tc>
          <w:tcPr>
            <w:tcW w:type="dxa" w:w="7131"/>
          </w:tcPr>
          <w:p>
            <w:pPr>
              <w:spacing w:after="0"/>
            </w:pPr>
            <w:r>
              <w:rPr>
                <w:rFonts w:ascii="Arial" w:hAnsi="Arial" w:eastAsia="Arial"/>
                <w:b/>
                <w:color w:val="000000"/>
                <w:sz w:val="24"/>
              </w:rPr>
              <w:t>Vínculo que mantiene</w:t>
            </w:r>
          </w:p>
        </w:tc>
      </w:tr>
      <w:tr>
        <w:tc>
          <w:tcPr>
            <w:tcW w:type="dxa" w:w="2507"/>
          </w:tcPr>
          <w:p>
            <w:pPr>
              <w:spacing w:after="0"/>
            </w:pPr>
            <w:r>
              <w:rPr>
                <w:rFonts w:ascii="Arial" w:hAnsi="Arial" w:eastAsia="Arial"/>
                <w:b w:val="0"/>
                <w:color w:val="000000"/>
                <w:sz w:val="24"/>
              </w:rPr>
              <w:t>§14.1 Cobertura del enunciado</w:t>
            </w:r>
          </w:p>
        </w:tc>
        <w:tc>
          <w:tcPr>
            <w:tcW w:type="dxa" w:w="7131"/>
          </w:tcPr>
          <w:p>
            <w:pPr>
              <w:spacing w:after="0"/>
            </w:pPr>
            <w:r>
              <w:rPr>
                <w:rFonts w:ascii="Arial" w:hAnsi="Arial" w:eastAsia="Arial"/>
                <w:b w:val="0"/>
                <w:color w:val="000000"/>
                <w:sz w:val="24"/>
              </w:rPr>
              <w:t>Cada requisito del enunciado (REQ-A1-1 … REQ-A1-6, REQ-A1-T1 … T6, REQ-A2-1 … 4, REQ-A3, REQ-D, REQ-F, REQ-P) con sus criterios de aceptación</w:t>
            </w:r>
          </w:p>
        </w:tc>
      </w:tr>
      <w:tr>
        <w:tc>
          <w:tcPr>
            <w:tcW w:type="dxa" w:w="2507"/>
          </w:tcPr>
          <w:p>
            <w:pPr>
              <w:spacing w:after="0"/>
            </w:pPr>
            <w:r>
              <w:rPr>
                <w:rFonts w:ascii="Arial" w:hAnsi="Arial" w:eastAsia="Arial"/>
                <w:b w:val="0"/>
                <w:color w:val="000000"/>
                <w:sz w:val="24"/>
              </w:rPr>
              <w:t>§14.2 Criterios de aceptación</w:t>
            </w:r>
          </w:p>
        </w:tc>
        <w:tc>
          <w:tcPr>
            <w:tcW w:type="dxa" w:w="7131"/>
          </w:tcPr>
          <w:p>
            <w:pPr>
              <w:spacing w:after="0"/>
            </w:pPr>
            <w:r>
              <w:rPr>
                <w:rFonts w:ascii="Arial" w:hAnsi="Arial" w:eastAsia="Arial"/>
                <w:b w:val="0"/>
                <w:color w:val="000000"/>
                <w:sz w:val="24"/>
              </w:rPr>
              <w:t>Cada criterio con su regla, su tarea y la prueba que lo verifica</w:t>
            </w:r>
          </w:p>
        </w:tc>
      </w:tr>
      <w:tr>
        <w:tc>
          <w:tcPr>
            <w:tcW w:type="dxa" w:w="2507"/>
          </w:tcPr>
          <w:p>
            <w:pPr>
              <w:spacing w:after="0"/>
            </w:pPr>
            <w:r>
              <w:rPr>
                <w:rFonts w:ascii="Arial" w:hAnsi="Arial" w:eastAsia="Arial"/>
                <w:b w:val="0"/>
                <w:color w:val="000000"/>
                <w:sz w:val="24"/>
              </w:rPr>
              <w:t>§14.3 Más allá del enunciado</w:t>
            </w:r>
          </w:p>
        </w:tc>
        <w:tc>
          <w:tcPr>
            <w:tcW w:type="dxa" w:w="7131"/>
          </w:tcPr>
          <w:p>
            <w:pPr>
              <w:spacing w:after="0"/>
            </w:pPr>
            <w:r>
              <w:rPr>
                <w:rFonts w:ascii="Arial" w:hAnsi="Arial" w:eastAsia="Arial"/>
                <w:b w:val="0"/>
                <w:color w:val="000000"/>
                <w:sz w:val="24"/>
              </w:rPr>
              <w:t>Todo lo que el enunciado no pidió, con su etiqueta (calidad, estabilidad, escalabilidad), su beneficio y su origen</w:t>
            </w:r>
          </w:p>
        </w:tc>
      </w:tr>
    </w:tbl>
    <w:p>
      <w:pPr>
        <w:spacing w:before="120"/>
      </w:pPr>
      <w:r>
        <w:rPr>
          <w:rFonts w:ascii="Arial" w:hAnsi="Arial" w:eastAsia="Arial"/>
          <w:b w:val="0"/>
          <w:color w:val="000000"/>
          <w:sz w:val="24"/>
        </w:rPr>
        <w:t>La cadena siempre es la misma: viñeta del enunciado → REQ → AC → BR o sección de la SPEC → tarea → clase de prueba. Una revisión medida el 2026-10-15 encontró especificadas 21 de 21 viñetas del enunciado (</w:t>
      </w:r>
      <w:r>
        <w:rPr>
          <w:rFonts w:ascii="Arial" w:hAnsi="Arial" w:eastAsia="Arial"/>
          <w:b w:val="0"/>
          <w:color w:val="000000"/>
          <w:sz w:val="24"/>
        </w:rPr>
        <w:t>cross_reference_check.py</w:t>
      </w:r>
      <w:r>
        <w:rPr>
          <w:rFonts w:ascii="Arial" w:hAnsi="Arial" w:eastAsia="Arial"/>
          <w:b w:val="0"/>
          <w:color w:val="000000"/>
          <w:sz w:val="24"/>
        </w:rPr>
        <w:t>, registrado en el HANDOFF).</w:t>
      </w:r>
    </w:p>
    <w:p>
      <w:pPr>
        <w:pStyle w:val="Heading3"/>
        <w:keepNext/>
        <w:spacing w:before="160" w:after="80"/>
      </w:pPr>
      <w:r>
        <w:rPr>
          <w:rFonts w:ascii="Arial" w:hAnsi="Arial" w:eastAsia="Arial"/>
          <w:b/>
          <w:color w:val="000000"/>
          <w:sz w:val="24"/>
        </w:rPr>
        <w:t>3.4 Gobierno de la documentación y su verificación automática</w:t>
      </w:r>
    </w:p>
    <w:p>
      <w:r>
        <w:rPr>
          <w:rFonts w:ascii="Arial" w:hAnsi="Arial" w:eastAsia="Arial"/>
          <w:b w:val="0"/>
          <w:color w:val="000000"/>
          <w:sz w:val="24"/>
        </w:rPr>
        <w:t>La documentación sigue reglas escritas (</w:t>
      </w:r>
      <w:r>
        <w:rPr>
          <w:rFonts w:ascii="Arial" w:hAnsi="Arial" w:eastAsia="Arial"/>
          <w:b w:val="0"/>
          <w:color w:val="000000"/>
          <w:sz w:val="24"/>
        </w:rPr>
        <w:t>orderflow-engine-docs/governance/documentation-rules.md</w:t>
      </w:r>
      <w:r>
        <w:rPr>
          <w:rFonts w:ascii="Arial" w:hAnsi="Arial" w:eastAsia="Arial"/>
          <w:b w:val="0"/>
          <w:color w:val="000000"/>
          <w:sz w:val="24"/>
        </w:rPr>
        <w:t xml:space="preserve">): una pregunta por documento, un mapa de documentos, front matter en cada documento, documentos de entrega en inglés y en español con los mismos encabezados, y documentos técnicos internos en inglés. Una regla que ninguna verificación hace cumplir se deteriora (trampa TR-03 del HANDOFF), por eso las reglas las hacen cumplir herramientas del repositorio </w:t>
      </w:r>
      <w:r>
        <w:rPr>
          <w:rFonts w:ascii="Arial" w:hAnsi="Arial" w:eastAsia="Arial"/>
          <w:b w:val="0"/>
          <w:color w:val="000000"/>
          <w:sz w:val="24"/>
        </w:rPr>
        <w:t>orderflow-engine-tools</w:t>
      </w:r>
      <w:r>
        <w:rPr>
          <w:rFonts w:ascii="Arial" w:hAnsi="Arial" w:eastAsia="Arial"/>
          <w:b w:val="0"/>
          <w:color w:val="000000"/>
          <w:sz w:val="24"/>
        </w:rP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19"/>
        <w:gridCol w:w="6219"/>
      </w:tblGrid>
      <w:tr>
        <w:tc>
          <w:tcPr>
            <w:tcW w:type="dxa" w:w="3419"/>
          </w:tcPr>
          <w:p>
            <w:pPr>
              <w:spacing w:after="0"/>
            </w:pPr>
            <w:r>
              <w:rPr>
                <w:rFonts w:ascii="Arial" w:hAnsi="Arial" w:eastAsia="Arial"/>
                <w:b/>
                <w:color w:val="000000"/>
                <w:sz w:val="24"/>
              </w:rPr>
              <w:t>Verificación</w:t>
            </w:r>
          </w:p>
        </w:tc>
        <w:tc>
          <w:tcPr>
            <w:tcW w:type="dxa" w:w="6219"/>
          </w:tcPr>
          <w:p>
            <w:pPr>
              <w:spacing w:after="0"/>
            </w:pPr>
            <w:r>
              <w:rPr>
                <w:rFonts w:ascii="Arial" w:hAnsi="Arial" w:eastAsia="Arial"/>
                <w:b/>
                <w:color w:val="000000"/>
                <w:sz w:val="24"/>
              </w:rPr>
              <w:t>En qué falla</w:t>
            </w:r>
          </w:p>
        </w:tc>
      </w:tr>
      <w:tr>
        <w:tc>
          <w:tcPr>
            <w:tcW w:type="dxa" w:w="3419"/>
          </w:tcPr>
          <w:p>
            <w:pPr>
              <w:spacing w:after="0"/>
            </w:pPr>
            <w:r>
              <w:rPr>
                <w:rFonts w:ascii="Arial" w:hAnsi="Arial" w:eastAsia="Arial"/>
                <w:b w:val="0"/>
                <w:color w:val="000000"/>
                <w:sz w:val="24"/>
              </w:rPr>
              <w:t>docs-check/check-docs.mjs</w:t>
            </w:r>
          </w:p>
        </w:tc>
        <w:tc>
          <w:tcPr>
            <w:tcW w:type="dxa" w:w="6219"/>
          </w:tcPr>
          <w:p>
            <w:pPr>
              <w:spacing w:after="0"/>
            </w:pPr>
            <w:r>
              <w:rPr>
                <w:rFonts w:ascii="Arial" w:hAnsi="Arial" w:eastAsia="Arial"/>
                <w:b w:val="0"/>
                <w:color w:val="000000"/>
                <w:sz w:val="24"/>
              </w:rPr>
              <w:t>Un archivo Markdown fuera de las ubicaciones permitidas; un archivo que falta en el mapa de documentos; un par de idiomas incompleto o con distinta cantidad de encabezados; front matter ausente o inválido; un enlace relativo roto o que sale de su repositorio; un ADR de más de 500 palabras; un encabezado obligatorio ausente (por ejemplo, los cuatro temas del README de la API); bundles de i18n con claves distintas; una gráfica de avance que no coincide con la tabla de tareas del HANDOFF; una línea de commit en TASKS que rompe las convenciones; un Word o PDF generado cuya fuente cambió después de construirlo</w:t>
            </w:r>
          </w:p>
        </w:tc>
      </w:tr>
      <w:tr>
        <w:tc>
          <w:tcPr>
            <w:tcW w:type="dxa" w:w="3419"/>
          </w:tcPr>
          <w:p>
            <w:pPr>
              <w:spacing w:after="0"/>
            </w:pPr>
            <w:r>
              <w:rPr>
                <w:rFonts w:ascii="Arial" w:hAnsi="Arial" w:eastAsia="Arial"/>
                <w:b w:val="0"/>
                <w:color w:val="000000"/>
                <w:sz w:val="24"/>
              </w:rPr>
              <w:t>integrity/check-integrity.mjs</w:t>
            </w:r>
          </w:p>
        </w:tc>
        <w:tc>
          <w:tcPr>
            <w:tcW w:type="dxa" w:w="6219"/>
          </w:tcPr>
          <w:p>
            <w:pPr>
              <w:spacing w:after="0"/>
            </w:pPr>
            <w:r>
              <w:rPr>
                <w:rFonts w:ascii="Arial" w:hAnsi="Arial" w:eastAsia="Arial"/>
                <w:b w:val="0"/>
                <w:color w:val="000000"/>
                <w:sz w:val="24"/>
              </w:rPr>
              <w:t xml:space="preserve">Archivos de ignorados o </w:t>
            </w:r>
            <w:r>
              <w:rPr>
                <w:rFonts w:ascii="Arial" w:hAnsi="Arial" w:eastAsia="Arial"/>
                <w:b w:val="0"/>
                <w:color w:val="000000"/>
                <w:sz w:val="24"/>
              </w:rPr>
              <w:t>.gitattributes</w:t>
            </w:r>
            <w:r>
              <w:rPr>
                <w:rFonts w:ascii="Arial" w:hAnsi="Arial" w:eastAsia="Arial"/>
                <w:b w:val="0"/>
                <w:color w:val="000000"/>
                <w:sz w:val="24"/>
              </w:rPr>
              <w:t xml:space="preserve"> faltantes, reglas de fin de línea, archivos de Docker, </w:t>
            </w:r>
            <w:r>
              <w:rPr>
                <w:rFonts w:ascii="Arial" w:hAnsi="Arial" w:eastAsia="Arial"/>
                <w:b w:val="0"/>
                <w:color w:val="000000"/>
                <w:sz w:val="24"/>
              </w:rPr>
              <w:t>.env.example</w:t>
            </w:r>
            <w:r>
              <w:rPr>
                <w:rFonts w:ascii="Arial" w:hAnsi="Arial" w:eastAsia="Arial"/>
                <w:b w:val="0"/>
                <w:color w:val="000000"/>
                <w:sz w:val="24"/>
              </w:rPr>
              <w:t xml:space="preserve"> y secretos, en los seis repositorios</w:t>
            </w:r>
          </w:p>
        </w:tc>
      </w:tr>
      <w:tr>
        <w:tc>
          <w:tcPr>
            <w:tcW w:type="dxa" w:w="3419"/>
          </w:tcPr>
          <w:p>
            <w:pPr>
              <w:spacing w:after="0"/>
            </w:pPr>
            <w:r>
              <w:rPr>
                <w:rFonts w:ascii="Arial" w:hAnsi="Arial" w:eastAsia="Arial"/>
                <w:b w:val="0"/>
                <w:color w:val="000000"/>
                <w:sz w:val="24"/>
              </w:rPr>
              <w:t>consistency/</w:t>
            </w:r>
          </w:p>
        </w:tc>
        <w:tc>
          <w:tcPr>
            <w:tcW w:type="dxa" w:w="6219"/>
          </w:tcPr>
          <w:p>
            <w:pPr>
              <w:spacing w:after="0"/>
            </w:pPr>
            <w:r>
              <w:rPr>
                <w:rFonts w:ascii="Arial" w:hAnsi="Arial" w:eastAsia="Arial"/>
                <w:b w:val="0"/>
                <w:color w:val="000000"/>
                <w:sz w:val="24"/>
              </w:rPr>
              <w:t>Conteos, referencias cruzadas, idioma y paridad de pares entre documentos</w:t>
            </w:r>
          </w:p>
        </w:tc>
      </w:tr>
    </w:tbl>
    <w:p>
      <w:pPr>
        <w:pStyle w:val="Heading2"/>
        <w:keepNext/>
        <w:spacing w:before="160" w:after="80"/>
      </w:pPr>
      <w:r>
        <w:rPr>
          <w:rFonts w:ascii="Arial" w:hAnsi="Arial" w:eastAsia="Arial"/>
          <w:b/>
          <w:color w:val="000000"/>
          <w:sz w:val="24"/>
        </w:rPr>
        <w:t>4. El plan</w:t>
      </w:r>
    </w:p>
    <w:p>
      <w:r>
        <w:rPr>
          <w:rFonts w:ascii="Arial" w:hAnsi="Arial" w:eastAsia="Arial"/>
          <w:b w:val="0"/>
          <w:color w:val="000000"/>
          <w:sz w:val="24"/>
        </w:rPr>
        <w:t>orderflow-engine-docs/spec/TASKS.md</w:t>
      </w:r>
      <w:r>
        <w:rPr>
          <w:rFonts w:ascii="Arial" w:hAnsi="Arial" w:eastAsia="Arial"/>
          <w:b w:val="0"/>
          <w:color w:val="000000"/>
          <w:sz w:val="24"/>
        </w:rPr>
        <w:t xml:space="preserve"> convierte la especificación en tareas. También fija nueve restricciones globales (GC-1 … GC-9), el ciclo de cada tarea, un foco de revisión con nueve bordes riesgosos (RF-1 … RF-9), el plan por días y la línea de corte. </w:t>
      </w:r>
      <w:r>
        <w:rPr>
          <w:rFonts w:ascii="Arial" w:hAnsi="Arial" w:eastAsia="Arial"/>
          <w:b w:val="0"/>
          <w:color w:val="000000"/>
          <w:sz w:val="24"/>
        </w:rPr>
        <w:t>orderflow-engine-docs/spec/plan.md</w:t>
      </w:r>
      <w:r>
        <w:rPr>
          <w:rFonts w:ascii="Arial" w:hAnsi="Arial" w:eastAsia="Arial"/>
          <w:b w:val="0"/>
          <w:color w:val="000000"/>
          <w:sz w:val="24"/>
        </w:rPr>
        <w:t xml:space="preserve"> lista cada decisión técnica con sus alternativas descartadas (DEC-01 … DEC-20) y el registro de riesgos (RISK-01 … RISK-07).</w:t>
      </w:r>
    </w:p>
    <w:p>
      <w:pPr>
        <w:pStyle w:val="Heading3"/>
        <w:keepNext/>
        <w:spacing w:before="160" w:after="80"/>
      </w:pPr>
      <w:r>
        <w:rPr>
          <w:rFonts w:ascii="Arial" w:hAnsi="Arial" w:eastAsia="Arial"/>
          <w:b/>
          <w:color w:val="000000"/>
          <w:sz w:val="24"/>
        </w:rPr>
        <w:t>4.1 Tareas y fases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4"/>
        <w:gridCol w:w="6273"/>
        <w:gridCol w:w="2212"/>
      </w:tblGrid>
      <w:tr>
        <w:tc>
          <w:tcPr>
            <w:tcW w:type="dxa" w:w="1154"/>
          </w:tcPr>
          <w:p>
            <w:pPr>
              <w:spacing w:after="0"/>
            </w:pPr>
            <w:r>
              <w:rPr>
                <w:rFonts w:ascii="Arial" w:hAnsi="Arial" w:eastAsia="Arial"/>
                <w:b/>
                <w:color w:val="000000"/>
                <w:sz w:val="24"/>
              </w:rPr>
              <w:t>Tarea</w:t>
            </w:r>
          </w:p>
        </w:tc>
        <w:tc>
          <w:tcPr>
            <w:tcW w:type="dxa" w:w="6273"/>
          </w:tcPr>
          <w:p>
            <w:pPr>
              <w:spacing w:after="0"/>
            </w:pPr>
            <w:r>
              <w:rPr>
                <w:rFonts w:ascii="Arial" w:hAnsi="Arial" w:eastAsia="Arial"/>
                <w:b/>
                <w:color w:val="000000"/>
                <w:sz w:val="24"/>
              </w:rPr>
              <w:t>Título</w:t>
            </w:r>
          </w:p>
        </w:tc>
        <w:tc>
          <w:tcPr>
            <w:tcW w:type="dxa" w:w="2212"/>
          </w:tcPr>
          <w:p>
            <w:pPr>
              <w:spacing w:after="0"/>
            </w:pPr>
            <w:r>
              <w:rPr>
                <w:rFonts w:ascii="Arial" w:hAnsi="Arial" w:eastAsia="Arial"/>
                <w:b/>
                <w:color w:val="000000"/>
                <w:sz w:val="24"/>
              </w:rPr>
              <w:t>Fase</w:t>
            </w:r>
          </w:p>
        </w:tc>
      </w:tr>
      <w:tr>
        <w:tc>
          <w:tcPr>
            <w:tcW w:type="dxa" w:w="1154"/>
          </w:tcPr>
          <w:p>
            <w:pPr>
              <w:spacing w:after="0"/>
            </w:pPr>
            <w:r>
              <w:rPr>
                <w:rFonts w:ascii="Arial" w:hAnsi="Arial" w:eastAsia="Arial"/>
                <w:b w:val="0"/>
                <w:color w:val="000000"/>
                <w:sz w:val="24"/>
              </w:rPr>
              <w:t>T-00</w:t>
            </w:r>
          </w:p>
        </w:tc>
        <w:tc>
          <w:tcPr>
            <w:tcW w:type="dxa" w:w="6273"/>
          </w:tcPr>
          <w:p>
            <w:pPr>
              <w:spacing w:after="0"/>
            </w:pPr>
            <w:r>
              <w:rPr>
                <w:rFonts w:ascii="Arial" w:hAnsi="Arial" w:eastAsia="Arial"/>
                <w:b w:val="0"/>
                <w:color w:val="000000"/>
                <w:sz w:val="24"/>
              </w:rPr>
              <w:t>Especificación, gobierno, README, borrador del ADR</w:t>
            </w:r>
          </w:p>
        </w:tc>
        <w:tc>
          <w:tcPr>
            <w:tcW w:type="dxa" w:w="2212"/>
          </w:tcPr>
          <w:p>
            <w:pPr>
              <w:spacing w:after="0"/>
            </w:pPr>
            <w:r>
              <w:rPr>
                <w:rFonts w:ascii="Arial" w:hAnsi="Arial" w:eastAsia="Arial"/>
                <w:b w:val="0"/>
                <w:color w:val="000000"/>
                <w:sz w:val="24"/>
              </w:rPr>
              <w:t>1. Preparación</w:t>
            </w:r>
          </w:p>
        </w:tc>
      </w:tr>
      <w:tr>
        <w:tc>
          <w:tcPr>
            <w:tcW w:type="dxa" w:w="1154"/>
          </w:tcPr>
          <w:p>
            <w:pPr>
              <w:spacing w:after="0"/>
            </w:pPr>
            <w:r>
              <w:rPr>
                <w:rFonts w:ascii="Arial" w:hAnsi="Arial" w:eastAsia="Arial"/>
                <w:b w:val="0"/>
                <w:color w:val="000000"/>
                <w:sz w:val="24"/>
              </w:rPr>
              <w:t>T-01</w:t>
            </w:r>
          </w:p>
        </w:tc>
        <w:tc>
          <w:tcPr>
            <w:tcW w:type="dxa" w:w="6273"/>
          </w:tcPr>
          <w:p>
            <w:pPr>
              <w:spacing w:after="0"/>
            </w:pPr>
            <w:r>
              <w:rPr>
                <w:rFonts w:ascii="Arial" w:hAnsi="Arial" w:eastAsia="Arial"/>
                <w:b w:val="0"/>
                <w:color w:val="000000"/>
                <w:sz w:val="24"/>
              </w:rPr>
              <w:t>Andamiaje de la API y comando de prueba del espacio de trabajo</w:t>
            </w:r>
          </w:p>
        </w:tc>
        <w:tc>
          <w:tcPr>
            <w:tcW w:type="dxa" w:w="2212"/>
          </w:tcPr>
          <w:p>
            <w:pPr>
              <w:spacing w:after="0"/>
            </w:pPr>
            <w:r>
              <w:rPr>
                <w:rFonts w:ascii="Arial" w:hAnsi="Arial" w:eastAsia="Arial"/>
                <w:b w:val="0"/>
                <w:color w:val="000000"/>
                <w:sz w:val="24"/>
              </w:rPr>
              <w:t>2. Andamiaje</w:t>
            </w:r>
          </w:p>
        </w:tc>
      </w:tr>
      <w:tr>
        <w:tc>
          <w:tcPr>
            <w:tcW w:type="dxa" w:w="1154"/>
          </w:tcPr>
          <w:p>
            <w:pPr>
              <w:spacing w:after="0"/>
            </w:pPr>
            <w:r>
              <w:rPr>
                <w:rFonts w:ascii="Arial" w:hAnsi="Arial" w:eastAsia="Arial"/>
                <w:b w:val="0"/>
                <w:color w:val="000000"/>
                <w:sz w:val="24"/>
              </w:rPr>
              <w:t>T-02</w:t>
            </w:r>
          </w:p>
        </w:tc>
        <w:tc>
          <w:tcPr>
            <w:tcW w:type="dxa" w:w="6273"/>
          </w:tcPr>
          <w:p>
            <w:pPr>
              <w:spacing w:after="0"/>
            </w:pPr>
            <w:r>
              <w:rPr>
                <w:rFonts w:ascii="Arial" w:hAnsi="Arial" w:eastAsia="Arial"/>
                <w:b w:val="0"/>
                <w:color w:val="000000"/>
                <w:sz w:val="24"/>
              </w:rPr>
              <w:t>Dinero y política de moneda</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T-03</w:t>
            </w:r>
          </w:p>
        </w:tc>
        <w:tc>
          <w:tcPr>
            <w:tcW w:type="dxa" w:w="6273"/>
          </w:tcPr>
          <w:p>
            <w:pPr>
              <w:spacing w:after="0"/>
            </w:pPr>
            <w:r>
              <w:rPr>
                <w:rFonts w:ascii="Arial" w:hAnsi="Arial" w:eastAsia="Arial"/>
                <w:b w:val="0"/>
                <w:color w:val="000000"/>
                <w:sz w:val="24"/>
              </w:rPr>
              <w:t>Pipeline de precios y arnés de golden tests</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T-04</w:t>
            </w:r>
          </w:p>
        </w:tc>
        <w:tc>
          <w:tcPr>
            <w:tcW w:type="dxa" w:w="6273"/>
          </w:tcPr>
          <w:p>
            <w:pPr>
              <w:spacing w:after="0"/>
            </w:pPr>
            <w:r>
              <w:rPr>
                <w:rFonts w:ascii="Arial" w:hAnsi="Arial" w:eastAsia="Arial"/>
                <w:b w:val="0"/>
                <w:color w:val="000000"/>
                <w:sz w:val="24"/>
              </w:rPr>
              <w:t>Descuentos por escala</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T-05</w:t>
            </w:r>
          </w:p>
        </w:tc>
        <w:tc>
          <w:tcPr>
            <w:tcW w:type="dxa" w:w="6273"/>
          </w:tcPr>
          <w:p>
            <w:pPr>
              <w:spacing w:after="0"/>
            </w:pPr>
            <w:r>
              <w:rPr>
                <w:rFonts w:ascii="Arial" w:hAnsi="Arial" w:eastAsia="Arial"/>
                <w:b w:val="0"/>
                <w:color w:val="000000"/>
                <w:sz w:val="24"/>
              </w:rPr>
              <w:t>Combos y asignación</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T-06</w:t>
            </w:r>
          </w:p>
        </w:tc>
        <w:tc>
          <w:tcPr>
            <w:tcW w:type="dxa" w:w="6273"/>
          </w:tcPr>
          <w:p>
            <w:pPr>
              <w:spacing w:after="0"/>
            </w:pPr>
            <w:r>
              <w:rPr>
                <w:rFonts w:ascii="Arial" w:hAnsi="Arial" w:eastAsia="Arial"/>
                <w:b w:val="0"/>
                <w:color w:val="000000"/>
                <w:sz w:val="24"/>
              </w:rPr>
              <w:t>Obsequios y su política tributaria</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T-07</w:t>
            </w:r>
          </w:p>
        </w:tc>
        <w:tc>
          <w:tcPr>
            <w:tcW w:type="dxa" w:w="6273"/>
          </w:tcPr>
          <w:p>
            <w:pPr>
              <w:spacing w:after="0"/>
            </w:pPr>
            <w:r>
              <w:rPr>
                <w:rFonts w:ascii="Arial" w:hAnsi="Arial" w:eastAsia="Arial"/>
                <w:b w:val="0"/>
                <w:color w:val="000000"/>
                <w:sz w:val="24"/>
              </w:rPr>
              <w:t>Redondeo y multipaís</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T-08</w:t>
            </w:r>
          </w:p>
        </w:tc>
        <w:tc>
          <w:tcPr>
            <w:tcW w:type="dxa" w:w="6273"/>
          </w:tcPr>
          <w:p>
            <w:pPr>
              <w:spacing w:after="0"/>
            </w:pPr>
            <w:r>
              <w:rPr>
                <w:rFonts w:ascii="Arial" w:hAnsi="Arial" w:eastAsia="Arial"/>
                <w:b w:val="0"/>
                <w:color w:val="000000"/>
                <w:sz w:val="24"/>
              </w:rPr>
              <w:t>Esquema y datos semilla</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T-09</w:t>
            </w:r>
          </w:p>
        </w:tc>
        <w:tc>
          <w:tcPr>
            <w:tcW w:type="dxa" w:w="6273"/>
          </w:tcPr>
          <w:p>
            <w:pPr>
              <w:spacing w:after="0"/>
            </w:pPr>
            <w:r>
              <w:rPr>
                <w:rFonts w:ascii="Arial" w:hAnsi="Arial" w:eastAsia="Arial"/>
                <w:b w:val="0"/>
                <w:color w:val="000000"/>
                <w:sz w:val="24"/>
              </w:rPr>
              <w:t>Manejo de errores e i18n de la API</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T-10</w:t>
            </w:r>
          </w:p>
        </w:tc>
        <w:tc>
          <w:tcPr>
            <w:tcW w:type="dxa" w:w="6273"/>
          </w:tcPr>
          <w:p>
            <w:pPr>
              <w:spacing w:after="0"/>
            </w:pPr>
            <w:r>
              <w:rPr>
                <w:rFonts w:ascii="Arial" w:hAnsi="Arial" w:eastAsia="Arial"/>
                <w:b w:val="0"/>
                <w:color w:val="000000"/>
                <w:sz w:val="24"/>
              </w:rPr>
              <w:t>Caso de uso de cotización y endpoints</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T-11</w:t>
            </w:r>
          </w:p>
        </w:tc>
        <w:tc>
          <w:tcPr>
            <w:tcW w:type="dxa" w:w="6273"/>
          </w:tcPr>
          <w:p>
            <w:pPr>
              <w:spacing w:after="0"/>
            </w:pPr>
            <w:r>
              <w:rPr>
                <w:rFonts w:ascii="Arial" w:hAnsi="Arial" w:eastAsia="Arial"/>
                <w:b w:val="0"/>
                <w:color w:val="000000"/>
                <w:sz w:val="24"/>
              </w:rPr>
              <w:t>Confirmación del pedido</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T-12</w:t>
            </w:r>
          </w:p>
        </w:tc>
        <w:tc>
          <w:tcPr>
            <w:tcW w:type="dxa" w:w="6273"/>
          </w:tcPr>
          <w:p>
            <w:pPr>
              <w:spacing w:after="0"/>
            </w:pPr>
            <w:r>
              <w:rPr>
                <w:rFonts w:ascii="Arial" w:hAnsi="Arial" w:eastAsia="Arial"/>
                <w:b w:val="0"/>
                <w:color w:val="000000"/>
                <w:sz w:val="24"/>
              </w:rPr>
              <w:t>Invariantes bajo concurrencia y fallas</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T-13</w:t>
            </w:r>
          </w:p>
        </w:tc>
        <w:tc>
          <w:tcPr>
            <w:tcW w:type="dxa" w:w="6273"/>
          </w:tcPr>
          <w:p>
            <w:pPr>
              <w:spacing w:after="0"/>
            </w:pPr>
            <w:r>
              <w:rPr>
                <w:rFonts w:ascii="Arial" w:hAnsi="Arial" w:eastAsia="Arial"/>
                <w:b w:val="0"/>
                <w:color w:val="000000"/>
                <w:sz w:val="24"/>
              </w:rPr>
              <w:t>Historial de pedidos</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T-14</w:t>
            </w:r>
          </w:p>
        </w:tc>
        <w:tc>
          <w:tcPr>
            <w:tcW w:type="dxa" w:w="6273"/>
          </w:tcPr>
          <w:p>
            <w:pPr>
              <w:spacing w:after="0"/>
            </w:pPr>
            <w:r>
              <w:rPr>
                <w:rFonts w:ascii="Arial" w:hAnsi="Arial" w:eastAsia="Arial"/>
                <w:b w:val="0"/>
                <w:color w:val="000000"/>
                <w:sz w:val="24"/>
              </w:rPr>
              <w:t>Relay del outbox</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T-15</w:t>
            </w:r>
          </w:p>
        </w:tc>
        <w:tc>
          <w:tcPr>
            <w:tcW w:type="dxa" w:w="6273"/>
          </w:tcPr>
          <w:p>
            <w:pPr>
              <w:spacing w:after="0"/>
            </w:pPr>
            <w:r>
              <w:rPr>
                <w:rFonts w:ascii="Arial" w:hAnsi="Arial" w:eastAsia="Arial"/>
                <w:b w:val="0"/>
                <w:color w:val="000000"/>
                <w:sz w:val="24"/>
              </w:rPr>
              <w:t>Limpieza por retención</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T-18</w:t>
            </w:r>
          </w:p>
        </w:tc>
        <w:tc>
          <w:tcPr>
            <w:tcW w:type="dxa" w:w="6273"/>
          </w:tcPr>
          <w:p>
            <w:pPr>
              <w:spacing w:after="0"/>
            </w:pPr>
            <w:r>
              <w:rPr>
                <w:rFonts w:ascii="Arial" w:hAnsi="Arial" w:eastAsia="Arial"/>
                <w:b w:val="0"/>
                <w:color w:val="000000"/>
                <w:sz w:val="24"/>
              </w:rPr>
              <w:t>Conectar las palancas a las cotizaciones</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T-16</w:t>
            </w:r>
          </w:p>
        </w:tc>
        <w:tc>
          <w:tcPr>
            <w:tcW w:type="dxa" w:w="6273"/>
          </w:tcPr>
          <w:p>
            <w:pPr>
              <w:spacing w:after="0"/>
            </w:pPr>
            <w:r>
              <w:rPr>
                <w:rFonts w:ascii="Arial" w:hAnsi="Arial" w:eastAsia="Arial"/>
                <w:b w:val="0"/>
                <w:color w:val="000000"/>
                <w:sz w:val="24"/>
              </w:rPr>
              <w:t>Documentación final y verificación</w:t>
            </w:r>
          </w:p>
        </w:tc>
        <w:tc>
          <w:tcPr>
            <w:tcW w:type="dxa" w:w="2212"/>
          </w:tcPr>
          <w:p>
            <w:pPr>
              <w:spacing w:after="0"/>
            </w:pPr>
            <w:r>
              <w:rPr>
                <w:rFonts w:ascii="Arial" w:hAnsi="Arial" w:eastAsia="Arial"/>
                <w:b w:val="0"/>
                <w:color w:val="000000"/>
                <w:sz w:val="24"/>
              </w:rPr>
              <w:t>3. Núcleo</w:t>
            </w:r>
          </w:p>
        </w:tc>
      </w:tr>
      <w:tr>
        <w:tc>
          <w:tcPr>
            <w:tcW w:type="dxa" w:w="1154"/>
          </w:tcPr>
          <w:p>
            <w:pPr>
              <w:spacing w:after="0"/>
            </w:pPr>
            <w:r>
              <w:rPr>
                <w:rFonts w:ascii="Arial" w:hAnsi="Arial" w:eastAsia="Arial"/>
                <w:b w:val="0"/>
                <w:color w:val="000000"/>
                <w:sz w:val="24"/>
              </w:rPr>
              <w:t>T-17</w:t>
            </w:r>
          </w:p>
        </w:tc>
        <w:tc>
          <w:tcPr>
            <w:tcW w:type="dxa" w:w="6273"/>
          </w:tcPr>
          <w:p>
            <w:pPr>
              <w:spacing w:after="0"/>
            </w:pPr>
            <w:r>
              <w:rPr>
                <w:rFonts w:ascii="Arial" w:hAnsi="Arial" w:eastAsia="Arial"/>
                <w:b w:val="0"/>
                <w:color w:val="000000"/>
                <w:sz w:val="24"/>
              </w:rPr>
              <w:t>Cliente web: resumen y flujo completo (opcional)</w:t>
            </w:r>
          </w:p>
        </w:tc>
        <w:tc>
          <w:tcPr>
            <w:tcW w:type="dxa" w:w="2212"/>
          </w:tcPr>
          <w:p>
            <w:pPr>
              <w:spacing w:after="0"/>
            </w:pPr>
            <w:r>
              <w:rPr>
                <w:rFonts w:ascii="Arial" w:hAnsi="Arial" w:eastAsia="Arial"/>
                <w:b w:val="0"/>
                <w:color w:val="000000"/>
                <w:sz w:val="24"/>
              </w:rPr>
              <w:t>4. Web</w:t>
            </w:r>
          </w:p>
        </w:tc>
      </w:tr>
      <w:tr>
        <w:tc>
          <w:tcPr>
            <w:tcW w:type="dxa" w:w="1154"/>
          </w:tcPr>
          <w:p>
            <w:pPr>
              <w:spacing w:after="0"/>
            </w:pPr>
            <w:r>
              <w:rPr>
                <w:rFonts w:ascii="Arial" w:hAnsi="Arial" w:eastAsia="Arial"/>
                <w:b w:val="0"/>
                <w:color w:val="000000"/>
                <w:sz w:val="24"/>
              </w:rPr>
              <w:t>T-19</w:t>
            </w:r>
          </w:p>
        </w:tc>
        <w:tc>
          <w:tcPr>
            <w:tcW w:type="dxa" w:w="6273"/>
          </w:tcPr>
          <w:p>
            <w:pPr>
              <w:spacing w:after="0"/>
            </w:pPr>
            <w:r>
              <w:rPr>
                <w:rFonts w:ascii="Arial" w:hAnsi="Arial" w:eastAsia="Arial"/>
                <w:b w:val="0"/>
                <w:color w:val="000000"/>
                <w:sz w:val="24"/>
              </w:rPr>
              <w:t>Correcciones tras la vista previa de T-17</w:t>
            </w:r>
          </w:p>
        </w:tc>
        <w:tc>
          <w:tcPr>
            <w:tcW w:type="dxa" w:w="2212"/>
          </w:tcPr>
          <w:p>
            <w:pPr>
              <w:spacing w:after="0"/>
            </w:pPr>
            <w:r>
              <w:rPr>
                <w:rFonts w:ascii="Arial" w:hAnsi="Arial" w:eastAsia="Arial"/>
                <w:b w:val="0"/>
                <w:color w:val="000000"/>
                <w:sz w:val="24"/>
              </w:rPr>
              <w:t>4. Web</w:t>
            </w:r>
          </w:p>
        </w:tc>
      </w:tr>
      <w:tr>
        <w:tc>
          <w:tcPr>
            <w:tcW w:type="dxa" w:w="1154"/>
          </w:tcPr>
          <w:p>
            <w:pPr>
              <w:spacing w:after="0"/>
            </w:pPr>
            <w:r>
              <w:rPr>
                <w:rFonts w:ascii="Arial" w:hAnsi="Arial" w:eastAsia="Arial"/>
                <w:b w:val="0"/>
                <w:color w:val="000000"/>
                <w:sz w:val="24"/>
              </w:rPr>
              <w:t>T-20</w:t>
            </w:r>
          </w:p>
        </w:tc>
        <w:tc>
          <w:tcPr>
            <w:tcW w:type="dxa" w:w="6273"/>
          </w:tcPr>
          <w:p>
            <w:pPr>
              <w:spacing w:after="0"/>
            </w:pPr>
            <w:r>
              <w:rPr>
                <w:rFonts w:ascii="Arial" w:hAnsi="Arial" w:eastAsia="Arial"/>
                <w:b w:val="0"/>
                <w:color w:val="000000"/>
                <w:sz w:val="24"/>
              </w:rPr>
              <w:t>Sembrar Guatemala y Perú</w:t>
            </w:r>
          </w:p>
        </w:tc>
        <w:tc>
          <w:tcPr>
            <w:tcW w:type="dxa" w:w="2212"/>
          </w:tcPr>
          <w:p>
            <w:pPr>
              <w:spacing w:after="0"/>
            </w:pPr>
            <w:r>
              <w:rPr>
                <w:rFonts w:ascii="Arial" w:hAnsi="Arial" w:eastAsia="Arial"/>
                <w:b w:val="0"/>
                <w:color w:val="000000"/>
                <w:sz w:val="24"/>
              </w:rPr>
              <w:t>4. Web</w:t>
            </w:r>
          </w:p>
        </w:tc>
      </w:tr>
    </w:tbl>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7"/>
        <w:gridCol w:w="2024"/>
        <w:gridCol w:w="1823"/>
        <w:gridCol w:w="3624"/>
      </w:tblGrid>
      <w:tr>
        <w:tc>
          <w:tcPr>
            <w:tcW w:type="dxa" w:w="2167"/>
          </w:tcPr>
          <w:p>
            <w:pPr>
              <w:spacing w:after="0"/>
            </w:pPr>
            <w:r>
              <w:rPr>
                <w:rFonts w:ascii="Arial" w:hAnsi="Arial" w:eastAsia="Arial"/>
                <w:b/>
                <w:color w:val="000000"/>
                <w:sz w:val="24"/>
              </w:rPr>
              <w:t>Fase</w:t>
            </w:r>
          </w:p>
        </w:tc>
        <w:tc>
          <w:tcPr>
            <w:tcW w:type="dxa" w:w="2024"/>
          </w:tcPr>
          <w:p>
            <w:pPr>
              <w:spacing w:after="0"/>
            </w:pPr>
            <w:r>
              <w:rPr>
                <w:rFonts w:ascii="Arial" w:hAnsi="Arial" w:eastAsia="Arial"/>
                <w:b/>
                <w:color w:val="000000"/>
                <w:sz w:val="24"/>
              </w:rPr>
              <w:t>Tareas</w:t>
            </w:r>
          </w:p>
        </w:tc>
        <w:tc>
          <w:tcPr>
            <w:tcW w:type="dxa" w:w="1823"/>
          </w:tcPr>
          <w:p>
            <w:pPr>
              <w:spacing w:after="0"/>
            </w:pPr>
            <w:r>
              <w:rPr>
                <w:rFonts w:ascii="Arial" w:hAnsi="Arial" w:eastAsia="Arial"/>
                <w:b/>
                <w:color w:val="000000"/>
                <w:sz w:val="24"/>
              </w:rPr>
              <w:t>Cerrada el</w:t>
            </w:r>
          </w:p>
        </w:tc>
        <w:tc>
          <w:tcPr>
            <w:tcW w:type="dxa" w:w="3624"/>
          </w:tcPr>
          <w:p>
            <w:pPr>
              <w:spacing w:after="0"/>
            </w:pPr>
            <w:r>
              <w:rPr>
                <w:rFonts w:ascii="Arial" w:hAnsi="Arial" w:eastAsia="Arial"/>
                <w:b/>
                <w:color w:val="000000"/>
                <w:sz w:val="24"/>
              </w:rPr>
              <w:t>Merge commit en `main`</w:t>
            </w:r>
          </w:p>
        </w:tc>
      </w:tr>
      <w:tr>
        <w:tc>
          <w:tcPr>
            <w:tcW w:type="dxa" w:w="2167"/>
          </w:tcPr>
          <w:p>
            <w:pPr>
              <w:spacing w:after="0"/>
            </w:pPr>
            <w:r>
              <w:rPr>
                <w:rFonts w:ascii="Arial" w:hAnsi="Arial" w:eastAsia="Arial"/>
                <w:b w:val="0"/>
                <w:color w:val="000000"/>
                <w:sz w:val="24"/>
              </w:rPr>
              <w:t>1. Preparación</w:t>
            </w:r>
          </w:p>
        </w:tc>
        <w:tc>
          <w:tcPr>
            <w:tcW w:type="dxa" w:w="2024"/>
          </w:tcPr>
          <w:p>
            <w:pPr>
              <w:spacing w:after="0"/>
            </w:pPr>
            <w:r>
              <w:rPr>
                <w:rFonts w:ascii="Arial" w:hAnsi="Arial" w:eastAsia="Arial"/>
                <w:b w:val="0"/>
                <w:color w:val="000000"/>
                <w:sz w:val="24"/>
              </w:rPr>
              <w:t>T-00</w:t>
            </w:r>
          </w:p>
        </w:tc>
        <w:tc>
          <w:tcPr>
            <w:tcW w:type="dxa" w:w="1823"/>
          </w:tcPr>
          <w:p>
            <w:pPr>
              <w:spacing w:after="0"/>
            </w:pPr>
            <w:r>
              <w:rPr>
                <w:rFonts w:ascii="Arial" w:hAnsi="Arial" w:eastAsia="Arial"/>
                <w:b w:val="0"/>
                <w:color w:val="000000"/>
                <w:sz w:val="24"/>
              </w:rPr>
              <w:t>2026-10-14</w:t>
            </w:r>
          </w:p>
        </w:tc>
        <w:tc>
          <w:tcPr>
            <w:tcW w:type="dxa" w:w="3624"/>
          </w:tcPr>
          <w:p>
            <w:pPr>
              <w:spacing w:after="0"/>
            </w:pPr>
            <w:r>
              <w:rPr>
                <w:rFonts w:ascii="Arial" w:hAnsi="Arial" w:eastAsia="Arial"/>
                <w:b w:val="0"/>
                <w:color w:val="000000"/>
                <w:sz w:val="24"/>
              </w:rPr>
              <w:t>chore: close preparation phase (T-00)</w:t>
            </w:r>
          </w:p>
        </w:tc>
      </w:tr>
      <w:tr>
        <w:tc>
          <w:tcPr>
            <w:tcW w:type="dxa" w:w="2167"/>
          </w:tcPr>
          <w:p>
            <w:pPr>
              <w:spacing w:after="0"/>
            </w:pPr>
            <w:r>
              <w:rPr>
                <w:rFonts w:ascii="Arial" w:hAnsi="Arial" w:eastAsia="Arial"/>
                <w:b w:val="0"/>
                <w:color w:val="000000"/>
                <w:sz w:val="24"/>
              </w:rPr>
              <w:t>2. Andamiaje</w:t>
            </w:r>
          </w:p>
        </w:tc>
        <w:tc>
          <w:tcPr>
            <w:tcW w:type="dxa" w:w="2024"/>
          </w:tcPr>
          <w:p>
            <w:pPr>
              <w:spacing w:after="0"/>
            </w:pPr>
            <w:r>
              <w:rPr>
                <w:rFonts w:ascii="Arial" w:hAnsi="Arial" w:eastAsia="Arial"/>
                <w:b w:val="0"/>
                <w:color w:val="000000"/>
                <w:sz w:val="24"/>
              </w:rPr>
              <w:t>T-01</w:t>
            </w:r>
          </w:p>
        </w:tc>
        <w:tc>
          <w:tcPr>
            <w:tcW w:type="dxa" w:w="1823"/>
          </w:tcPr>
          <w:p>
            <w:pPr>
              <w:spacing w:after="0"/>
            </w:pPr>
            <w:r>
              <w:rPr>
                <w:rFonts w:ascii="Arial" w:hAnsi="Arial" w:eastAsia="Arial"/>
                <w:b w:val="0"/>
                <w:color w:val="000000"/>
                <w:sz w:val="24"/>
              </w:rPr>
              <w:t>2026-10-15</w:t>
            </w:r>
          </w:p>
        </w:tc>
        <w:tc>
          <w:tcPr>
            <w:tcW w:type="dxa" w:w="3624"/>
          </w:tcPr>
          <w:p>
            <w:pPr>
              <w:spacing w:after="0"/>
            </w:pPr>
            <w:r>
              <w:rPr>
                <w:rFonts w:ascii="Arial" w:hAnsi="Arial" w:eastAsia="Arial"/>
                <w:b w:val="0"/>
                <w:color w:val="000000"/>
                <w:sz w:val="24"/>
              </w:rPr>
              <w:t>chore: close scaffold phase (T-01)</w:t>
            </w:r>
          </w:p>
        </w:tc>
      </w:tr>
      <w:tr>
        <w:tc>
          <w:tcPr>
            <w:tcW w:type="dxa" w:w="2167"/>
          </w:tcPr>
          <w:p>
            <w:pPr>
              <w:spacing w:after="0"/>
            </w:pPr>
            <w:r>
              <w:rPr>
                <w:rFonts w:ascii="Arial" w:hAnsi="Arial" w:eastAsia="Arial"/>
                <w:b w:val="0"/>
                <w:color w:val="000000"/>
                <w:sz w:val="24"/>
              </w:rPr>
              <w:t>3. Núcleo</w:t>
            </w:r>
          </w:p>
        </w:tc>
        <w:tc>
          <w:tcPr>
            <w:tcW w:type="dxa" w:w="2024"/>
          </w:tcPr>
          <w:p>
            <w:pPr>
              <w:spacing w:after="0"/>
            </w:pPr>
            <w:r>
              <w:rPr>
                <w:rFonts w:ascii="Arial" w:hAnsi="Arial" w:eastAsia="Arial"/>
                <w:b w:val="0"/>
                <w:color w:val="000000"/>
                <w:sz w:val="24"/>
              </w:rPr>
              <w:t>T-02 … T-16, T-18</w:t>
            </w:r>
          </w:p>
        </w:tc>
        <w:tc>
          <w:tcPr>
            <w:tcW w:type="dxa" w:w="1823"/>
          </w:tcPr>
          <w:p>
            <w:pPr>
              <w:spacing w:after="0"/>
            </w:pPr>
            <w:r>
              <w:rPr>
                <w:rFonts w:ascii="Arial" w:hAnsi="Arial" w:eastAsia="Arial"/>
                <w:b w:val="0"/>
                <w:color w:val="000000"/>
                <w:sz w:val="24"/>
              </w:rPr>
              <w:t>2026-10-15</w:t>
            </w:r>
          </w:p>
        </w:tc>
        <w:tc>
          <w:tcPr>
            <w:tcW w:type="dxa" w:w="3624"/>
          </w:tcPr>
          <w:p>
            <w:pPr>
              <w:spacing w:after="0"/>
            </w:pPr>
            <w:r>
              <w:rPr>
                <w:rFonts w:ascii="Arial" w:hAnsi="Arial" w:eastAsia="Arial"/>
                <w:b w:val="0"/>
                <w:color w:val="000000"/>
                <w:sz w:val="24"/>
              </w:rPr>
              <w:t>chore: close core phase (T-16)</w:t>
            </w:r>
          </w:p>
        </w:tc>
      </w:tr>
      <w:tr>
        <w:tc>
          <w:tcPr>
            <w:tcW w:type="dxa" w:w="2167"/>
          </w:tcPr>
          <w:p>
            <w:pPr>
              <w:spacing w:after="0"/>
            </w:pPr>
            <w:r>
              <w:rPr>
                <w:rFonts w:ascii="Arial" w:hAnsi="Arial" w:eastAsia="Arial"/>
                <w:b w:val="0"/>
                <w:color w:val="000000"/>
                <w:sz w:val="24"/>
              </w:rPr>
              <w:t>4. Web</w:t>
            </w:r>
          </w:p>
        </w:tc>
        <w:tc>
          <w:tcPr>
            <w:tcW w:type="dxa" w:w="2024"/>
          </w:tcPr>
          <w:p>
            <w:pPr>
              <w:spacing w:after="0"/>
            </w:pPr>
            <w:r>
              <w:rPr>
                <w:rFonts w:ascii="Arial" w:hAnsi="Arial" w:eastAsia="Arial"/>
                <w:b w:val="0"/>
                <w:color w:val="000000"/>
                <w:sz w:val="24"/>
              </w:rPr>
              <w:t>T-17, T-19, T-20</w:t>
            </w:r>
          </w:p>
        </w:tc>
        <w:tc>
          <w:tcPr>
            <w:tcW w:type="dxa" w:w="1823"/>
          </w:tcPr>
          <w:p>
            <w:pPr>
              <w:spacing w:after="0"/>
            </w:pPr>
            <w:r>
              <w:rPr>
                <w:rFonts w:ascii="Arial" w:hAnsi="Arial" w:eastAsia="Arial"/>
                <w:b w:val="0"/>
                <w:color w:val="000000"/>
                <w:sz w:val="24"/>
              </w:rPr>
              <w:t>2026-10-17</w:t>
            </w:r>
          </w:p>
        </w:tc>
        <w:tc>
          <w:tcPr>
            <w:tcW w:type="dxa" w:w="3624"/>
          </w:tcPr>
          <w:p>
            <w:pPr>
              <w:spacing w:after="0"/>
            </w:pPr>
            <w:r>
              <w:rPr>
                <w:rFonts w:ascii="Arial" w:hAnsi="Arial" w:eastAsia="Arial"/>
                <w:b w:val="0"/>
                <w:color w:val="000000"/>
                <w:sz w:val="24"/>
              </w:rPr>
              <w:t>chore: close web phase (T-17)</w:t>
            </w:r>
          </w:p>
        </w:tc>
      </w:tr>
    </w:tbl>
    <w:p>
      <w:pPr>
        <w:pStyle w:val="Heading3"/>
        <w:keepNext/>
        <w:spacing w:before="160" w:after="80"/>
      </w:pPr>
      <w:r>
        <w:rPr>
          <w:rFonts w:ascii="Arial" w:hAnsi="Arial" w:eastAsia="Arial"/>
          <w:b/>
          <w:color w:val="000000"/>
          <w:sz w:val="24"/>
        </w:rPr>
        <w:t>4.2 Plan por días y línea de corte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6"/>
        <w:gridCol w:w="8832"/>
      </w:tblGrid>
      <w:tr>
        <w:tc>
          <w:tcPr>
            <w:tcW w:type="dxa" w:w="806"/>
          </w:tcPr>
          <w:p>
            <w:pPr>
              <w:spacing w:after="0"/>
            </w:pPr>
            <w:r>
              <w:rPr>
                <w:rFonts w:ascii="Arial" w:hAnsi="Arial" w:eastAsia="Arial"/>
                <w:b/>
                <w:color w:val="000000"/>
                <w:sz w:val="24"/>
              </w:rPr>
              <w:t>Día</w:t>
            </w:r>
          </w:p>
        </w:tc>
        <w:tc>
          <w:tcPr>
            <w:tcW w:type="dxa" w:w="8832"/>
          </w:tcPr>
          <w:p>
            <w:pPr>
              <w:spacing w:after="0"/>
            </w:pPr>
            <w:r>
              <w:rPr>
                <w:rFonts w:ascii="Arial" w:hAnsi="Arial" w:eastAsia="Arial"/>
                <w:b/>
                <w:color w:val="000000"/>
                <w:sz w:val="24"/>
              </w:rPr>
              <w:t>Tareas planeadas</w:t>
            </w:r>
          </w:p>
        </w:tc>
      </w:tr>
      <w:tr>
        <w:tc>
          <w:tcPr>
            <w:tcW w:type="dxa" w:w="806"/>
          </w:tcPr>
          <w:p>
            <w:pPr>
              <w:spacing w:after="0"/>
            </w:pPr>
            <w:r>
              <w:rPr>
                <w:rFonts w:ascii="Arial" w:hAnsi="Arial" w:eastAsia="Arial"/>
                <w:b w:val="0"/>
                <w:color w:val="000000"/>
                <w:sz w:val="24"/>
              </w:rPr>
              <w:t>D1</w:t>
            </w:r>
          </w:p>
        </w:tc>
        <w:tc>
          <w:tcPr>
            <w:tcW w:type="dxa" w:w="8832"/>
          </w:tcPr>
          <w:p>
            <w:pPr>
              <w:spacing w:after="0"/>
            </w:pPr>
            <w:r>
              <w:rPr>
                <w:rFonts w:ascii="Arial" w:hAnsi="Arial" w:eastAsia="Arial"/>
                <w:b w:val="0"/>
                <w:color w:val="000000"/>
                <w:sz w:val="24"/>
              </w:rPr>
              <w:t>T-00 … T-03</w:t>
            </w:r>
          </w:p>
        </w:tc>
      </w:tr>
      <w:tr>
        <w:tc>
          <w:tcPr>
            <w:tcW w:type="dxa" w:w="806"/>
          </w:tcPr>
          <w:p>
            <w:pPr>
              <w:spacing w:after="0"/>
            </w:pPr>
            <w:r>
              <w:rPr>
                <w:rFonts w:ascii="Arial" w:hAnsi="Arial" w:eastAsia="Arial"/>
                <w:b w:val="0"/>
                <w:color w:val="000000"/>
                <w:sz w:val="24"/>
              </w:rPr>
              <w:t>D2</w:t>
            </w:r>
          </w:p>
        </w:tc>
        <w:tc>
          <w:tcPr>
            <w:tcW w:type="dxa" w:w="8832"/>
          </w:tcPr>
          <w:p>
            <w:pPr>
              <w:spacing w:after="0"/>
            </w:pPr>
            <w:r>
              <w:rPr>
                <w:rFonts w:ascii="Arial" w:hAnsi="Arial" w:eastAsia="Arial"/>
                <w:b w:val="0"/>
                <w:color w:val="000000"/>
                <w:sz w:val="24"/>
              </w:rPr>
              <w:t>T-04 … T-07</w:t>
            </w:r>
          </w:p>
        </w:tc>
      </w:tr>
      <w:tr>
        <w:tc>
          <w:tcPr>
            <w:tcW w:type="dxa" w:w="806"/>
          </w:tcPr>
          <w:p>
            <w:pPr>
              <w:spacing w:after="0"/>
            </w:pPr>
            <w:r>
              <w:rPr>
                <w:rFonts w:ascii="Arial" w:hAnsi="Arial" w:eastAsia="Arial"/>
                <w:b w:val="0"/>
                <w:color w:val="000000"/>
                <w:sz w:val="24"/>
              </w:rPr>
              <w:t>D3</w:t>
            </w:r>
          </w:p>
        </w:tc>
        <w:tc>
          <w:tcPr>
            <w:tcW w:type="dxa" w:w="8832"/>
          </w:tcPr>
          <w:p>
            <w:pPr>
              <w:spacing w:after="0"/>
            </w:pPr>
            <w:r>
              <w:rPr>
                <w:rFonts w:ascii="Arial" w:hAnsi="Arial" w:eastAsia="Arial"/>
                <w:b w:val="0"/>
                <w:color w:val="000000"/>
                <w:sz w:val="24"/>
              </w:rPr>
              <w:t>T-08 … T-10</w:t>
            </w:r>
          </w:p>
        </w:tc>
      </w:tr>
      <w:tr>
        <w:tc>
          <w:tcPr>
            <w:tcW w:type="dxa" w:w="806"/>
          </w:tcPr>
          <w:p>
            <w:pPr>
              <w:spacing w:after="0"/>
            </w:pPr>
            <w:r>
              <w:rPr>
                <w:rFonts w:ascii="Arial" w:hAnsi="Arial" w:eastAsia="Arial"/>
                <w:b w:val="0"/>
                <w:color w:val="000000"/>
                <w:sz w:val="24"/>
              </w:rPr>
              <w:t>D4</w:t>
            </w:r>
          </w:p>
        </w:tc>
        <w:tc>
          <w:tcPr>
            <w:tcW w:type="dxa" w:w="8832"/>
          </w:tcPr>
          <w:p>
            <w:pPr>
              <w:spacing w:after="0"/>
            </w:pPr>
            <w:r>
              <w:rPr>
                <w:rFonts w:ascii="Arial" w:hAnsi="Arial" w:eastAsia="Arial"/>
                <w:b w:val="0"/>
                <w:color w:val="000000"/>
                <w:sz w:val="24"/>
              </w:rPr>
              <w:t>T-11 … T-14</w:t>
            </w:r>
          </w:p>
        </w:tc>
      </w:tr>
      <w:tr>
        <w:tc>
          <w:tcPr>
            <w:tcW w:type="dxa" w:w="806"/>
          </w:tcPr>
          <w:p>
            <w:pPr>
              <w:spacing w:after="0"/>
            </w:pPr>
            <w:r>
              <w:rPr>
                <w:rFonts w:ascii="Arial" w:hAnsi="Arial" w:eastAsia="Arial"/>
                <w:b w:val="0"/>
                <w:color w:val="000000"/>
                <w:sz w:val="24"/>
              </w:rPr>
              <w:t>D5</w:t>
            </w:r>
          </w:p>
        </w:tc>
        <w:tc>
          <w:tcPr>
            <w:tcW w:type="dxa" w:w="8832"/>
          </w:tcPr>
          <w:p>
            <w:pPr>
              <w:spacing w:after="0"/>
            </w:pPr>
            <w:r>
              <w:rPr>
                <w:rFonts w:ascii="Arial" w:hAnsi="Arial" w:eastAsia="Arial"/>
                <w:b w:val="0"/>
                <w:color w:val="000000"/>
                <w:sz w:val="24"/>
              </w:rPr>
              <w:t>T-15, T-18, T-16, luego T-17 por partes, luego T-19 y T-20</w:t>
            </w:r>
          </w:p>
        </w:tc>
      </w:tr>
    </w:tbl>
    <w:p>
      <w:pPr>
        <w:spacing w:before="120"/>
      </w:pPr>
      <w:r>
        <w:rPr>
          <w:rFonts w:ascii="Arial" w:hAnsi="Arial" w:eastAsia="Arial"/>
          <w:b w:val="0"/>
          <w:color w:val="000000"/>
          <w:sz w:val="24"/>
        </w:rPr>
        <w:t>La línea de corte del MVP queda después de T-16. Todo lo que pide el enunciado está por encima de ella. T-17, el front opcional, queda por debajo y se dividió en partes temáticas que se pueden cortar sin riesgo: después de cada parte web el cliente compila, corre en Docker y pasa sus pruebas, así que detenerse después de cualquier parte no deja rutas, claves ni endpoints a medio conectar. El plazo de cinco días es el riesgo RISK-07 del plan, y el avance se iba a contrastar con el plan al final del día 4 (decisión abierta OD-02).</w:t>
      </w:r>
    </w:p>
    <w:p>
      <w:pPr>
        <w:pStyle w:val="Heading3"/>
        <w:keepNext/>
        <w:spacing w:before="160" w:after="80"/>
      </w:pPr>
      <w:r>
        <w:rPr>
          <w:rFonts w:ascii="Arial" w:hAnsi="Arial" w:eastAsia="Arial"/>
          <w:b/>
          <w:color w:val="000000"/>
          <w:sz w:val="24"/>
        </w:rPr>
        <w:t>4.3 El plan frente a la realidad</w:t>
      </w:r>
    </w:p>
    <w:p>
      <w:r>
        <w:rPr>
          <w:rFonts w:ascii="Arial" w:hAnsi="Arial" w:eastAsia="Arial"/>
          <w:b w:val="0"/>
          <w:color w:val="000000"/>
          <w:sz w:val="24"/>
        </w:rPr>
        <w:t xml:space="preserve">El historial de merges del repositorio de la API muestra el orden que se siguió de verdad. El 2026-10-15 se integraron primero T-02 y T-03 (dinero y pipeline), luego T-08, T-09, T-14, T-15 y T-10 (esquema, errores, outbox, limpieza, cotizaciones), y después T-11, T-12 y T-13 (confirmación, sus invariantes, historial). Las palancas T-04 … T-07 vinieron a continuación, y luego T-18 y T-16. Es decir, el camino de persistencia y confirmación se construyó antes que las palancas. TASKS registra la consecuencia: T-10 se construyó antes que T-04 … T-06, así que su camino de cotización solo cargaba precios y tasas de impuesto. Por eso se agregó T-18, que conecta las palancas sembradas a las cotizaciones, con </w:t>
      </w:r>
      <w:r>
        <w:rPr>
          <w:rFonts w:ascii="Arial" w:hAnsi="Arial" w:eastAsia="Arial"/>
          <w:b w:val="0"/>
          <w:color w:val="000000"/>
          <w:sz w:val="24"/>
        </w:rPr>
        <w:t>QuoteLeversIT</w:t>
      </w:r>
      <w:r>
        <w:rPr>
          <w:rFonts w:ascii="Arial" w:hAnsi="Arial" w:eastAsia="Arial"/>
          <w:b w:val="0"/>
          <w:color w:val="000000"/>
          <w:sz w:val="24"/>
        </w:rPr>
        <w:t xml:space="preserve"> reproduciendo los casos de escala, combo y obsequio a través de </w:t>
      </w:r>
      <w:r>
        <w:rPr>
          <w:rFonts w:ascii="Arial" w:hAnsi="Arial" w:eastAsia="Arial"/>
          <w:b w:val="0"/>
          <w:color w:val="000000"/>
          <w:sz w:val="24"/>
        </w:rPr>
        <w:t>POST /api/v1/quotes</w:t>
      </w:r>
      <w:r>
        <w:rPr>
          <w:rFonts w:ascii="Arial" w:hAnsi="Arial" w:eastAsia="Arial"/>
          <w:b w:val="0"/>
          <w:color w:val="000000"/>
          <w:sz w:val="24"/>
        </w:rPr>
        <w:t>, antes de que T-16 cerrara el núcleo.</w:t>
      </w:r>
    </w:p>
    <w:p>
      <w:r>
        <w:rPr>
          <w:rFonts w:ascii="Arial" w:hAnsi="Arial" w:eastAsia="Arial"/>
          <w:b w:val="0"/>
          <w:color w:val="000000"/>
          <w:sz w:val="24"/>
        </w:rPr>
        <w:t xml:space="preserve">Después de T-17 se agregaron dos tareas. T-19 reúne las correcciones que salieron de recorrer el stack completo: nombres de productos y clientes en el idioma de los tenants, un tope de 1,000,000 por cantidad, códigos de moneda junto a los montos, el idioma elegido recordado, reinicio por Docker y un paso de extremo a extremo en </w:t>
      </w:r>
      <w:r>
        <w:rPr>
          <w:rFonts w:ascii="Arial" w:hAnsi="Arial" w:eastAsia="Arial"/>
          <w:b w:val="0"/>
          <w:color w:val="000000"/>
          <w:sz w:val="24"/>
        </w:rPr>
        <w:t>test-all</w:t>
      </w:r>
      <w:r>
        <w:rPr>
          <w:rFonts w:ascii="Arial" w:hAnsi="Arial" w:eastAsia="Arial"/>
          <w:b w:val="0"/>
          <w:color w:val="000000"/>
          <w:sz w:val="24"/>
        </w:rPr>
        <w:t>. T-20 agrega Guatemala y Perú solo como datos.</w:t>
      </w:r>
    </w:p>
    <w:p>
      <w:pPr>
        <w:pStyle w:val="Heading2"/>
        <w:keepNext/>
        <w:spacing w:before="160" w:after="80"/>
      </w:pPr>
      <w:r>
        <w:rPr>
          <w:rFonts w:ascii="Arial" w:hAnsi="Arial" w:eastAsia="Arial"/>
          <w:b/>
          <w:color w:val="000000"/>
          <w:sz w:val="24"/>
        </w:rPr>
        <w:t>5. El motor de precios (A1) paso a paso</w:t>
      </w:r>
    </w:p>
    <w:p>
      <w:pPr>
        <w:pStyle w:val="Heading3"/>
        <w:keepNext/>
        <w:spacing w:before="160" w:after="80"/>
      </w:pPr>
      <w:r>
        <w:rPr>
          <w:rFonts w:ascii="Arial" w:hAnsi="Arial" w:eastAsia="Arial"/>
          <w:b/>
          <w:color w:val="000000"/>
          <w:sz w:val="24"/>
        </w:rPr>
        <w:t>5.1 El tipo de dinero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4"/>
        <w:gridCol w:w="7154"/>
      </w:tblGrid>
      <w:tr>
        <w:tc>
          <w:tcPr>
            <w:tcW w:type="dxa" w:w="2484"/>
          </w:tcPr>
          <w:p>
            <w:pPr>
              <w:spacing w:after="0"/>
            </w:pPr>
            <w:r>
              <w:rPr>
                <w:rFonts w:ascii="Arial" w:hAnsi="Arial" w:eastAsia="Arial"/>
                <w:b/>
                <w:color w:val="000000"/>
                <w:sz w:val="24"/>
              </w:rPr>
              <w:t>Aspecto</w:t>
            </w:r>
          </w:p>
        </w:tc>
        <w:tc>
          <w:tcPr>
            <w:tcW w:type="dxa" w:w="7154"/>
          </w:tcPr>
          <w:p>
            <w:pPr>
              <w:spacing w:after="0"/>
            </w:pPr>
            <w:r>
              <w:rPr>
                <w:rFonts w:ascii="Arial" w:hAnsi="Arial" w:eastAsia="Arial"/>
                <w:b/>
                <w:color w:val="000000"/>
                <w:sz w:val="24"/>
              </w:rPr>
              <w:t>Decisión</w:t>
            </w:r>
          </w:p>
        </w:tc>
      </w:tr>
      <w:tr>
        <w:tc>
          <w:tcPr>
            <w:tcW w:type="dxa" w:w="2484"/>
          </w:tcPr>
          <w:p>
            <w:pPr>
              <w:spacing w:after="0"/>
            </w:pPr>
            <w:r>
              <w:rPr>
                <w:rFonts w:ascii="Arial" w:hAnsi="Arial" w:eastAsia="Arial"/>
                <w:b w:val="0"/>
                <w:color w:val="000000"/>
                <w:sz w:val="24"/>
              </w:rPr>
              <w:t>Tipo</w:t>
            </w:r>
          </w:p>
        </w:tc>
        <w:tc>
          <w:tcPr>
            <w:tcW w:type="dxa" w:w="7154"/>
          </w:tcPr>
          <w:p>
            <w:pPr>
              <w:spacing w:after="0"/>
            </w:pPr>
            <w:r>
              <w:rPr>
                <w:rFonts w:ascii="Arial" w:hAnsi="Arial" w:eastAsia="Arial"/>
                <w:b w:val="0"/>
                <w:color w:val="000000"/>
                <w:sz w:val="24"/>
              </w:rPr>
              <w:t>Money(BigDecimal amount, CurrencyPolicy policy)</w:t>
            </w:r>
            <w:r>
              <w:rPr>
                <w:rFonts w:ascii="Arial" w:hAnsi="Arial" w:eastAsia="Arial"/>
                <w:b w:val="0"/>
                <w:color w:val="000000"/>
                <w:sz w:val="24"/>
              </w:rPr>
              <w:t xml:space="preserve">, un value object inmutable. Una regla de ArchUnit prohíbe </w:t>
            </w:r>
            <w:r>
              <w:rPr>
                <w:rFonts w:ascii="Arial" w:hAnsi="Arial" w:eastAsia="Arial"/>
                <w:b w:val="0"/>
                <w:color w:val="000000"/>
                <w:sz w:val="24"/>
              </w:rPr>
              <w:t>float</w:t>
            </w:r>
            <w:r>
              <w:rPr>
                <w:rFonts w:ascii="Arial" w:hAnsi="Arial" w:eastAsia="Arial"/>
                <w:b w:val="0"/>
                <w:color w:val="000000"/>
                <w:sz w:val="24"/>
              </w:rPr>
              <w:t xml:space="preserve"> y </w:t>
            </w:r>
            <w:r>
              <w:rPr>
                <w:rFonts w:ascii="Arial" w:hAnsi="Arial" w:eastAsia="Arial"/>
                <w:b w:val="0"/>
                <w:color w:val="000000"/>
                <w:sz w:val="24"/>
              </w:rPr>
              <w:t>double</w:t>
            </w:r>
            <w:r>
              <w:rPr>
                <w:rFonts w:ascii="Arial" w:hAnsi="Arial" w:eastAsia="Arial"/>
                <w:b w:val="0"/>
                <w:color w:val="000000"/>
                <w:sz w:val="24"/>
              </w:rPr>
              <w:t xml:space="preserve"> en </w:t>
            </w:r>
            <w:r>
              <w:rPr>
                <w:rFonts w:ascii="Arial" w:hAnsi="Arial" w:eastAsia="Arial"/>
                <w:b w:val="0"/>
                <w:color w:val="000000"/>
                <w:sz w:val="24"/>
              </w:rPr>
              <w:t>pricing.domain</w:t>
            </w:r>
          </w:p>
        </w:tc>
      </w:tr>
      <w:tr>
        <w:tc>
          <w:tcPr>
            <w:tcW w:type="dxa" w:w="2484"/>
          </w:tcPr>
          <w:p>
            <w:pPr>
              <w:spacing w:after="0"/>
            </w:pPr>
            <w:r>
              <w:rPr>
                <w:rFonts w:ascii="Arial" w:hAnsi="Arial" w:eastAsia="Arial"/>
                <w:b w:val="0"/>
                <w:color w:val="000000"/>
                <w:sz w:val="24"/>
              </w:rPr>
              <w:t>Escala</w:t>
            </w:r>
          </w:p>
        </w:tc>
        <w:tc>
          <w:tcPr>
            <w:tcW w:type="dxa" w:w="7154"/>
          </w:tcPr>
          <w:p>
            <w:pPr>
              <w:spacing w:after="0"/>
            </w:pPr>
            <w:r>
              <w:rPr>
                <w:rFonts w:ascii="Arial" w:hAnsi="Arial" w:eastAsia="Arial"/>
                <w:b w:val="0"/>
                <w:color w:val="000000"/>
                <w:sz w:val="24"/>
              </w:rPr>
              <w:t xml:space="preserve">Dato: la fila de la moneda (COP 0; USD, GTQ y PEN 2). Nunca </w:t>
            </w:r>
            <w:r>
              <w:rPr>
                <w:rFonts w:ascii="Arial" w:hAnsi="Arial" w:eastAsia="Arial"/>
                <w:b w:val="0"/>
                <w:color w:val="000000"/>
                <w:sz w:val="24"/>
              </w:rPr>
              <w:t>java.util.Currency</w:t>
            </w:r>
            <w:r>
              <w:rPr>
                <w:rFonts w:ascii="Arial" w:hAnsi="Arial" w:eastAsia="Arial"/>
                <w:b w:val="0"/>
                <w:color w:val="000000"/>
                <w:sz w:val="24"/>
              </w:rPr>
              <w:t>, que reporta COP con 2 decimales (trampa TR-01 del HANDOFF); otra regla de ArchUnit lo prohíbe en el dominio</w:t>
            </w:r>
          </w:p>
        </w:tc>
      </w:tr>
      <w:tr>
        <w:tc>
          <w:tcPr>
            <w:tcW w:type="dxa" w:w="2484"/>
          </w:tcPr>
          <w:p>
            <w:pPr>
              <w:spacing w:after="0"/>
            </w:pPr>
            <w:r>
              <w:rPr>
                <w:rFonts w:ascii="Arial" w:hAnsi="Arial" w:eastAsia="Arial"/>
                <w:b w:val="0"/>
                <w:color w:val="000000"/>
                <w:sz w:val="24"/>
              </w:rPr>
              <w:t>Modo de redondeo</w:t>
            </w:r>
          </w:p>
        </w:tc>
        <w:tc>
          <w:tcPr>
            <w:tcW w:type="dxa" w:w="7154"/>
          </w:tcPr>
          <w:p>
            <w:pPr>
              <w:spacing w:after="0"/>
            </w:pPr>
            <w:r>
              <w:rPr>
                <w:rFonts w:ascii="Arial" w:hAnsi="Arial" w:eastAsia="Arial"/>
                <w:b w:val="0"/>
                <w:color w:val="000000"/>
                <w:sz w:val="24"/>
              </w:rPr>
              <w:t xml:space="preserve">Dato: la fila del país. </w:t>
            </w:r>
            <w:r>
              <w:rPr>
                <w:rFonts w:ascii="Arial" w:hAnsi="Arial" w:eastAsia="Arial"/>
                <w:b w:val="0"/>
                <w:color w:val="000000"/>
                <w:sz w:val="24"/>
              </w:rPr>
              <w:t>HALF_UP</w:t>
            </w:r>
            <w:r>
              <w:rPr>
                <w:rFonts w:ascii="Arial" w:hAnsi="Arial" w:eastAsia="Arial"/>
                <w:b w:val="0"/>
                <w:color w:val="000000"/>
                <w:sz w:val="24"/>
              </w:rPr>
              <w:t xml:space="preserve"> en los cuatro países sembrados</w:t>
            </w:r>
          </w:p>
        </w:tc>
      </w:tr>
      <w:tr>
        <w:tc>
          <w:tcPr>
            <w:tcW w:type="dxa" w:w="2484"/>
          </w:tcPr>
          <w:p>
            <w:pPr>
              <w:spacing w:after="0"/>
            </w:pPr>
            <w:r>
              <w:rPr>
                <w:rFonts w:ascii="Arial" w:hAnsi="Arial" w:eastAsia="Arial"/>
                <w:b w:val="0"/>
                <w:color w:val="000000"/>
                <w:sz w:val="24"/>
              </w:rPr>
              <w:t>Almacenamiento</w:t>
            </w:r>
          </w:p>
        </w:tc>
        <w:tc>
          <w:tcPr>
            <w:tcW w:type="dxa" w:w="7154"/>
          </w:tcPr>
          <w:p>
            <w:pPr>
              <w:spacing w:after="0"/>
            </w:pPr>
            <w:r>
              <w:rPr>
                <w:rFonts w:ascii="Arial" w:hAnsi="Arial" w:eastAsia="Arial"/>
                <w:b w:val="0"/>
                <w:color w:val="000000"/>
                <w:sz w:val="24"/>
              </w:rPr>
              <w:t xml:space="preserve">El dinero es </w:t>
            </w:r>
            <w:r>
              <w:rPr>
                <w:rFonts w:ascii="Arial" w:hAnsi="Arial" w:eastAsia="Arial"/>
                <w:b w:val="0"/>
                <w:color w:val="000000"/>
                <w:sz w:val="24"/>
              </w:rPr>
              <w:t>NUMERIC(19,4)</w:t>
            </w:r>
            <w:r>
              <w:rPr>
                <w:rFonts w:ascii="Arial" w:hAnsi="Arial" w:eastAsia="Arial"/>
                <w:b w:val="0"/>
                <w:color w:val="000000"/>
                <w:sz w:val="24"/>
              </w:rPr>
              <w:t xml:space="preserve"> y las tasas </w:t>
            </w:r>
            <w:r>
              <w:rPr>
                <w:rFonts w:ascii="Arial" w:hAnsi="Arial" w:eastAsia="Arial"/>
                <w:b w:val="0"/>
                <w:color w:val="000000"/>
                <w:sz w:val="24"/>
              </w:rPr>
              <w:t>NUMERIC(7,6)</w:t>
            </w:r>
            <w:r>
              <w:rPr>
                <w:rFonts w:ascii="Arial" w:hAnsi="Arial" w:eastAsia="Arial"/>
                <w:b w:val="0"/>
                <w:color w:val="000000"/>
                <w:sz w:val="24"/>
              </w:rPr>
              <w:t>. Un precio con más decimales de los que admite su moneda se rechaza al cargarlo (</w:t>
            </w:r>
            <w:r>
              <w:rPr>
                <w:rFonts w:ascii="Arial" w:hAnsi="Arial" w:eastAsia="Arial"/>
                <w:b w:val="0"/>
                <w:color w:val="000000"/>
                <w:sz w:val="24"/>
              </w:rPr>
              <w:t>PriceScaleValidationIT</w:t>
            </w:r>
            <w:r>
              <w:rPr>
                <w:rFonts w:ascii="Arial" w:hAnsi="Arial" w:eastAsia="Arial"/>
                <w:b w:val="0"/>
                <w:color w:val="000000"/>
                <w:sz w:val="24"/>
              </w:rPr>
              <w:t>)</w:t>
            </w:r>
          </w:p>
        </w:tc>
      </w:tr>
      <w:tr>
        <w:tc>
          <w:tcPr>
            <w:tcW w:type="dxa" w:w="2484"/>
          </w:tcPr>
          <w:p>
            <w:pPr>
              <w:spacing w:after="0"/>
            </w:pPr>
            <w:r>
              <w:rPr>
                <w:rFonts w:ascii="Arial" w:hAnsi="Arial" w:eastAsia="Arial"/>
                <w:b w:val="0"/>
                <w:color w:val="000000"/>
                <w:sz w:val="24"/>
              </w:rPr>
              <w:t>Comparación</w:t>
            </w:r>
          </w:p>
        </w:tc>
        <w:tc>
          <w:tcPr>
            <w:tcW w:type="dxa" w:w="7154"/>
          </w:tcPr>
          <w:p>
            <w:pPr>
              <w:spacing w:after="0"/>
            </w:pPr>
            <w:r>
              <w:rPr>
                <w:rFonts w:ascii="Arial" w:hAnsi="Arial" w:eastAsia="Arial"/>
                <w:b w:val="0"/>
                <w:color w:val="000000"/>
                <w:sz w:val="24"/>
              </w:rPr>
              <w:t xml:space="preserve">Siempre </w:t>
            </w:r>
            <w:r>
              <w:rPr>
                <w:rFonts w:ascii="Arial" w:hAnsi="Arial" w:eastAsia="Arial"/>
                <w:b w:val="0"/>
                <w:color w:val="000000"/>
                <w:sz w:val="24"/>
              </w:rPr>
              <w:t>compareTo</w:t>
            </w:r>
            <w:r>
              <w:rPr>
                <w:rFonts w:ascii="Arial" w:hAnsi="Arial" w:eastAsia="Arial"/>
                <w:b w:val="0"/>
                <w:color w:val="000000"/>
                <w:sz w:val="24"/>
              </w:rPr>
              <w:t xml:space="preserve">, nunca </w:t>
            </w:r>
            <w:r>
              <w:rPr>
                <w:rFonts w:ascii="Arial" w:hAnsi="Arial" w:eastAsia="Arial"/>
                <w:b w:val="0"/>
                <w:color w:val="000000"/>
                <w:sz w:val="24"/>
              </w:rPr>
              <w:t>equals</w:t>
            </w:r>
            <w:r>
              <w:rPr>
                <w:rFonts w:ascii="Arial" w:hAnsi="Arial" w:eastAsia="Arial"/>
                <w:b w:val="0"/>
                <w:color w:val="000000"/>
                <w:sz w:val="24"/>
              </w:rPr>
              <w:t xml:space="preserve">, porque </w:t>
            </w:r>
            <w:r>
              <w:rPr>
                <w:rFonts w:ascii="Arial" w:hAnsi="Arial" w:eastAsia="Arial"/>
                <w:b w:val="0"/>
                <w:color w:val="000000"/>
                <w:sz w:val="24"/>
              </w:rPr>
              <w:t>equals</w:t>
            </w:r>
            <w:r>
              <w:rPr>
                <w:rFonts w:ascii="Arial" w:hAnsi="Arial" w:eastAsia="Arial"/>
                <w:b w:val="0"/>
                <w:color w:val="000000"/>
                <w:sz w:val="24"/>
              </w:rPr>
              <w:t xml:space="preserve"> también compara la escala</w:t>
            </w:r>
          </w:p>
        </w:tc>
      </w:tr>
      <w:tr>
        <w:tc>
          <w:tcPr>
            <w:tcW w:type="dxa" w:w="2484"/>
          </w:tcPr>
          <w:p>
            <w:pPr>
              <w:spacing w:after="0"/>
            </w:pPr>
            <w:r>
              <w:rPr>
                <w:rFonts w:ascii="Arial" w:hAnsi="Arial" w:eastAsia="Arial"/>
                <w:b w:val="0"/>
                <w:color w:val="000000"/>
                <w:sz w:val="24"/>
              </w:rPr>
              <w:t>API</w:t>
            </w:r>
          </w:p>
        </w:tc>
        <w:tc>
          <w:tcPr>
            <w:tcW w:type="dxa" w:w="7154"/>
          </w:tcPr>
          <w:p>
            <w:pPr>
              <w:spacing w:after="0"/>
            </w:pPr>
            <w:r>
              <w:rPr>
                <w:rFonts w:ascii="Arial" w:hAnsi="Arial" w:eastAsia="Arial"/>
                <w:b w:val="0"/>
                <w:color w:val="000000"/>
                <w:sz w:val="24"/>
              </w:rPr>
              <w:t>El dinero viaja como cadena JSON con la escala de la moneda, y el código ISO de moneda aparece una vez por cuerpo. El cliente web formatea esa cadena y nunca la convierte en número</w:t>
            </w:r>
          </w:p>
        </w:tc>
      </w:tr>
    </w:tbl>
    <w:p>
      <w:pPr>
        <w:pStyle w:val="Heading3"/>
        <w:keepNext/>
        <w:spacing w:before="160" w:after="80"/>
      </w:pPr>
      <w:r>
        <w:rPr>
          <w:rFonts w:ascii="Arial" w:hAnsi="Arial" w:eastAsia="Arial"/>
          <w:b/>
          <w:color w:val="000000"/>
          <w:sz w:val="24"/>
        </w:rPr>
        <w:t>5.2 Normalización y pipeline</w:t>
      </w:r>
    </w:p>
    <w:p>
      <w:r>
        <w:rPr>
          <w:rFonts w:ascii="Arial" w:hAnsi="Arial" w:eastAsia="Arial"/>
          <w:b w:val="0"/>
          <w:color w:val="000000"/>
          <w:sz w:val="24"/>
        </w:rPr>
        <w:t xml:space="preserve">El motor es una sola función pura: </w:t>
      </w:r>
      <w:r>
        <w:rPr>
          <w:rFonts w:ascii="Arial" w:hAnsi="Arial" w:eastAsia="Arial"/>
          <w:b w:val="0"/>
          <w:color w:val="000000"/>
          <w:sz w:val="24"/>
        </w:rPr>
        <w:t>Breakdown PricingEngine.price(Cart, PricingSnapshot)</w:t>
      </w:r>
      <w:r>
        <w:rPr>
          <w:rFonts w:ascii="Arial" w:hAnsi="Arial" w:eastAsia="Arial"/>
          <w:b w:val="0"/>
          <w:color w:val="000000"/>
          <w:sz w:val="24"/>
        </w:rPr>
        <w:t>. Primero la capa de aplicación resuelve la foto de los datos: precios unitarios, palancas activas, tasas de impuesto y política del país en un mismo instante. El motor no ve base de datos, reloj ni framework, así que es determinista y los golden tests pueden fijar su resultado (P-06).</w:t>
      </w:r>
    </w:p>
    <w:p>
      <w:r>
        <w:rPr>
          <w:rFonts w:ascii="Arial" w:hAnsi="Arial" w:eastAsia="Arial"/>
          <w:b w:val="0"/>
          <w:color w:val="000000"/>
          <w:sz w:val="24"/>
        </w:rPr>
        <w:t xml:space="preserve">Antes de calcular, el carrito se normaliza (BR-00): se unen los SKU repetidos, las líneas se ordenan por SKU y la entrada inválida falla de inmediato con un código estable: una cantidad de cero o menos, no entera o mayor que 1,000,000 → 400 </w:t>
      </w:r>
      <w:r>
        <w:rPr>
          <w:rFonts w:ascii="Arial" w:hAnsi="Arial" w:eastAsia="Arial"/>
          <w:b w:val="0"/>
          <w:color w:val="000000"/>
          <w:sz w:val="24"/>
        </w:rPr>
        <w:t>INVALID_QUANTITY</w:t>
      </w:r>
      <w:r>
        <w:rPr>
          <w:rFonts w:ascii="Arial" w:hAnsi="Arial" w:eastAsia="Arial"/>
          <w:b w:val="0"/>
          <w:color w:val="000000"/>
          <w:sz w:val="24"/>
        </w:rPr>
        <w:t xml:space="preserve">; un carrito vacío → 400 </w:t>
      </w:r>
      <w:r>
        <w:rPr>
          <w:rFonts w:ascii="Arial" w:hAnsi="Arial" w:eastAsia="Arial"/>
          <w:b w:val="0"/>
          <w:color w:val="000000"/>
          <w:sz w:val="24"/>
        </w:rPr>
        <w:t>CART_EMPTY</w:t>
      </w:r>
      <w:r>
        <w:rPr>
          <w:rFonts w:ascii="Arial" w:hAnsi="Arial" w:eastAsia="Arial"/>
          <w:b w:val="0"/>
          <w:color w:val="000000"/>
          <w:sz w:val="24"/>
        </w:rPr>
        <w:t xml:space="preserve">; un SKU desconocido o de otro tenant → 422 </w:t>
      </w:r>
      <w:r>
        <w:rPr>
          <w:rFonts w:ascii="Arial" w:hAnsi="Arial" w:eastAsia="Arial"/>
          <w:b w:val="0"/>
          <w:color w:val="000000"/>
          <w:sz w:val="24"/>
        </w:rPr>
        <w:t>UNKNOWN_SKU</w:t>
      </w:r>
      <w:r>
        <w:rPr>
          <w:rFonts w:ascii="Arial" w:hAnsi="Arial" w:eastAsia="Arial"/>
          <w:b w:val="0"/>
          <w:color w:val="000000"/>
          <w:sz w:val="24"/>
        </w:rPr>
        <w:t>. Una cantidad de obsequio derivada por encima del mismo límite también es un 400, calculada con aritmética que detecta desbordamiento, así que nunca da la vuelta ni responde 500.</w:t>
      </w:r>
    </w:p>
    <w:p>
      <w:pPr>
        <w:keepNext/>
        <w:spacing w:before="120" w:after="40"/>
        <w:jc w:val="center"/>
      </w:pPr>
      <w:r>
        <w:drawing>
          <wp:inline xmlns:a="http://schemas.openxmlformats.org/drawingml/2006/main" xmlns:pic="http://schemas.openxmlformats.org/drawingml/2006/picture" distT="0" distB="0" distL="0" distR="0">
            <wp:extent cx="6120130" cy="2605600"/>
            <wp:docPr id="1" name="Picture 1"/>
            <wp:cNvGraphicFramePr>
              <a:graphicFrameLocks noChangeAspect="1"/>
            </wp:cNvGraphicFramePr>
            <a:graphic>
              <a:graphicData uri="http://schemas.openxmlformats.org/drawingml/2006/picture">
                <pic:pic>
                  <pic:nvPicPr>
                    <pic:cNvPr id="0" name="05-pricing-pipeline.png"/>
                    <pic:cNvPicPr/>
                  </pic:nvPicPr>
                  <pic:blipFill>
                    <a:blip r:embed="rId10"/>
                    <a:stretch>
                      <a:fillRect/>
                    </a:stretch>
                  </pic:blipFill>
                  <pic:spPr>
                    <a:xfrm>
                      <a:off x="0" y="0"/>
                      <a:ext cx="6120130" cy="2605600"/>
                    </a:xfrm>
                    <a:prstGeom prst="rect"/>
                  </pic:spPr>
                </pic:pic>
              </a:graphicData>
            </a:graphic>
          </wp:inline>
        </w:drawing>
      </w:r>
    </w:p>
    <w:p>
      <w:pPr>
        <w:spacing w:after="160"/>
        <w:jc w:val="center"/>
      </w:pPr>
      <w:r>
        <w:rPr>
          <w:rFonts w:ascii="Arial" w:hAnsi="Arial" w:eastAsia="Arial"/>
          <w:b/>
          <w:color w:val="000000"/>
          <w:sz w:val="24"/>
        </w:rPr>
        <w:t>Figura 1.</w:t>
      </w:r>
      <w:r>
        <w:rPr>
          <w:rFonts w:ascii="Arial" w:hAnsi="Arial" w:eastAsia="Arial"/>
          <w:b w:val="0"/>
          <w:color w:val="000000"/>
          <w:sz w:val="24"/>
        </w:rPr>
        <w:t xml:space="preserve"> </w:t>
      </w:r>
      <w:r>
        <w:rPr>
          <w:rFonts w:ascii="Arial" w:hAnsi="Arial" w:eastAsia="Arial"/>
          <w:b w:val="0"/>
          <w:color w:val="000000"/>
          <w:sz w:val="24"/>
        </w:rPr>
        <w:t>Pipeline de precios: el orden en que se aplican las palancas</w:t>
      </w:r>
    </w:p>
    <w:p>
      <w:pPr>
        <w:pStyle w:val="Heading3"/>
        <w:keepNext/>
        <w:spacing w:before="160" w:after="80"/>
      </w:pPr>
      <w:r>
        <w:rPr>
          <w:rFonts w:ascii="Arial" w:hAnsi="Arial" w:eastAsia="Arial"/>
          <w:b/>
          <w:color w:val="000000"/>
          <w:sz w:val="24"/>
        </w:rPr>
        <w:t>5.3 Orden de las palancas y sus razones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003"/>
        <w:gridCol w:w="4655"/>
      </w:tblGrid>
      <w:tr>
        <w:tc>
          <w:tcPr>
            <w:tcW w:type="dxa" w:w="980"/>
          </w:tcPr>
          <w:p>
            <w:pPr>
              <w:spacing w:after="0"/>
            </w:pPr>
            <w:r>
              <w:rPr>
                <w:rFonts w:ascii="Arial" w:hAnsi="Arial" w:eastAsia="Arial"/>
                <w:b/>
                <w:color w:val="000000"/>
                <w:sz w:val="24"/>
              </w:rPr>
              <w:t>Paso</w:t>
            </w:r>
          </w:p>
        </w:tc>
        <w:tc>
          <w:tcPr>
            <w:tcW w:type="dxa" w:w="4003"/>
          </w:tcPr>
          <w:p>
            <w:pPr>
              <w:spacing w:after="0"/>
            </w:pPr>
            <w:r>
              <w:rPr>
                <w:rFonts w:ascii="Arial" w:hAnsi="Arial" w:eastAsia="Arial"/>
                <w:b/>
                <w:color w:val="000000"/>
                <w:sz w:val="24"/>
              </w:rPr>
              <w:t>Qué</w:t>
            </w:r>
          </w:p>
        </w:tc>
        <w:tc>
          <w:tcPr>
            <w:tcW w:type="dxa" w:w="4655"/>
          </w:tcPr>
          <w:p>
            <w:pPr>
              <w:spacing w:after="0"/>
            </w:pPr>
            <w:r>
              <w:rPr>
                <w:rFonts w:ascii="Arial" w:hAnsi="Arial" w:eastAsia="Arial"/>
                <w:b/>
                <w:color w:val="000000"/>
                <w:sz w:val="24"/>
              </w:rPr>
              <w:t>Por qué aquí</w:t>
            </w:r>
          </w:p>
        </w:tc>
      </w:tr>
      <w:tr>
        <w:tc>
          <w:tcPr>
            <w:tcW w:type="dxa" w:w="980"/>
          </w:tcPr>
          <w:p>
            <w:pPr>
              <w:spacing w:after="0"/>
            </w:pPr>
            <w:r>
              <w:rPr>
                <w:rFonts w:ascii="Arial" w:hAnsi="Arial" w:eastAsia="Arial"/>
                <w:b w:val="0"/>
                <w:color w:val="000000"/>
                <w:sz w:val="24"/>
              </w:rPr>
              <w:t>1</w:t>
            </w:r>
          </w:p>
        </w:tc>
        <w:tc>
          <w:tcPr>
            <w:tcW w:type="dxa" w:w="4003"/>
          </w:tcPr>
          <w:p>
            <w:pPr>
              <w:spacing w:after="0"/>
            </w:pPr>
            <w:r>
              <w:rPr>
                <w:rFonts w:ascii="Arial" w:hAnsi="Arial" w:eastAsia="Arial"/>
                <w:b w:val="0"/>
                <w:color w:val="000000"/>
                <w:sz w:val="24"/>
              </w:rPr>
              <w:t>Elegibilidad de obsequios, sobre cantidades pagadas y el subtotal bruto antes de descuentos</w:t>
            </w:r>
          </w:p>
        </w:tc>
        <w:tc>
          <w:tcPr>
            <w:tcW w:type="dxa" w:w="4655"/>
          </w:tcPr>
          <w:p>
            <w:pPr>
              <w:spacing w:after="0"/>
            </w:pPr>
            <w:r>
              <w:rPr>
                <w:rFonts w:ascii="Arial" w:hAnsi="Arial" w:eastAsia="Arial"/>
                <w:b w:val="0"/>
                <w:color w:val="000000"/>
                <w:sz w:val="24"/>
              </w:rPr>
              <w:t>El obsequio lo dispara lo que el cliente compra y nunca cambia lo que paga por producto</w:t>
            </w:r>
          </w:p>
        </w:tc>
      </w:tr>
      <w:tr>
        <w:tc>
          <w:tcPr>
            <w:tcW w:type="dxa" w:w="980"/>
          </w:tcPr>
          <w:p>
            <w:pPr>
              <w:spacing w:after="0"/>
            </w:pPr>
            <w:r>
              <w:rPr>
                <w:rFonts w:ascii="Arial" w:hAnsi="Arial" w:eastAsia="Arial"/>
                <w:b w:val="0"/>
                <w:color w:val="000000"/>
                <w:sz w:val="24"/>
              </w:rPr>
              <w:t>2</w:t>
            </w:r>
          </w:p>
        </w:tc>
        <w:tc>
          <w:tcPr>
            <w:tcW w:type="dxa" w:w="4003"/>
          </w:tcPr>
          <w:p>
            <w:pPr>
              <w:spacing w:after="0"/>
            </w:pPr>
            <w:r>
              <w:rPr>
                <w:rFonts w:ascii="Arial" w:hAnsi="Arial" w:eastAsia="Arial"/>
                <w:b w:val="0"/>
                <w:color w:val="000000"/>
                <w:sz w:val="24"/>
              </w:rPr>
              <w:t>Combos</w:t>
            </w:r>
          </w:p>
        </w:tc>
        <w:tc>
          <w:tcPr>
            <w:tcW w:type="dxa" w:w="4655"/>
          </w:tcPr>
          <w:p>
            <w:pPr>
              <w:spacing w:after="0"/>
            </w:pPr>
            <w:r>
              <w:rPr>
                <w:rFonts w:ascii="Arial" w:hAnsi="Arial" w:eastAsia="Arial"/>
                <w:b w:val="0"/>
                <w:color w:val="000000"/>
                <w:sz w:val="24"/>
              </w:rPr>
              <w:t>Un combo es un precio de paquete negociado. Consume sus unidades primero, para que no reciban además un descuento por escala</w:t>
            </w:r>
          </w:p>
        </w:tc>
      </w:tr>
      <w:tr>
        <w:tc>
          <w:tcPr>
            <w:tcW w:type="dxa" w:w="980"/>
          </w:tcPr>
          <w:p>
            <w:pPr>
              <w:spacing w:after="0"/>
            </w:pPr>
            <w:r>
              <w:rPr>
                <w:rFonts w:ascii="Arial" w:hAnsi="Arial" w:eastAsia="Arial"/>
                <w:b w:val="0"/>
                <w:color w:val="000000"/>
                <w:sz w:val="24"/>
              </w:rPr>
              <w:t>3</w:t>
            </w:r>
          </w:p>
        </w:tc>
        <w:tc>
          <w:tcPr>
            <w:tcW w:type="dxa" w:w="4003"/>
          </w:tcPr>
          <w:p>
            <w:pPr>
              <w:spacing w:after="0"/>
            </w:pPr>
            <w:r>
              <w:rPr>
                <w:rFonts w:ascii="Arial" w:hAnsi="Arial" w:eastAsia="Arial"/>
                <w:b w:val="0"/>
                <w:color w:val="000000"/>
                <w:sz w:val="24"/>
              </w:rPr>
              <w:t>Descuentos por escala sobre las unidades que ningún combo consumió</w:t>
            </w:r>
          </w:p>
        </w:tc>
        <w:tc>
          <w:tcPr>
            <w:tcW w:type="dxa" w:w="4655"/>
          </w:tcPr>
          <w:p>
            <w:pPr>
              <w:spacing w:after="0"/>
            </w:pPr>
            <w:r>
              <w:rPr>
                <w:rFonts w:ascii="Arial" w:hAnsi="Arial" w:eastAsia="Arial"/>
                <w:b w:val="0"/>
                <w:color w:val="000000"/>
                <w:sz w:val="24"/>
              </w:rPr>
              <w:t>El incentivo genérico por volumen se aplica solo a lo que el paquete no tarifó</w:t>
            </w:r>
          </w:p>
        </w:tc>
      </w:tr>
      <w:tr>
        <w:tc>
          <w:tcPr>
            <w:tcW w:type="dxa" w:w="980"/>
          </w:tcPr>
          <w:p>
            <w:pPr>
              <w:spacing w:after="0"/>
            </w:pPr>
            <w:r>
              <w:rPr>
                <w:rFonts w:ascii="Arial" w:hAnsi="Arial" w:eastAsia="Arial"/>
                <w:b w:val="0"/>
                <w:color w:val="000000"/>
                <w:sz w:val="24"/>
              </w:rPr>
              <w:t>4</w:t>
            </w:r>
          </w:p>
        </w:tc>
        <w:tc>
          <w:tcPr>
            <w:tcW w:type="dxa" w:w="4003"/>
          </w:tcPr>
          <w:p>
            <w:pPr>
              <w:spacing w:after="0"/>
            </w:pPr>
            <w:r>
              <w:rPr>
                <w:rFonts w:ascii="Arial" w:hAnsi="Arial" w:eastAsia="Arial"/>
                <w:b w:val="0"/>
                <w:color w:val="000000"/>
                <w:sz w:val="24"/>
              </w:rPr>
              <w:t>Neto de la línea = bruto − componentes de descuento</w:t>
            </w:r>
          </w:p>
        </w:tc>
        <w:tc>
          <w:tcPr>
            <w:tcW w:type="dxa" w:w="4655"/>
          </w:tcPr>
          <w:p>
            <w:pPr>
              <w:spacing w:after="0"/>
            </w:pPr>
            <w:r>
              <w:rPr>
                <w:rFonts w:ascii="Arial" w:hAnsi="Arial" w:eastAsia="Arial"/>
                <w:b w:val="0"/>
                <w:color w:val="000000"/>
                <w:sz w:val="24"/>
              </w:rPr>
              <w:t>Los descuentos comerciales se liquidan antes del impuesto</w:t>
            </w:r>
          </w:p>
        </w:tc>
      </w:tr>
      <w:tr>
        <w:tc>
          <w:tcPr>
            <w:tcW w:type="dxa" w:w="980"/>
          </w:tcPr>
          <w:p>
            <w:pPr>
              <w:spacing w:after="0"/>
            </w:pPr>
            <w:r>
              <w:rPr>
                <w:rFonts w:ascii="Arial" w:hAnsi="Arial" w:eastAsia="Arial"/>
                <w:b w:val="0"/>
                <w:color w:val="000000"/>
                <w:sz w:val="24"/>
              </w:rPr>
              <w:t>5</w:t>
            </w:r>
          </w:p>
        </w:tc>
        <w:tc>
          <w:tcPr>
            <w:tcW w:type="dxa" w:w="4003"/>
          </w:tcPr>
          <w:p>
            <w:pPr>
              <w:spacing w:after="0"/>
            </w:pPr>
            <w:r>
              <w:rPr>
                <w:rFonts w:ascii="Arial" w:hAnsi="Arial" w:eastAsia="Arial"/>
                <w:b w:val="0"/>
                <w:color w:val="000000"/>
                <w:sz w:val="24"/>
              </w:rPr>
              <w:t>Base gravable</w:t>
            </w:r>
          </w:p>
        </w:tc>
        <w:tc>
          <w:tcPr>
            <w:tcW w:type="dxa" w:w="4655"/>
          </w:tcPr>
          <w:p>
            <w:pPr>
              <w:spacing w:after="0"/>
            </w:pPr>
            <w:r>
              <w:rPr>
                <w:rFonts w:ascii="Arial" w:hAnsi="Arial" w:eastAsia="Arial"/>
                <w:b w:val="0"/>
                <w:color w:val="000000"/>
                <w:sz w:val="24"/>
              </w:rPr>
              <w:t>El enunciado exige el impuesto sobre la base después de los descuentos comerciales</w:t>
            </w:r>
          </w:p>
        </w:tc>
      </w:tr>
      <w:tr>
        <w:tc>
          <w:tcPr>
            <w:tcW w:type="dxa" w:w="980"/>
          </w:tcPr>
          <w:p>
            <w:pPr>
              <w:spacing w:after="0"/>
            </w:pPr>
            <w:r>
              <w:rPr>
                <w:rFonts w:ascii="Arial" w:hAnsi="Arial" w:eastAsia="Arial"/>
                <w:b w:val="0"/>
                <w:color w:val="000000"/>
                <w:sz w:val="24"/>
              </w:rPr>
              <w:t>6</w:t>
            </w:r>
          </w:p>
        </w:tc>
        <w:tc>
          <w:tcPr>
            <w:tcW w:type="dxa" w:w="4003"/>
          </w:tcPr>
          <w:p>
            <w:pPr>
              <w:spacing w:after="0"/>
            </w:pPr>
            <w:r>
              <w:rPr>
                <w:rFonts w:ascii="Arial" w:hAnsi="Arial" w:eastAsia="Arial"/>
                <w:b w:val="0"/>
                <w:color w:val="000000"/>
                <w:sz w:val="24"/>
              </w:rPr>
              <w:t>Impuesto por línea</w:t>
            </w:r>
          </w:p>
        </w:tc>
        <w:tc>
          <w:tcPr>
            <w:tcW w:type="dxa" w:w="4655"/>
          </w:tcPr>
          <w:p>
            <w:pPr>
              <w:spacing w:after="0"/>
            </w:pPr>
            <w:r>
              <w:rPr>
                <w:rFonts w:ascii="Arial" w:hAnsi="Arial" w:eastAsia="Arial"/>
                <w:b w:val="0"/>
                <w:color w:val="000000"/>
                <w:sz w:val="24"/>
              </w:rPr>
              <w:t>Cada SKU tiene su propia tasa</w:t>
            </w:r>
          </w:p>
        </w:tc>
      </w:tr>
      <w:tr>
        <w:tc>
          <w:tcPr>
            <w:tcW w:type="dxa" w:w="980"/>
          </w:tcPr>
          <w:p>
            <w:pPr>
              <w:spacing w:after="0"/>
            </w:pPr>
            <w:r>
              <w:rPr>
                <w:rFonts w:ascii="Arial" w:hAnsi="Arial" w:eastAsia="Arial"/>
                <w:b w:val="0"/>
                <w:color w:val="000000"/>
                <w:sz w:val="24"/>
              </w:rPr>
              <w:t>7</w:t>
            </w:r>
          </w:p>
        </w:tc>
        <w:tc>
          <w:tcPr>
            <w:tcW w:type="dxa" w:w="4003"/>
          </w:tcPr>
          <w:p>
            <w:pPr>
              <w:spacing w:after="0"/>
            </w:pPr>
            <w:r>
              <w:rPr>
                <w:rFonts w:ascii="Arial" w:hAnsi="Arial" w:eastAsia="Arial"/>
                <w:b w:val="0"/>
                <w:color w:val="000000"/>
                <w:sz w:val="24"/>
              </w:rPr>
              <w:t>Total</w:t>
            </w:r>
          </w:p>
        </w:tc>
        <w:tc>
          <w:tcPr>
            <w:tcW w:type="dxa" w:w="4655"/>
          </w:tcPr>
          <w:p>
            <w:pPr>
              <w:spacing w:after="0"/>
            </w:pPr>
            <w:r>
              <w:rPr>
                <w:rFonts w:ascii="Arial" w:hAnsi="Arial" w:eastAsia="Arial"/>
                <w:b w:val="0"/>
                <w:color w:val="000000"/>
                <w:sz w:val="24"/>
              </w:rPr>
              <w:t>Necesita todos los pasos anteriores</w:t>
            </w:r>
          </w:p>
        </w:tc>
      </w:tr>
      <w:tr>
        <w:tc>
          <w:tcPr>
            <w:tcW w:type="dxa" w:w="980"/>
          </w:tcPr>
          <w:p>
            <w:pPr>
              <w:spacing w:after="0"/>
            </w:pPr>
            <w:r>
              <w:rPr>
                <w:rFonts w:ascii="Arial" w:hAnsi="Arial" w:eastAsia="Arial"/>
                <w:b w:val="0"/>
                <w:color w:val="000000"/>
                <w:sz w:val="24"/>
              </w:rPr>
              <w:t>8</w:t>
            </w:r>
          </w:p>
        </w:tc>
        <w:tc>
          <w:tcPr>
            <w:tcW w:type="dxa" w:w="4003"/>
          </w:tcPr>
          <w:p>
            <w:pPr>
              <w:spacing w:after="0"/>
            </w:pPr>
            <w:r>
              <w:rPr>
                <w:rFonts w:ascii="Arial" w:hAnsi="Arial" w:eastAsia="Arial"/>
                <w:b w:val="0"/>
                <w:color w:val="000000"/>
                <w:sz w:val="24"/>
              </w:rPr>
              <w:t>Evaluación del cupo, en la capa de aplicación</w:t>
            </w:r>
          </w:p>
        </w:tc>
        <w:tc>
          <w:tcPr>
            <w:tcW w:type="dxa" w:w="4655"/>
          </w:tcPr>
          <w:p>
            <w:pPr>
              <w:spacing w:after="0"/>
            </w:pPr>
            <w:r>
              <w:rPr>
                <w:rFonts w:ascii="Arial" w:hAnsi="Arial" w:eastAsia="Arial"/>
                <w:b w:val="0"/>
                <w:color w:val="000000"/>
                <w:sz w:val="24"/>
              </w:rPr>
              <w:t>Necesita el total final y no es una palanca de precio, así que queda fuera del motor puro</w:t>
            </w:r>
          </w:p>
        </w:tc>
      </w:tr>
    </w:tbl>
    <w:p>
      <w:pPr>
        <w:spacing w:before="120"/>
      </w:pPr>
      <w:r>
        <w:rPr>
          <w:rFonts w:ascii="Arial" w:hAnsi="Arial" w:eastAsia="Arial"/>
          <w:b w:val="0"/>
          <w:color w:val="000000"/>
          <w:sz w:val="24"/>
        </w:rPr>
        <w:t>Cada palanca tiene una regla precisa:</w:t>
      </w:r>
    </w:p>
    <w:p>
      <w:pPr>
        <w:pStyle w:val="ListBullet"/>
        <w:spacing w:after="40"/>
      </w:pPr>
      <w:r>
        <w:rPr>
          <w:rFonts w:ascii="Arial" w:hAnsi="Arial" w:eastAsia="Arial"/>
          <w:b/>
          <w:color w:val="000000"/>
          <w:sz w:val="24"/>
        </w:rPr>
        <w:t>Escalas (BR-02).</w:t>
      </w:r>
      <w:r>
        <w:rPr>
          <w:rFonts w:ascii="Arial" w:hAnsi="Arial" w:eastAsia="Arial"/>
          <w:b w:val="0"/>
          <w:color w:val="000000"/>
          <w:sz w:val="24"/>
        </w:rPr>
        <w:t xml:space="preserve"> Una regla apunta a un SKU o a una familia y define tramos </w:t>
      </w:r>
      <w:r>
        <w:rPr>
          <w:rFonts w:ascii="Arial" w:hAnsi="Arial" w:eastAsia="Arial"/>
          <w:b w:val="0"/>
          <w:color w:val="000000"/>
          <w:sz w:val="24"/>
        </w:rPr>
        <w:t>{from, percent}</w:t>
      </w:r>
      <w:r>
        <w:rPr>
          <w:rFonts w:ascii="Arial" w:hAnsi="Arial" w:eastAsia="Arial"/>
          <w:b w:val="0"/>
          <w:color w:val="000000"/>
          <w:sz w:val="24"/>
        </w:rPr>
        <w:t>. El descuento de una línea se calcula exacto y se redondea una vez por línea, nunca una vez por segmento de tramo (borde de revisión RF-1).</w:t>
      </w:r>
    </w:p>
    <w:p>
      <w:pPr>
        <w:pStyle w:val="ListBullet"/>
        <w:spacing w:after="40"/>
      </w:pPr>
      <w:r>
        <w:rPr>
          <w:rFonts w:ascii="Arial" w:hAnsi="Arial" w:eastAsia="Arial"/>
          <w:b/>
          <w:color w:val="000000"/>
          <w:sz w:val="24"/>
        </w:rPr>
        <w:t>Combos (BR-03).</w:t>
      </w:r>
      <w:r>
        <w:rPr>
          <w:rFonts w:ascii="Arial" w:hAnsi="Arial" w:eastAsia="Arial"/>
          <w:b w:val="0"/>
          <w:color w:val="000000"/>
          <w:sz w:val="24"/>
        </w:rPr>
        <w:t xml:space="preserve"> Aplicaciones = el piso del menor </w:t>
      </w:r>
      <w:r>
        <w:rPr>
          <w:rFonts w:ascii="Arial" w:hAnsi="Arial" w:eastAsia="Arial"/>
          <w:b w:val="0"/>
          <w:color w:val="000000"/>
          <w:sz w:val="24"/>
        </w:rPr>
        <w:t>qty / minQty</w:t>
      </w:r>
      <w:r>
        <w:rPr>
          <w:rFonts w:ascii="Arial" w:hAnsi="Arial" w:eastAsia="Arial"/>
          <w:b w:val="0"/>
          <w:color w:val="000000"/>
          <w:sz w:val="24"/>
        </w:rPr>
        <w:t xml:space="preserve"> entre los SKU del combo. Descuento = valor de lista de las unidades consumidas − precio del combo × aplicaciones. Un combo que no bajaría el precio no consume nada. El descuento se reparte entre las líneas participantes en proporción a su valor bruto consumido por el método del mayor residuo, con empates resueltos por orden de SKU, así que las partes siempre suman exacto.</w:t>
      </w:r>
    </w:p>
    <w:p>
      <w:pPr>
        <w:pStyle w:val="ListBullet"/>
        <w:spacing w:after="40"/>
      </w:pPr>
      <w:r>
        <w:rPr>
          <w:rFonts w:ascii="Arial" w:hAnsi="Arial" w:eastAsia="Arial"/>
          <w:b/>
          <w:color w:val="000000"/>
          <w:sz w:val="24"/>
        </w:rPr>
        <w:t>Obsequios (BR-04).</w:t>
      </w:r>
      <w:r>
        <w:rPr>
          <w:rFonts w:ascii="Arial" w:hAnsi="Arial" w:eastAsia="Arial"/>
          <w:b w:val="0"/>
          <w:color w:val="000000"/>
          <w:sz w:val="24"/>
        </w:rPr>
        <w:t xml:space="preserve"> Un obsequio es una línea aparte con su cantidad, origen </w:t>
      </w:r>
      <w:r>
        <w:rPr>
          <w:rFonts w:ascii="Arial" w:hAnsi="Arial" w:eastAsia="Arial"/>
          <w:b w:val="0"/>
          <w:color w:val="000000"/>
          <w:sz w:val="24"/>
        </w:rPr>
        <w:t>GIFT:&lt;id&gt;</w:t>
      </w:r>
      <w:r>
        <w:rPr>
          <w:rFonts w:ascii="Arial" w:hAnsi="Arial" w:eastAsia="Arial"/>
          <w:b w:val="0"/>
          <w:color w:val="000000"/>
          <w:sz w:val="24"/>
        </w:rPr>
        <w:t xml:space="preserve"> y precio 0. Su valor de referencia es cantidad × precio de lista. La política tributaria del país decide si ese valor paga impuesto (</w:t>
      </w:r>
      <w:r>
        <w:rPr>
          <w:rFonts w:ascii="Arial" w:hAnsi="Arial" w:eastAsia="Arial"/>
          <w:b w:val="0"/>
          <w:color w:val="000000"/>
          <w:sz w:val="24"/>
        </w:rPr>
        <w:t>TAXED</w:t>
      </w:r>
      <w:r>
        <w:rPr>
          <w:rFonts w:ascii="Arial" w:hAnsi="Arial" w:eastAsia="Arial"/>
          <w:b w:val="0"/>
          <w:color w:val="000000"/>
          <w:sz w:val="24"/>
        </w:rPr>
        <w:t>) o no (</w:t>
      </w:r>
      <w:r>
        <w:rPr>
          <w:rFonts w:ascii="Arial" w:hAnsi="Arial" w:eastAsia="Arial"/>
          <w:b w:val="0"/>
          <w:color w:val="000000"/>
          <w:sz w:val="24"/>
        </w:rPr>
        <w:t>EXEMPT</w:t>
      </w:r>
      <w:r>
        <w:rPr>
          <w:rFonts w:ascii="Arial" w:hAnsi="Arial" w:eastAsia="Arial"/>
          <w:b w:val="0"/>
          <w:color w:val="000000"/>
          <w:sz w:val="24"/>
        </w:rPr>
        <w:t>).</w:t>
      </w:r>
    </w:p>
    <w:p>
      <w:r>
        <w:rPr>
          <w:rFonts w:ascii="Arial" w:hAnsi="Arial" w:eastAsia="Arial"/>
          <w:b w:val="0"/>
          <w:color w:val="000000"/>
          <w:sz w:val="24"/>
        </w:rPr>
        <w:t>Descartar los demás órdenes quedó explícito en el ADR: aplicar escalas antes que combos descontaría dos veces las mismas unidades.</w:t>
      </w:r>
    </w:p>
    <w:p>
      <w:pPr>
        <w:pStyle w:val="Heading3"/>
        <w:keepNext/>
        <w:spacing w:before="160" w:after="80"/>
      </w:pPr>
      <w:r>
        <w:rPr>
          <w:rFonts w:ascii="Arial" w:hAnsi="Arial" w:eastAsia="Arial"/>
          <w:b/>
          <w:color w:val="000000"/>
          <w:sz w:val="24"/>
        </w:rPr>
        <w:t>5.4 Puntos de redondeo</w:t>
      </w:r>
    </w:p>
    <w:p>
      <w:r>
        <w:rPr>
          <w:rFonts w:ascii="Arial" w:hAnsi="Arial" w:eastAsia="Arial"/>
          <w:b w:val="0"/>
          <w:color w:val="000000"/>
          <w:sz w:val="24"/>
        </w:rPr>
        <w:t>Solo se redondea por línea: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4"/>
        <w:gridCol w:w="3997"/>
        <w:gridCol w:w="4488"/>
      </w:tblGrid>
      <w:tr>
        <w:tc>
          <w:tcPr>
            <w:tcW w:type="dxa" w:w="1154"/>
          </w:tcPr>
          <w:p>
            <w:pPr>
              <w:spacing w:after="0"/>
            </w:pPr>
            <w:r>
              <w:rPr>
                <w:rFonts w:ascii="Arial" w:hAnsi="Arial" w:eastAsia="Arial"/>
                <w:b/>
                <w:color w:val="000000"/>
                <w:sz w:val="24"/>
              </w:rPr>
              <w:t>Punto</w:t>
            </w:r>
          </w:p>
        </w:tc>
        <w:tc>
          <w:tcPr>
            <w:tcW w:type="dxa" w:w="3997"/>
          </w:tcPr>
          <w:p>
            <w:pPr>
              <w:spacing w:after="0"/>
            </w:pPr>
            <w:r>
              <w:rPr>
                <w:rFonts w:ascii="Arial" w:hAnsi="Arial" w:eastAsia="Arial"/>
                <w:b/>
                <w:color w:val="000000"/>
                <w:sz w:val="24"/>
              </w:rPr>
              <w:t>Dónde</w:t>
            </w:r>
          </w:p>
        </w:tc>
        <w:tc>
          <w:tcPr>
            <w:tcW w:type="dxa" w:w="4488"/>
          </w:tcPr>
          <w:p>
            <w:pPr>
              <w:spacing w:after="0"/>
            </w:pPr>
            <w:r>
              <w:rPr>
                <w:rFonts w:ascii="Arial" w:hAnsi="Arial" w:eastAsia="Arial"/>
                <w:b/>
                <w:color w:val="000000"/>
                <w:sz w:val="24"/>
              </w:rPr>
              <w:t>Regla</w:t>
            </w:r>
          </w:p>
        </w:tc>
      </w:tr>
      <w:tr>
        <w:tc>
          <w:tcPr>
            <w:tcW w:type="dxa" w:w="1154"/>
          </w:tcPr>
          <w:p>
            <w:pPr>
              <w:spacing w:after="0"/>
            </w:pPr>
            <w:r>
              <w:rPr>
                <w:rFonts w:ascii="Arial" w:hAnsi="Arial" w:eastAsia="Arial"/>
                <w:b w:val="0"/>
                <w:color w:val="000000"/>
                <w:sz w:val="24"/>
              </w:rPr>
              <w:t>RP-1</w:t>
            </w:r>
          </w:p>
        </w:tc>
        <w:tc>
          <w:tcPr>
            <w:tcW w:type="dxa" w:w="3997"/>
          </w:tcPr>
          <w:p>
            <w:pPr>
              <w:spacing w:after="0"/>
            </w:pPr>
            <w:r>
              <w:rPr>
                <w:rFonts w:ascii="Arial" w:hAnsi="Arial" w:eastAsia="Arial"/>
                <w:b w:val="0"/>
                <w:color w:val="000000"/>
                <w:sz w:val="24"/>
              </w:rPr>
              <w:t>Precio unitario × cantidad</w:t>
            </w:r>
          </w:p>
        </w:tc>
        <w:tc>
          <w:tcPr>
            <w:tcW w:type="dxa" w:w="4488"/>
          </w:tcPr>
          <w:p>
            <w:pPr>
              <w:spacing w:after="0"/>
            </w:pPr>
            <w:r>
              <w:rPr>
                <w:rFonts w:ascii="Arial" w:hAnsi="Arial" w:eastAsia="Arial"/>
                <w:b w:val="0"/>
                <w:color w:val="000000"/>
                <w:sz w:val="24"/>
              </w:rPr>
              <w:t>Exacto, porque los precios ya están en la escala de la moneda</w:t>
            </w:r>
          </w:p>
        </w:tc>
      </w:tr>
      <w:tr>
        <w:tc>
          <w:tcPr>
            <w:tcW w:type="dxa" w:w="1154"/>
          </w:tcPr>
          <w:p>
            <w:pPr>
              <w:spacing w:after="0"/>
            </w:pPr>
            <w:r>
              <w:rPr>
                <w:rFonts w:ascii="Arial" w:hAnsi="Arial" w:eastAsia="Arial"/>
                <w:b w:val="0"/>
                <w:color w:val="000000"/>
                <w:sz w:val="24"/>
              </w:rPr>
              <w:t>RP-2</w:t>
            </w:r>
          </w:p>
        </w:tc>
        <w:tc>
          <w:tcPr>
            <w:tcW w:type="dxa" w:w="3997"/>
          </w:tcPr>
          <w:p>
            <w:pPr>
              <w:spacing w:after="0"/>
            </w:pPr>
            <w:r>
              <w:rPr>
                <w:rFonts w:ascii="Arial" w:hAnsi="Arial" w:eastAsia="Arial"/>
                <w:b w:val="0"/>
                <w:color w:val="000000"/>
                <w:sz w:val="24"/>
              </w:rPr>
              <w:t>Cada componente de descuento de una línea (escala, asignación de combo)</w:t>
            </w:r>
          </w:p>
        </w:tc>
        <w:tc>
          <w:tcPr>
            <w:tcW w:type="dxa" w:w="4488"/>
          </w:tcPr>
          <w:p>
            <w:pPr>
              <w:spacing w:after="0"/>
            </w:pPr>
            <w:r>
              <w:rPr>
                <w:rFonts w:ascii="Arial" w:hAnsi="Arial" w:eastAsia="Arial"/>
                <w:b w:val="0"/>
                <w:color w:val="000000"/>
                <w:sz w:val="24"/>
              </w:rPr>
              <w:t>Redondeado a la escala de la moneda. Un componente que redondea a cero no se emite</w:t>
            </w:r>
          </w:p>
        </w:tc>
      </w:tr>
      <w:tr>
        <w:tc>
          <w:tcPr>
            <w:tcW w:type="dxa" w:w="1154"/>
          </w:tcPr>
          <w:p>
            <w:pPr>
              <w:spacing w:after="0"/>
            </w:pPr>
            <w:r>
              <w:rPr>
                <w:rFonts w:ascii="Arial" w:hAnsi="Arial" w:eastAsia="Arial"/>
                <w:b w:val="0"/>
                <w:color w:val="000000"/>
                <w:sz w:val="24"/>
              </w:rPr>
              <w:t>RP-3</w:t>
            </w:r>
          </w:p>
        </w:tc>
        <w:tc>
          <w:tcPr>
            <w:tcW w:type="dxa" w:w="3997"/>
          </w:tcPr>
          <w:p>
            <w:pPr>
              <w:spacing w:after="0"/>
            </w:pPr>
            <w:r>
              <w:rPr>
                <w:rFonts w:ascii="Arial" w:hAnsi="Arial" w:eastAsia="Arial"/>
                <w:b w:val="0"/>
                <w:color w:val="000000"/>
                <w:sz w:val="24"/>
              </w:rPr>
              <w:t>Neto = bruto − componentes</w:t>
            </w:r>
          </w:p>
        </w:tc>
        <w:tc>
          <w:tcPr>
            <w:tcW w:type="dxa" w:w="4488"/>
          </w:tcPr>
          <w:p>
            <w:pPr>
              <w:spacing w:after="0"/>
            </w:pPr>
            <w:r>
              <w:rPr>
                <w:rFonts w:ascii="Arial" w:hAnsi="Arial" w:eastAsia="Arial"/>
                <w:b w:val="0"/>
                <w:color w:val="000000"/>
                <w:sz w:val="24"/>
              </w:rPr>
              <w:t>Exacto</w:t>
            </w:r>
          </w:p>
        </w:tc>
      </w:tr>
      <w:tr>
        <w:tc>
          <w:tcPr>
            <w:tcW w:type="dxa" w:w="1154"/>
          </w:tcPr>
          <w:p>
            <w:pPr>
              <w:spacing w:after="0"/>
            </w:pPr>
            <w:r>
              <w:rPr>
                <w:rFonts w:ascii="Arial" w:hAnsi="Arial" w:eastAsia="Arial"/>
                <w:b w:val="0"/>
                <w:color w:val="000000"/>
                <w:sz w:val="24"/>
              </w:rPr>
              <w:t>RP-4</w:t>
            </w:r>
          </w:p>
        </w:tc>
        <w:tc>
          <w:tcPr>
            <w:tcW w:type="dxa" w:w="3997"/>
          </w:tcPr>
          <w:p>
            <w:pPr>
              <w:spacing w:after="0"/>
            </w:pPr>
            <w:r>
              <w:rPr>
                <w:rFonts w:ascii="Arial" w:hAnsi="Arial" w:eastAsia="Arial"/>
                <w:b w:val="0"/>
                <w:color w:val="000000"/>
                <w:sz w:val="24"/>
              </w:rPr>
              <w:t>Impuesto de una línea</w:t>
            </w:r>
          </w:p>
        </w:tc>
        <w:tc>
          <w:tcPr>
            <w:tcW w:type="dxa" w:w="4488"/>
          </w:tcPr>
          <w:p>
            <w:pPr>
              <w:spacing w:after="0"/>
            </w:pPr>
            <w:r>
              <w:rPr>
                <w:rFonts w:ascii="Arial" w:hAnsi="Arial" w:eastAsia="Arial"/>
                <w:b w:val="0"/>
                <w:color w:val="000000"/>
                <w:sz w:val="24"/>
              </w:rPr>
              <w:t>Redondeado a la escala de la moneda</w:t>
            </w:r>
          </w:p>
        </w:tc>
      </w:tr>
      <w:tr>
        <w:tc>
          <w:tcPr>
            <w:tcW w:type="dxa" w:w="1154"/>
          </w:tcPr>
          <w:p>
            <w:pPr>
              <w:spacing w:after="0"/>
            </w:pPr>
            <w:r>
              <w:rPr>
                <w:rFonts w:ascii="Arial" w:hAnsi="Arial" w:eastAsia="Arial"/>
                <w:b w:val="0"/>
                <w:color w:val="000000"/>
                <w:sz w:val="24"/>
              </w:rPr>
              <w:t>RP-5</w:t>
            </w:r>
          </w:p>
        </w:tc>
        <w:tc>
          <w:tcPr>
            <w:tcW w:type="dxa" w:w="3997"/>
          </w:tcPr>
          <w:p>
            <w:pPr>
              <w:spacing w:after="0"/>
            </w:pPr>
            <w:r>
              <w:rPr>
                <w:rFonts w:ascii="Arial" w:hAnsi="Arial" w:eastAsia="Arial"/>
                <w:b w:val="0"/>
                <w:color w:val="000000"/>
                <w:sz w:val="24"/>
              </w:rPr>
              <w:t>Totales del pedido</w:t>
            </w:r>
          </w:p>
        </w:tc>
        <w:tc>
          <w:tcPr>
            <w:tcW w:type="dxa" w:w="4488"/>
          </w:tcPr>
          <w:p>
            <w:pPr>
              <w:spacing w:after="0"/>
            </w:pPr>
            <w:r>
              <w:rPr>
                <w:rFonts w:ascii="Arial" w:hAnsi="Arial" w:eastAsia="Arial"/>
                <w:b w:val="0"/>
                <w:color w:val="000000"/>
                <w:sz w:val="24"/>
              </w:rPr>
              <w:t>Sumas de valores de línea ya redondeados, nunca redondeadas otra vez</w:t>
            </w:r>
          </w:p>
        </w:tc>
      </w:tr>
    </w:tbl>
    <w:p>
      <w:pPr>
        <w:spacing w:before="120"/>
      </w:pPr>
      <w:r>
        <w:rPr>
          <w:rFonts w:ascii="Arial" w:hAnsi="Arial" w:eastAsia="Arial"/>
          <w:b w:val="0"/>
          <w:color w:val="000000"/>
          <w:sz w:val="24"/>
        </w:rPr>
        <w:t>Por qué por línea: la factura electrónica lleva el impuesto por línea, así que redondear por línea mantiene el pedido coherente con la factura que genera. Se descartó redondear una vez por grupo de tasa, porque los valores de línea no cuadrarían con los totales, y redondear solo el total final, porque esconde la deriva de centavos y no se puede auditar línea por línea.</w:t>
      </w:r>
    </w:p>
    <w:p>
      <w:r>
        <w:rPr>
          <w:rFonts w:ascii="Arial" w:hAnsi="Arial" w:eastAsia="Arial"/>
          <w:b w:val="0"/>
          <w:color w:val="000000"/>
          <w:sz w:val="24"/>
        </w:rPr>
        <w:t xml:space="preserve">Todo desglose cumple las identidades de BR-05, y todo golden test las verifica: subtotal bruto = Σ bruto pagado; Σ descuentos del pedido = Σ descuentos por escala de las líneas + Σ asignaciones de combo de las líneas; neto de línea = bruto − descuentos − asignaciones; base gravable = Σ neto pagado + Σ base gravable de obsequios; impuestos = Σ impuesto de línea; </w:t>
      </w:r>
      <w:r>
        <w:rPr>
          <w:rFonts w:ascii="Arial" w:hAnsi="Arial" w:eastAsia="Arial"/>
          <w:b/>
          <w:color w:val="000000"/>
          <w:sz w:val="24"/>
        </w:rPr>
        <w:t>total = Σ neto + impuestos</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5.5 Los seis golden tests</w:t>
      </w:r>
    </w:p>
    <w:p>
      <w:r>
        <w:rPr>
          <w:rFonts w:ascii="Arial" w:hAnsi="Arial" w:eastAsia="Arial"/>
          <w:b w:val="0"/>
          <w:color w:val="000000"/>
          <w:sz w:val="24"/>
        </w:rPr>
        <w:t xml:space="preserve">Un caso de precios es una carpeta en </w:t>
      </w:r>
      <w:r>
        <w:rPr>
          <w:rFonts w:ascii="Arial" w:hAnsi="Arial" w:eastAsia="Arial"/>
          <w:b w:val="0"/>
          <w:color w:val="000000"/>
          <w:sz w:val="24"/>
        </w:rPr>
        <w:t>src/test/resources/golden/</w:t>
      </w:r>
      <w:r>
        <w:rPr>
          <w:rFonts w:ascii="Arial" w:hAnsi="Arial" w:eastAsia="Arial"/>
          <w:b w:val="0"/>
          <w:color w:val="000000"/>
          <w:sz w:val="24"/>
        </w:rPr>
        <w:t xml:space="preserve"> con </w:t>
      </w:r>
      <w:r>
        <w:rPr>
          <w:rFonts w:ascii="Arial" w:hAnsi="Arial" w:eastAsia="Arial"/>
          <w:b w:val="0"/>
          <w:color w:val="000000"/>
          <w:sz w:val="24"/>
        </w:rPr>
        <w:t>request.json</w:t>
      </w:r>
      <w:r>
        <w:rPr>
          <w:rFonts w:ascii="Arial" w:hAnsi="Arial" w:eastAsia="Arial"/>
          <w:b w:val="0"/>
          <w:color w:val="000000"/>
          <w:sz w:val="24"/>
        </w:rPr>
        <w:t xml:space="preserve">, </w:t>
      </w:r>
      <w:r>
        <w:rPr>
          <w:rFonts w:ascii="Arial" w:hAnsi="Arial" w:eastAsia="Arial"/>
          <w:b w:val="0"/>
          <w:color w:val="000000"/>
          <w:sz w:val="24"/>
        </w:rPr>
        <w:t>snapshot.json</w:t>
      </w:r>
      <w:r>
        <w:rPr>
          <w:rFonts w:ascii="Arial" w:hAnsi="Arial" w:eastAsia="Arial"/>
          <w:b w:val="0"/>
          <w:color w:val="000000"/>
          <w:sz w:val="24"/>
        </w:rPr>
        <w:t xml:space="preserve"> y </w:t>
      </w:r>
      <w:r>
        <w:rPr>
          <w:rFonts w:ascii="Arial" w:hAnsi="Arial" w:eastAsia="Arial"/>
          <w:b w:val="0"/>
          <w:color w:val="000000"/>
          <w:sz w:val="24"/>
        </w:rPr>
        <w:t>expected.json</w:t>
      </w:r>
      <w:r>
        <w:rPr>
          <w:rFonts w:ascii="Arial" w:hAnsi="Arial" w:eastAsia="Arial"/>
          <w:b w:val="0"/>
          <w:color w:val="000000"/>
          <w:sz w:val="24"/>
        </w:rPr>
        <w:t xml:space="preserve">, marcada con </w:t>
      </w:r>
      <w:r>
        <w:rPr>
          <w:rFonts w:ascii="Arial" w:hAnsi="Arial" w:eastAsia="Arial"/>
          <w:b w:val="0"/>
          <w:color w:val="000000"/>
          <w:sz w:val="24"/>
        </w:rPr>
        <w:t>@Tag("golden")</w:t>
      </w:r>
      <w:r>
        <w:rPr>
          <w:rFonts w:ascii="Arial" w:hAnsi="Arial" w:eastAsia="Arial"/>
          <w:b w:val="0"/>
          <w:color w:val="000000"/>
          <w:sz w:val="24"/>
        </w:rPr>
        <w:t xml:space="preserve">. </w:t>
      </w:r>
      <w:r>
        <w:rPr>
          <w:rFonts w:ascii="Arial" w:hAnsi="Arial" w:eastAsia="Arial"/>
          <w:b w:val="0"/>
          <w:color w:val="000000"/>
          <w:sz w:val="24"/>
        </w:rPr>
        <w:t>GoldenPricingTest</w:t>
      </w:r>
      <w:r>
        <w:rPr>
          <w:rFonts w:ascii="Arial" w:hAnsi="Arial" w:eastAsia="Arial"/>
          <w:b w:val="0"/>
          <w:color w:val="000000"/>
          <w:sz w:val="24"/>
        </w:rPr>
        <w:t xml:space="preserve"> revisa cada carpeta dos veces: contra su desglose esperado y contra las identidades anteriores. Todos los montos de abajo son pesos colombianos (COP, escala 0) tomados de los fixtures.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99"/>
        <w:gridCol w:w="1951"/>
        <w:gridCol w:w="4288"/>
      </w:tblGrid>
      <w:tr>
        <w:tc>
          <w:tcPr>
            <w:tcW w:type="dxa" w:w="3399"/>
          </w:tcPr>
          <w:p>
            <w:pPr>
              <w:spacing w:after="0"/>
            </w:pPr>
            <w:r>
              <w:rPr>
                <w:rFonts w:ascii="Arial" w:hAnsi="Arial" w:eastAsia="Arial"/>
                <w:b/>
                <w:color w:val="000000"/>
                <w:sz w:val="24"/>
              </w:rPr>
              <w:t>Prueba</w:t>
            </w:r>
          </w:p>
        </w:tc>
        <w:tc>
          <w:tcPr>
            <w:tcW w:type="dxa" w:w="1951"/>
          </w:tcPr>
          <w:p>
            <w:pPr>
              <w:spacing w:after="0"/>
            </w:pPr>
            <w:r>
              <w:rPr>
                <w:rFonts w:ascii="Arial" w:hAnsi="Arial" w:eastAsia="Arial"/>
                <w:b/>
                <w:color w:val="000000"/>
                <w:sz w:val="24"/>
              </w:rPr>
              <w:t>Caso del enunciado</w:t>
            </w:r>
          </w:p>
        </w:tc>
        <w:tc>
          <w:tcPr>
            <w:tcW w:type="dxa" w:w="4288"/>
          </w:tcPr>
          <w:p>
            <w:pPr>
              <w:spacing w:after="0"/>
            </w:pPr>
            <w:r>
              <w:rPr>
                <w:rFonts w:ascii="Arial" w:hAnsi="Arial" w:eastAsia="Arial"/>
                <w:b/>
                <w:color w:val="000000"/>
                <w:sz w:val="24"/>
              </w:rPr>
              <w:t>Qué demuestra</w:t>
            </w:r>
          </w:p>
        </w:tc>
      </w:tr>
      <w:tr>
        <w:tc>
          <w:tcPr>
            <w:tcW w:type="dxa" w:w="3399"/>
          </w:tcPr>
          <w:p>
            <w:pPr>
              <w:spacing w:after="0"/>
            </w:pPr>
            <w:r>
              <w:rPr>
                <w:rFonts w:ascii="Arial" w:hAnsi="Arial" w:eastAsia="Arial"/>
                <w:b w:val="0"/>
                <w:color w:val="000000"/>
                <w:sz w:val="24"/>
              </w:rPr>
              <w:t xml:space="preserve">GT-01 </w:t>
            </w:r>
            <w:r>
              <w:rPr>
                <w:rFonts w:ascii="Arial" w:hAnsi="Arial" w:eastAsia="Arial"/>
                <w:b w:val="0"/>
                <w:color w:val="000000"/>
                <w:sz w:val="24"/>
              </w:rPr>
              <w:t>gt01-two-tier-brackets</w:t>
            </w:r>
          </w:p>
        </w:tc>
        <w:tc>
          <w:tcPr>
            <w:tcW w:type="dxa" w:w="1951"/>
          </w:tcPr>
          <w:p>
            <w:pPr>
              <w:spacing w:after="0"/>
            </w:pPr>
            <w:r>
              <w:rPr>
                <w:rFonts w:ascii="Arial" w:hAnsi="Arial" w:eastAsia="Arial"/>
                <w:b w:val="0"/>
                <w:color w:val="000000"/>
                <w:sz w:val="24"/>
              </w:rPr>
              <w:t>Descuento en dos tramos</w:t>
            </w:r>
          </w:p>
        </w:tc>
        <w:tc>
          <w:tcPr>
            <w:tcW w:type="dxa" w:w="4288"/>
          </w:tcPr>
          <w:p>
            <w:pPr>
              <w:spacing w:after="0"/>
            </w:pPr>
            <w:r>
              <w:rPr>
                <w:rFonts w:ascii="Arial" w:hAnsi="Arial" w:eastAsia="Arial"/>
                <w:b w:val="0"/>
                <w:color w:val="000000"/>
                <w:sz w:val="24"/>
              </w:rPr>
              <w:t xml:space="preserve">25 gaseosas de 350 ml a 2,500, con tramos 10–19 → 5% y 20+ → 10%: 1,250 + 1,500 = 2,750 en una sola entrada </w:t>
            </w:r>
            <w:r>
              <w:rPr>
                <w:rFonts w:ascii="Arial" w:hAnsi="Arial" w:eastAsia="Arial"/>
                <w:b w:val="0"/>
                <w:color w:val="000000"/>
                <w:sz w:val="24"/>
              </w:rPr>
              <w:t>TIER</w:t>
            </w:r>
            <w:r>
              <w:rPr>
                <w:rFonts w:ascii="Arial" w:hAnsi="Arial" w:eastAsia="Arial"/>
                <w:b w:val="0"/>
                <w:color w:val="000000"/>
                <w:sz w:val="24"/>
              </w:rPr>
              <w:t>. Impuesto del 19% sobre 59,750 = 11,352.50 → 11,353. Total 71,103. Tramos marginales, redondeados una vez por línea</w:t>
            </w:r>
          </w:p>
        </w:tc>
      </w:tr>
      <w:tr>
        <w:tc>
          <w:tcPr>
            <w:tcW w:type="dxa" w:w="3399"/>
          </w:tcPr>
          <w:p>
            <w:pPr>
              <w:spacing w:after="0"/>
            </w:pPr>
            <w:r>
              <w:rPr>
                <w:rFonts w:ascii="Arial" w:hAnsi="Arial" w:eastAsia="Arial"/>
                <w:b w:val="0"/>
                <w:color w:val="000000"/>
                <w:sz w:val="24"/>
              </w:rPr>
              <w:t xml:space="preserve">GT-02 </w:t>
            </w:r>
            <w:r>
              <w:rPr>
                <w:rFonts w:ascii="Arial" w:hAnsi="Arial" w:eastAsia="Arial"/>
                <w:b w:val="0"/>
                <w:color w:val="000000"/>
                <w:sz w:val="24"/>
              </w:rPr>
              <w:t>gt02-combo-no-loose-discount</w:t>
            </w:r>
          </w:p>
        </w:tc>
        <w:tc>
          <w:tcPr>
            <w:tcW w:type="dxa" w:w="1951"/>
          </w:tcPr>
          <w:p>
            <w:pPr>
              <w:spacing w:after="0"/>
            </w:pPr>
            <w:r>
              <w:rPr>
                <w:rFonts w:ascii="Arial" w:hAnsi="Arial" w:eastAsia="Arial"/>
                <w:b w:val="0"/>
                <w:color w:val="000000"/>
                <w:sz w:val="24"/>
              </w:rPr>
              <w:t>Combo cuyos productos no son un descuento suelto</w:t>
            </w:r>
          </w:p>
        </w:tc>
        <w:tc>
          <w:tcPr>
            <w:tcW w:type="dxa" w:w="4288"/>
          </w:tcPr>
          <w:p>
            <w:pPr>
              <w:spacing w:after="0"/>
            </w:pPr>
            <w:r>
              <w:rPr>
                <w:rFonts w:ascii="Arial" w:hAnsi="Arial" w:eastAsia="Arial"/>
                <w:b w:val="0"/>
                <w:color w:val="000000"/>
                <w:sz w:val="24"/>
              </w:rPr>
              <w:t xml:space="preserve">21 gaseosas y 10 papas. El combo de 2 gaseosas y 1 papas a 5,000 se aplica 10 veces y consume 20 gaseosas y 10 papas: una sola entrada </w:t>
            </w:r>
            <w:r>
              <w:rPr>
                <w:rFonts w:ascii="Arial" w:hAnsi="Arial" w:eastAsia="Arial"/>
                <w:b w:val="0"/>
                <w:color w:val="000000"/>
                <w:sz w:val="24"/>
              </w:rPr>
              <w:t>COMBO</w:t>
            </w:r>
            <w:r>
              <w:rPr>
                <w:rFonts w:ascii="Arial" w:hAnsi="Arial" w:eastAsia="Arial"/>
                <w:b w:val="0"/>
                <w:color w:val="000000"/>
                <w:sz w:val="24"/>
              </w:rPr>
              <w:t xml:space="preserve"> de 18,000. La gaseosa que sobra queda en el primer tramo, así que no aparece ninguna entrada </w:t>
            </w:r>
            <w:r>
              <w:rPr>
                <w:rFonts w:ascii="Arial" w:hAnsi="Arial" w:eastAsia="Arial"/>
                <w:b w:val="0"/>
                <w:color w:val="000000"/>
                <w:sz w:val="24"/>
              </w:rPr>
              <w:t>TIER</w:t>
            </w:r>
            <w:r>
              <w:rPr>
                <w:rFonts w:ascii="Arial" w:hAnsi="Arial" w:eastAsia="Arial"/>
                <w:b w:val="0"/>
                <w:color w:val="000000"/>
                <w:sz w:val="24"/>
              </w:rPr>
              <w:t>, aunque hay una regla de escala sembrada sobre el mismo SKU y 21 gaseosas solas alcanzarían el tramo del 10%. Total 60,622</w:t>
            </w:r>
          </w:p>
        </w:tc>
      </w:tr>
      <w:tr>
        <w:tc>
          <w:tcPr>
            <w:tcW w:type="dxa" w:w="3399"/>
          </w:tcPr>
          <w:p>
            <w:pPr>
              <w:spacing w:after="0"/>
            </w:pPr>
            <w:r>
              <w:rPr>
                <w:rFonts w:ascii="Arial" w:hAnsi="Arial" w:eastAsia="Arial"/>
                <w:b w:val="0"/>
                <w:color w:val="000000"/>
                <w:sz w:val="24"/>
              </w:rPr>
              <w:t xml:space="preserve">GT-03 </w:t>
            </w:r>
            <w:r>
              <w:rPr>
                <w:rFonts w:ascii="Arial" w:hAnsi="Arial" w:eastAsia="Arial"/>
                <w:b w:val="0"/>
                <w:color w:val="000000"/>
                <w:sz w:val="24"/>
              </w:rPr>
              <w:t>gt03-gift</w:t>
            </w:r>
          </w:p>
        </w:tc>
        <w:tc>
          <w:tcPr>
            <w:tcW w:type="dxa" w:w="1951"/>
          </w:tcPr>
          <w:p>
            <w:pPr>
              <w:spacing w:after="0"/>
            </w:pPr>
            <w:r>
              <w:rPr>
                <w:rFonts w:ascii="Arial" w:hAnsi="Arial" w:eastAsia="Arial"/>
                <w:b w:val="0"/>
                <w:color w:val="000000"/>
                <w:sz w:val="24"/>
              </w:rPr>
              <w:t>Obsequio con su cantidad</w:t>
            </w:r>
          </w:p>
        </w:tc>
        <w:tc>
          <w:tcPr>
            <w:tcW w:type="dxa" w:w="4288"/>
          </w:tcPr>
          <w:p>
            <w:pPr>
              <w:spacing w:after="0"/>
            </w:pPr>
            <w:r>
              <w:rPr>
                <w:rFonts w:ascii="Arial" w:hAnsi="Arial" w:eastAsia="Arial"/>
                <w:b w:val="0"/>
                <w:color w:val="000000"/>
                <w:sz w:val="24"/>
              </w:rPr>
              <w:t xml:space="preserve">25 papas y 3 aguas. La regla "un agua gratis por cada 10 snacks, repetible" agrega una línea de obsequio aparte de 2 aguas con origen </w:t>
            </w:r>
            <w:r>
              <w:rPr>
                <w:rFonts w:ascii="Arial" w:hAnsi="Arial" w:eastAsia="Arial"/>
                <w:b w:val="0"/>
                <w:color w:val="000000"/>
                <w:sz w:val="24"/>
              </w:rPr>
              <w:t>GIFT:&lt;id&gt;</w:t>
            </w:r>
            <w:r>
              <w:rPr>
                <w:rFonts w:ascii="Arial" w:hAnsi="Arial" w:eastAsia="Arial"/>
                <w:b w:val="0"/>
                <w:color w:val="000000"/>
                <w:sz w:val="24"/>
              </w:rPr>
              <w:t>. Las líneas pagadas no cambian. Colombia grava los obsequios. Total 53,175</w:t>
            </w:r>
          </w:p>
        </w:tc>
      </w:tr>
      <w:tr>
        <w:tc>
          <w:tcPr>
            <w:tcW w:type="dxa" w:w="3399"/>
          </w:tcPr>
          <w:p>
            <w:pPr>
              <w:spacing w:after="0"/>
            </w:pPr>
            <w:r>
              <w:rPr>
                <w:rFonts w:ascii="Arial" w:hAnsi="Arial" w:eastAsia="Arial"/>
                <w:b w:val="0"/>
                <w:color w:val="000000"/>
                <w:sz w:val="24"/>
              </w:rPr>
              <w:t xml:space="preserve">GT-04 </w:t>
            </w:r>
            <w:r>
              <w:rPr>
                <w:rFonts w:ascii="Arial" w:hAnsi="Arial" w:eastAsia="Arial"/>
                <w:b w:val="0"/>
                <w:color w:val="000000"/>
                <w:sz w:val="24"/>
              </w:rPr>
              <w:t>gt04-combo-with-taxes</w:t>
            </w:r>
          </w:p>
        </w:tc>
        <w:tc>
          <w:tcPr>
            <w:tcW w:type="dxa" w:w="1951"/>
          </w:tcPr>
          <w:p>
            <w:pPr>
              <w:spacing w:after="0"/>
            </w:pPr>
            <w:r>
              <w:rPr>
                <w:rFonts w:ascii="Arial" w:hAnsi="Arial" w:eastAsia="Arial"/>
                <w:b w:val="0"/>
                <w:color w:val="000000"/>
                <w:sz w:val="24"/>
              </w:rPr>
              <w:t>Combo con impuestos</w:t>
            </w:r>
          </w:p>
        </w:tc>
        <w:tc>
          <w:tcPr>
            <w:tcW w:type="dxa" w:w="4288"/>
          </w:tcPr>
          <w:p>
            <w:pPr>
              <w:spacing w:after="0"/>
            </w:pPr>
            <w:r>
              <w:rPr>
                <w:rFonts w:ascii="Arial" w:hAnsi="Arial" w:eastAsia="Arial"/>
                <w:b w:val="0"/>
                <w:color w:val="000000"/>
                <w:sz w:val="24"/>
              </w:rPr>
              <w:t>4 gaseosas y 2 papas. El combo se aplica dos veces: un descuento de 3,600, repartido en 2,647 y 953 por mayor residuo. Impuestos de 1,397 al 19% y 132 al 5%, así que 1,529 entran al total: 11,529</w:t>
            </w:r>
          </w:p>
        </w:tc>
      </w:tr>
      <w:tr>
        <w:tc>
          <w:tcPr>
            <w:tcW w:type="dxa" w:w="3399"/>
          </w:tcPr>
          <w:p>
            <w:pPr>
              <w:spacing w:after="0"/>
            </w:pPr>
            <w:r>
              <w:rPr>
                <w:rFonts w:ascii="Arial" w:hAnsi="Arial" w:eastAsia="Arial"/>
                <w:b w:val="0"/>
                <w:color w:val="000000"/>
                <w:sz w:val="24"/>
              </w:rPr>
              <w:t xml:space="preserve">GT-05 </w:t>
            </w:r>
            <w:r>
              <w:rPr>
                <w:rFonts w:ascii="Arial" w:hAnsi="Arial" w:eastAsia="Arial"/>
                <w:b w:val="0"/>
                <w:color w:val="000000"/>
                <w:sz w:val="24"/>
              </w:rPr>
              <w:t>gt05-credit-exceeded</w:t>
            </w:r>
          </w:p>
        </w:tc>
        <w:tc>
          <w:tcPr>
            <w:tcW w:type="dxa" w:w="1951"/>
          </w:tcPr>
          <w:p>
            <w:pPr>
              <w:spacing w:after="0"/>
            </w:pPr>
            <w:r>
              <w:rPr>
                <w:rFonts w:ascii="Arial" w:hAnsi="Arial" w:eastAsia="Arial"/>
                <w:b w:val="0"/>
                <w:color w:val="000000"/>
                <w:sz w:val="24"/>
              </w:rPr>
              <w:t>Pedido a crédito que excede el cupo</w:t>
            </w:r>
          </w:p>
        </w:tc>
        <w:tc>
          <w:tcPr>
            <w:tcW w:type="dxa" w:w="4288"/>
          </w:tcPr>
          <w:p>
            <w:pPr>
              <w:spacing w:after="0"/>
            </w:pPr>
            <w:r>
              <w:rPr>
                <w:rFonts w:ascii="Arial" w:hAnsi="Arial" w:eastAsia="Arial"/>
                <w:b w:val="0"/>
                <w:color w:val="000000"/>
                <w:sz w:val="24"/>
              </w:rPr>
              <w:t xml:space="preserve">Una cotización a crédito de 40 aguas y 60 gaseosas de 1.5 l suma 442,680 contra 400,000 disponibles: </w:t>
            </w:r>
            <w:r>
              <w:rPr>
                <w:rFonts w:ascii="Arial" w:hAnsi="Arial" w:eastAsia="Arial"/>
                <w:b w:val="0"/>
                <w:color w:val="000000"/>
                <w:sz w:val="24"/>
              </w:rPr>
              <w:t>fits=false</w:t>
            </w:r>
            <w:r>
              <w:rPr>
                <w:rFonts w:ascii="Arial" w:hAnsi="Arial" w:eastAsia="Arial"/>
                <w:b w:val="0"/>
                <w:color w:val="000000"/>
                <w:sz w:val="24"/>
              </w:rPr>
              <w:t>, faltante de 42,680. Corre por el caso de uso de cotización (</w:t>
            </w:r>
            <w:r>
              <w:rPr>
                <w:rFonts w:ascii="Arial" w:hAnsi="Arial" w:eastAsia="Arial"/>
                <w:b w:val="0"/>
                <w:color w:val="000000"/>
                <w:sz w:val="24"/>
              </w:rPr>
              <w:t>GoldenQuoteTest#gt05</w:t>
            </w:r>
            <w:r>
              <w:rPr>
                <w:rFonts w:ascii="Arial" w:hAnsi="Arial" w:eastAsia="Arial"/>
                <w:b w:val="0"/>
                <w:color w:val="000000"/>
                <w:sz w:val="24"/>
              </w:rPr>
              <w:t xml:space="preserve">), porque el cupo está fuera del motor puro. Su prueba compañera </w:t>
            </w:r>
            <w:r>
              <w:rPr>
                <w:rFonts w:ascii="Arial" w:hAnsi="Arial" w:eastAsia="Arial"/>
                <w:b w:val="0"/>
                <w:color w:val="000000"/>
                <w:sz w:val="24"/>
              </w:rPr>
              <w:t>CreditLimitIT</w:t>
            </w:r>
            <w:r>
              <w:rPr>
                <w:rFonts w:ascii="Arial" w:hAnsi="Arial" w:eastAsia="Arial"/>
                <w:b w:val="0"/>
                <w:color w:val="000000"/>
                <w:sz w:val="24"/>
              </w:rPr>
              <w:t xml:space="preserve"> intenta confirmarla: 409 </w:t>
            </w:r>
            <w:r>
              <w:rPr>
                <w:rFonts w:ascii="Arial" w:hAnsi="Arial" w:eastAsia="Arial"/>
                <w:b w:val="0"/>
                <w:color w:val="000000"/>
                <w:sz w:val="24"/>
              </w:rPr>
              <w:t>CREDIT_LIMIT_EXCEEDED</w:t>
            </w:r>
            <w:r>
              <w:rPr>
                <w:rFonts w:ascii="Arial" w:hAnsi="Arial" w:eastAsia="Arial"/>
                <w:b w:val="0"/>
                <w:color w:val="000000"/>
                <w:sz w:val="24"/>
              </w:rPr>
              <w:t>, sin pedido y sin fila en el libro de crédito</w:t>
            </w:r>
          </w:p>
        </w:tc>
      </w:tr>
      <w:tr>
        <w:tc>
          <w:tcPr>
            <w:tcW w:type="dxa" w:w="3399"/>
          </w:tcPr>
          <w:p>
            <w:pPr>
              <w:spacing w:after="0"/>
            </w:pPr>
            <w:r>
              <w:rPr>
                <w:rFonts w:ascii="Arial" w:hAnsi="Arial" w:eastAsia="Arial"/>
                <w:b w:val="0"/>
                <w:color w:val="000000"/>
                <w:sz w:val="24"/>
              </w:rPr>
              <w:t xml:space="preserve">GT-06 </w:t>
            </w:r>
            <w:r>
              <w:rPr>
                <w:rFonts w:ascii="Arial" w:hAnsi="Arial" w:eastAsia="Arial"/>
                <w:b w:val="0"/>
                <w:color w:val="000000"/>
                <w:sz w:val="24"/>
              </w:rPr>
              <w:t>QuoteConfirmRegressionIT</w:t>
            </w:r>
          </w:p>
        </w:tc>
        <w:tc>
          <w:tcPr>
            <w:tcW w:type="dxa" w:w="1951"/>
          </w:tcPr>
          <w:p>
            <w:pPr>
              <w:spacing w:after="0"/>
            </w:pPr>
            <w:r>
              <w:rPr>
                <w:rFonts w:ascii="Arial" w:hAnsi="Arial" w:eastAsia="Arial"/>
                <w:b w:val="0"/>
                <w:color w:val="000000"/>
                <w:sz w:val="24"/>
              </w:rPr>
              <w:t>Cotizar y confirmar dan el mismo total</w:t>
            </w:r>
          </w:p>
        </w:tc>
        <w:tc>
          <w:tcPr>
            <w:tcW w:type="dxa" w:w="4288"/>
          </w:tcPr>
          <w:p>
            <w:pPr>
              <w:spacing w:after="0"/>
            </w:pPr>
            <w:r>
              <w:rPr>
                <w:rFonts w:ascii="Arial" w:hAnsi="Arial" w:eastAsia="Arial"/>
                <w:b w:val="0"/>
                <w:color w:val="000000"/>
                <w:sz w:val="24"/>
              </w:rPr>
              <w:t xml:space="preserve">Contra PostgreSQL y los datos semilla. Entre la cotización y la confirmación cambia el precio de las papas y se desactivan las palancas. El total confirmado es igual al cotizado, </w:t>
            </w:r>
            <w:r>
              <w:rPr>
                <w:rFonts w:ascii="Arial" w:hAnsi="Arial" w:eastAsia="Arial"/>
                <w:b/>
                <w:color w:val="000000"/>
                <w:sz w:val="24"/>
              </w:rPr>
              <w:t>y</w:t>
            </w:r>
            <w:r>
              <w:rPr>
                <w:rFonts w:ascii="Arial" w:hAnsi="Arial" w:eastAsia="Arial"/>
                <w:b w:val="0"/>
                <w:color w:val="000000"/>
                <w:sz w:val="24"/>
              </w:rPr>
              <w:t xml:space="preserve"> una cotización nueva del mismo carrito da otro total, lo que demuestra que la prueba sí puede fallar. Un segundo caso muestra que la cotización sellada conserva su combo, su escala y su obsequio</w:t>
            </w:r>
          </w:p>
        </w:tc>
      </w:tr>
    </w:tbl>
    <w:p>
      <w:pPr>
        <w:spacing w:before="120"/>
      </w:pPr>
      <w:r>
        <w:rPr>
          <w:rFonts w:ascii="Arial" w:hAnsi="Arial" w:eastAsia="Arial"/>
          <w:b w:val="0"/>
          <w:color w:val="000000"/>
          <w:sz w:val="24"/>
        </w:rPr>
        <w:t xml:space="preserve">En el mismo arnés corren más casos: las dos políticas tributarias de obsequios, los bordes de redondeo en </w:t>
      </w:r>
      <w:r>
        <w:rPr>
          <w:rFonts w:ascii="Arial" w:hAnsi="Arial" w:eastAsia="Arial"/>
          <w:b w:val="0"/>
          <w:color w:val="000000"/>
          <w:sz w:val="24"/>
        </w:rPr>
        <w:t>.5</w:t>
      </w:r>
      <w:r>
        <w:rPr>
          <w:rFonts w:ascii="Arial" w:hAnsi="Arial" w:eastAsia="Arial"/>
          <w:b w:val="0"/>
          <w:color w:val="000000"/>
          <w:sz w:val="24"/>
        </w:rPr>
        <w:t xml:space="preserve">, el mismo carrito en Colombia (escala 0) y en Ecuador (escala 2), y carritos sin palancas. </w:t>
      </w:r>
      <w:r>
        <w:rPr>
          <w:rFonts w:ascii="Arial" w:hAnsi="Arial" w:eastAsia="Arial"/>
          <w:b w:val="0"/>
          <w:color w:val="000000"/>
          <w:sz w:val="24"/>
        </w:rPr>
        <w:t>TierPrecedenceTest</w:t>
      </w:r>
      <w:r>
        <w:rPr>
          <w:rFonts w:ascii="Arial" w:hAnsi="Arial" w:eastAsia="Arial"/>
          <w:b w:val="0"/>
          <w:color w:val="000000"/>
          <w:sz w:val="24"/>
        </w:rPr>
        <w:t xml:space="preserve"> demuestra que la regla por SKU le gana a la regla por familia.</w:t>
      </w:r>
    </w:p>
    <w:p>
      <w:pPr>
        <w:pStyle w:val="Heading2"/>
        <w:keepNext/>
        <w:spacing w:before="160" w:after="80"/>
      </w:pPr>
      <w:r>
        <w:rPr>
          <w:rFonts w:ascii="Arial" w:hAnsi="Arial" w:eastAsia="Arial"/>
          <w:b/>
          <w:color w:val="000000"/>
          <w:sz w:val="24"/>
        </w:rPr>
        <w:t>6. El pedido idempotente (A2) paso a paso</w:t>
      </w:r>
    </w:p>
    <w:p>
      <w:pPr>
        <w:pStyle w:val="Heading3"/>
        <w:keepNext/>
        <w:spacing w:before="160" w:after="80"/>
      </w:pPr>
      <w:r>
        <w:rPr>
          <w:rFonts w:ascii="Arial" w:hAnsi="Arial" w:eastAsia="Arial"/>
          <w:b/>
          <w:color w:val="000000"/>
          <w:sz w:val="24"/>
        </w:rPr>
        <w:t>6.1 La cotización sellada</w:t>
      </w:r>
    </w:p>
    <w:p>
      <w:r>
        <w:rPr>
          <w:rFonts w:ascii="Arial" w:hAnsi="Arial" w:eastAsia="Arial"/>
          <w:b w:val="0"/>
          <w:color w:val="000000"/>
          <w:sz w:val="24"/>
        </w:rPr>
        <w:t>POST /api/v1/quotes</w:t>
      </w:r>
      <w:r>
        <w:rPr>
          <w:rFonts w:ascii="Arial" w:hAnsi="Arial" w:eastAsia="Arial"/>
          <w:b w:val="0"/>
          <w:color w:val="000000"/>
          <w:sz w:val="24"/>
        </w:rPr>
        <w:t xml:space="preserve"> normaliza el carrito, resuelve la foto de los datos, corre el motor e inserta la cotización, sus líneas y sus componentes de descuento. Cada línea guarda el precio unitario y la tasa de impuesto vigentes en ese momento, además de la base gravable y el impuesto ya redondeados. Estas filas son de solo inserción: no existe ninguna sentencia UPDATE para las cotizaciones.</w:t>
      </w:r>
    </w:p>
    <w:p>
      <w:r>
        <w:rPr>
          <w:rFonts w:ascii="Arial" w:hAnsi="Arial" w:eastAsia="Arial"/>
          <w:b w:val="0"/>
          <w:color w:val="000000"/>
          <w:sz w:val="24"/>
        </w:rPr>
        <w:t>POST /api/v1/orders</w:t>
      </w:r>
      <w:r>
        <w:rPr>
          <w:rFonts w:ascii="Arial" w:hAnsi="Arial" w:eastAsia="Arial"/>
          <w:b w:val="0"/>
          <w:color w:val="000000"/>
          <w:sz w:val="24"/>
        </w:rPr>
        <w:t xml:space="preserve"> no escribe ningún monto. La fila del pedido guarda su número, su cotización, su cliente y su hora de confirmación. El desglose se arma desde las líneas de la cotización, así que cada cifra existe una sola vez, y el total confirmado es el cotizado por construcción. El motor nunca se vuelve a correr al confirmar: si se hiciera, un despliegue que cambiara el motor cambiaría todas las cotizaciones abiertas. El estado de la cotización se deriva, nunca se guarda: </w:t>
      </w:r>
      <w:r>
        <w:rPr>
          <w:rFonts w:ascii="Arial" w:hAnsi="Arial" w:eastAsia="Arial"/>
          <w:b w:val="0"/>
          <w:color w:val="000000"/>
          <w:sz w:val="24"/>
        </w:rPr>
        <w:t>CONFIRMED</w:t>
      </w:r>
      <w:r>
        <w:rPr>
          <w:rFonts w:ascii="Arial" w:hAnsi="Arial" w:eastAsia="Arial"/>
          <w:b w:val="0"/>
          <w:color w:val="000000"/>
          <w:sz w:val="24"/>
        </w:rPr>
        <w:t xml:space="preserve"> si existe un pedido, si no </w:t>
      </w:r>
      <w:r>
        <w:rPr>
          <w:rFonts w:ascii="Arial" w:hAnsi="Arial" w:eastAsia="Arial"/>
          <w:b w:val="0"/>
          <w:color w:val="000000"/>
          <w:sz w:val="24"/>
        </w:rPr>
        <w:t>EXPIRED</w:t>
      </w:r>
      <w:r>
        <w:rPr>
          <w:rFonts w:ascii="Arial" w:hAnsi="Arial" w:eastAsia="Arial"/>
          <w:b w:val="0"/>
          <w:color w:val="000000"/>
          <w:sz w:val="24"/>
        </w:rPr>
        <w:t xml:space="preserve"> después de </w:t>
      </w:r>
      <w:r>
        <w:rPr>
          <w:rFonts w:ascii="Arial" w:hAnsi="Arial" w:eastAsia="Arial"/>
          <w:b w:val="0"/>
          <w:color w:val="000000"/>
          <w:sz w:val="24"/>
        </w:rPr>
        <w:t>expiresAt</w:t>
      </w:r>
      <w:r>
        <w:rPr>
          <w:rFonts w:ascii="Arial" w:hAnsi="Arial" w:eastAsia="Arial"/>
          <w:b w:val="0"/>
          <w:color w:val="000000"/>
          <w:sz w:val="24"/>
        </w:rPr>
        <w:t xml:space="preserve">, y si no </w:t>
      </w:r>
      <w:r>
        <w:rPr>
          <w:rFonts w:ascii="Arial" w:hAnsi="Arial" w:eastAsia="Arial"/>
          <w:b w:val="0"/>
          <w:color w:val="000000"/>
          <w:sz w:val="24"/>
        </w:rPr>
        <w:t>OPEN</w:t>
      </w:r>
      <w:r>
        <w:rPr>
          <w:rFonts w:ascii="Arial" w:hAnsi="Arial" w:eastAsia="Arial"/>
          <w:b w:val="0"/>
          <w:color w:val="000000"/>
          <w:sz w:val="24"/>
        </w:rP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18"/>
        <w:gridCol w:w="4820"/>
      </w:tblGrid>
      <w:tr>
        <w:tc>
          <w:tcPr>
            <w:tcW w:type="dxa" w:w="4818"/>
          </w:tcPr>
          <w:p>
            <w:pPr>
              <w:spacing w:after="0"/>
            </w:pPr>
            <w:r>
              <w:rPr>
                <w:rFonts w:ascii="Arial" w:hAnsi="Arial" w:eastAsia="Arial"/>
                <w:b/>
                <w:color w:val="000000"/>
                <w:sz w:val="24"/>
              </w:rPr>
              <w:t>Alternativa descartada</w:t>
            </w:r>
          </w:p>
        </w:tc>
        <w:tc>
          <w:tcPr>
            <w:tcW w:type="dxa" w:w="4820"/>
          </w:tcPr>
          <w:p>
            <w:pPr>
              <w:spacing w:after="0"/>
            </w:pPr>
            <w:r>
              <w:rPr>
                <w:rFonts w:ascii="Arial" w:hAnsi="Arial" w:eastAsia="Arial"/>
                <w:b/>
                <w:color w:val="000000"/>
                <w:sz w:val="24"/>
              </w:rPr>
              <w:t>Por qué</w:t>
            </w:r>
          </w:p>
        </w:tc>
      </w:tr>
      <w:tr>
        <w:tc>
          <w:tcPr>
            <w:tcW w:type="dxa" w:w="4818"/>
          </w:tcPr>
          <w:p>
            <w:pPr>
              <w:spacing w:after="0"/>
            </w:pPr>
            <w:r>
              <w:rPr>
                <w:rFonts w:ascii="Arial" w:hAnsi="Arial" w:eastAsia="Arial"/>
                <w:b w:val="0"/>
                <w:color w:val="000000"/>
                <w:sz w:val="24"/>
              </w:rPr>
              <w:t>Copiar el desglose en el pedido</w:t>
            </w:r>
          </w:p>
        </w:tc>
        <w:tc>
          <w:tcPr>
            <w:tcW w:type="dxa" w:w="4820"/>
          </w:tcPr>
          <w:p>
            <w:pPr>
              <w:spacing w:after="0"/>
            </w:pPr>
            <w:r>
              <w:rPr>
                <w:rFonts w:ascii="Arial" w:hAnsi="Arial" w:eastAsia="Arial"/>
                <w:b w:val="0"/>
                <w:color w:val="000000"/>
                <w:sz w:val="24"/>
              </w:rPr>
              <w:t>Dos copias pueden divergir</w:t>
            </w:r>
          </w:p>
        </w:tc>
      </w:tr>
      <w:tr>
        <w:tc>
          <w:tcPr>
            <w:tcW w:type="dxa" w:w="4818"/>
          </w:tcPr>
          <w:p>
            <w:pPr>
              <w:spacing w:after="0"/>
            </w:pPr>
            <w:r>
              <w:rPr>
                <w:rFonts w:ascii="Arial" w:hAnsi="Arial" w:eastAsia="Arial"/>
                <w:b w:val="0"/>
                <w:color w:val="000000"/>
                <w:sz w:val="24"/>
              </w:rPr>
              <w:t>Recalcular al confirmar y comparar</w:t>
            </w:r>
          </w:p>
        </w:tc>
        <w:tc>
          <w:tcPr>
            <w:tcW w:type="dxa" w:w="4820"/>
          </w:tcPr>
          <w:p>
            <w:pPr>
              <w:spacing w:after="0"/>
            </w:pPr>
            <w:r>
              <w:rPr>
                <w:rFonts w:ascii="Arial" w:hAnsi="Arial" w:eastAsia="Arial"/>
                <w:b w:val="0"/>
                <w:color w:val="000000"/>
                <w:sz w:val="24"/>
              </w:rPr>
              <w:t>Falla cada vez que cambia un precio o una palanca</w:t>
            </w:r>
          </w:p>
        </w:tc>
      </w:tr>
      <w:tr>
        <w:tc>
          <w:tcPr>
            <w:tcW w:type="dxa" w:w="4818"/>
          </w:tcPr>
          <w:p>
            <w:pPr>
              <w:spacing w:after="0"/>
            </w:pPr>
            <w:r>
              <w:rPr>
                <w:rFonts w:ascii="Arial" w:hAnsi="Arial" w:eastAsia="Arial"/>
                <w:b w:val="0"/>
                <w:color w:val="000000"/>
                <w:sz w:val="24"/>
              </w:rPr>
              <w:t>Bloquear precios mientras haya cotizaciones abiertas</w:t>
            </w:r>
          </w:p>
        </w:tc>
        <w:tc>
          <w:tcPr>
            <w:tcW w:type="dxa" w:w="4820"/>
          </w:tcPr>
          <w:p>
            <w:pPr>
              <w:spacing w:after="0"/>
            </w:pPr>
            <w:r>
              <w:rPr>
                <w:rFonts w:ascii="Arial" w:hAnsi="Arial" w:eastAsia="Arial"/>
                <w:b w:val="0"/>
                <w:color w:val="000000"/>
                <w:sz w:val="24"/>
              </w:rPr>
              <w:t>Bloquea las actualizaciones del catálogo</w:t>
            </w:r>
          </w:p>
        </w:tc>
      </w:tr>
    </w:tbl>
    <w:p>
      <w:pPr>
        <w:spacing w:before="120"/>
      </w:pPr>
      <w:r>
        <w:rPr>
          <w:rFonts w:ascii="Arial" w:hAnsi="Arial" w:eastAsia="Arial"/>
          <w:b w:val="0"/>
          <w:color w:val="000000"/>
          <w:sz w:val="24"/>
        </w:rPr>
        <w:t>La contrapartida es explícita: un cambio de precio solo aplica a cotizaciones nuevas, y una cotización abierta conserva su precio hasta vencer, a los 15 minutos por defecto. Ese es el riesgo registrado en el ADR.</w:t>
      </w:r>
    </w:p>
    <w:p>
      <w:pPr>
        <w:pStyle w:val="Heading3"/>
        <w:keepNext/>
        <w:spacing w:before="160" w:after="80"/>
      </w:pPr>
      <w:r>
        <w:rPr>
          <w:rFonts w:ascii="Arial" w:hAnsi="Arial" w:eastAsia="Arial"/>
          <w:b/>
          <w:color w:val="000000"/>
          <w:sz w:val="24"/>
        </w:rPr>
        <w:t>6.2 Una sola transacción</w:t>
      </w:r>
    </w:p>
    <w:p>
      <w:pPr>
        <w:keepNext/>
        <w:spacing w:before="120" w:after="40"/>
        <w:jc w:val="center"/>
      </w:pPr>
      <w:r>
        <w:drawing>
          <wp:inline xmlns:a="http://schemas.openxmlformats.org/drawingml/2006/main" xmlns:pic="http://schemas.openxmlformats.org/drawingml/2006/picture" distT="0" distB="0" distL="0" distR="0">
            <wp:extent cx="6120130" cy="4326299"/>
            <wp:docPr id="2" name="Picture 2"/>
            <wp:cNvGraphicFramePr>
              <a:graphicFrameLocks noChangeAspect="1"/>
            </wp:cNvGraphicFramePr>
            <a:graphic>
              <a:graphicData uri="http://schemas.openxmlformats.org/drawingml/2006/picture">
                <pic:pic>
                  <pic:nvPicPr>
                    <pic:cNvPr id="0" name="07-confirm-transaction.png"/>
                    <pic:cNvPicPr/>
                  </pic:nvPicPr>
                  <pic:blipFill>
                    <a:blip r:embed="rId11"/>
                    <a:stretch>
                      <a:fillRect/>
                    </a:stretch>
                  </pic:blipFill>
                  <pic:spPr>
                    <a:xfrm>
                      <a:off x="0" y="0"/>
                      <a:ext cx="6120130" cy="4326299"/>
                    </a:xfrm>
                    <a:prstGeom prst="rect"/>
                  </pic:spPr>
                </pic:pic>
              </a:graphicData>
            </a:graphic>
          </wp:inline>
        </w:drawing>
      </w:r>
    </w:p>
    <w:p>
      <w:pPr>
        <w:spacing w:after="160"/>
        <w:jc w:val="center"/>
      </w:pPr>
      <w:r>
        <w:rPr>
          <w:rFonts w:ascii="Arial" w:hAnsi="Arial" w:eastAsia="Arial"/>
          <w:b/>
          <w:color w:val="000000"/>
          <w:sz w:val="24"/>
        </w:rPr>
        <w:t>Figura 2.</w:t>
      </w:r>
      <w:r>
        <w:rPr>
          <w:rFonts w:ascii="Arial" w:hAnsi="Arial" w:eastAsia="Arial"/>
          <w:b w:val="0"/>
          <w:color w:val="000000"/>
          <w:sz w:val="24"/>
        </w:rPr>
        <w:t xml:space="preserve"> </w:t>
      </w:r>
      <w:r>
        <w:rPr>
          <w:rFonts w:ascii="Arial" w:hAnsi="Arial" w:eastAsia="Arial"/>
          <w:b w:val="0"/>
          <w:color w:val="000000"/>
          <w:sz w:val="24"/>
        </w:rPr>
        <w:t>Confirmación: una transacción, y la respuesta solo después del commit</w:t>
      </w:r>
    </w:p>
    <w:p>
      <w:r>
        <w:rPr>
          <w:rFonts w:ascii="Arial" w:hAnsi="Arial" w:eastAsia="Arial"/>
          <w:b w:val="0"/>
          <w:color w:val="000000"/>
          <w:sz w:val="24"/>
        </w:rPr>
        <w:t xml:space="preserve">Una confirmación es una transacción ACID en PostgreSQL, en READ COMMITTED con bloqueos explícitos de fila y un </w:t>
      </w:r>
      <w:r>
        <w:rPr>
          <w:rFonts w:ascii="Arial" w:hAnsi="Arial" w:eastAsia="Arial"/>
          <w:b w:val="0"/>
          <w:color w:val="000000"/>
          <w:sz w:val="24"/>
        </w:rPr>
        <w:t>lock_timeout</w:t>
      </w:r>
      <w:r>
        <w:rPr>
          <w:rFonts w:ascii="Arial" w:hAnsi="Arial" w:eastAsia="Arial"/>
          <w:b w:val="0"/>
          <w:color w:val="000000"/>
          <w:sz w:val="24"/>
        </w:rPr>
        <w:t>. Los bloqueos se toman siempre en el mismo orden, clave de idempotencia → cotización → cuenta de crédito, así que las confirmaciones concurrentes no pueden caer en un deadlock.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474"/>
        <w:gridCol w:w="4184"/>
      </w:tblGrid>
      <w:tr>
        <w:tc>
          <w:tcPr>
            <w:tcW w:type="dxa" w:w="980"/>
          </w:tcPr>
          <w:p>
            <w:pPr>
              <w:spacing w:after="0"/>
            </w:pPr>
            <w:r>
              <w:rPr>
                <w:rFonts w:ascii="Arial" w:hAnsi="Arial" w:eastAsia="Arial"/>
                <w:b/>
                <w:color w:val="000000"/>
                <w:sz w:val="24"/>
              </w:rPr>
              <w:t>Paso</w:t>
            </w:r>
          </w:p>
        </w:tc>
        <w:tc>
          <w:tcPr>
            <w:tcW w:type="dxa" w:w="4474"/>
          </w:tcPr>
          <w:p>
            <w:pPr>
              <w:spacing w:after="0"/>
            </w:pPr>
            <w:r>
              <w:rPr>
                <w:rFonts w:ascii="Arial" w:hAnsi="Arial" w:eastAsia="Arial"/>
                <w:b/>
                <w:color w:val="000000"/>
                <w:sz w:val="24"/>
              </w:rPr>
              <w:t>Acción</w:t>
            </w:r>
          </w:p>
        </w:tc>
        <w:tc>
          <w:tcPr>
            <w:tcW w:type="dxa" w:w="4184"/>
          </w:tcPr>
          <w:p>
            <w:pPr>
              <w:spacing w:after="0"/>
            </w:pPr>
            <w:r>
              <w:rPr>
                <w:rFonts w:ascii="Arial" w:hAnsi="Arial" w:eastAsia="Arial"/>
                <w:b/>
                <w:color w:val="000000"/>
                <w:sz w:val="24"/>
              </w:rPr>
              <w:t>Garantía</w:t>
            </w:r>
          </w:p>
        </w:tc>
      </w:tr>
      <w:tr>
        <w:tc>
          <w:tcPr>
            <w:tcW w:type="dxa" w:w="980"/>
          </w:tcPr>
          <w:p>
            <w:pPr>
              <w:spacing w:after="0"/>
            </w:pPr>
            <w:r>
              <w:rPr>
                <w:rFonts w:ascii="Arial" w:hAnsi="Arial" w:eastAsia="Arial"/>
                <w:b w:val="0"/>
                <w:color w:val="000000"/>
                <w:sz w:val="24"/>
              </w:rPr>
              <w:t>1</w:t>
            </w:r>
          </w:p>
        </w:tc>
        <w:tc>
          <w:tcPr>
            <w:tcW w:type="dxa" w:w="4474"/>
          </w:tcPr>
          <w:p>
            <w:pPr>
              <w:spacing w:after="0"/>
            </w:pPr>
            <w:r>
              <w:rPr>
                <w:rFonts w:ascii="Arial" w:hAnsi="Arial" w:eastAsia="Arial"/>
                <w:b w:val="0"/>
                <w:color w:val="000000"/>
                <w:sz w:val="24"/>
              </w:rPr>
              <w:t xml:space="preserve">Insertar la clave de idempotencia con </w:t>
            </w:r>
            <w:r>
              <w:rPr>
                <w:rFonts w:ascii="Arial" w:hAnsi="Arial" w:eastAsia="Arial"/>
                <w:b w:val="0"/>
                <w:color w:val="000000"/>
                <w:sz w:val="24"/>
              </w:rPr>
              <w:t>ON CONFLICT DO NOTHING</w:t>
            </w:r>
            <w:r>
              <w:rPr>
                <w:rFonts w:ascii="Arial" w:hAnsi="Arial" w:eastAsia="Arial"/>
                <w:b w:val="0"/>
                <w:color w:val="000000"/>
                <w:sz w:val="24"/>
              </w:rPr>
              <w:t xml:space="preserve"> y volver a leerla</w:t>
            </w:r>
          </w:p>
        </w:tc>
        <w:tc>
          <w:tcPr>
            <w:tcW w:type="dxa" w:w="4184"/>
          </w:tcPr>
          <w:p>
            <w:pPr>
              <w:spacing w:after="0"/>
            </w:pPr>
            <w:r>
              <w:rPr>
                <w:rFonts w:ascii="Arial" w:hAnsi="Arial" w:eastAsia="Arial"/>
                <w:b w:val="0"/>
                <w:color w:val="000000"/>
                <w:sz w:val="24"/>
              </w:rPr>
              <w:t>Un solo dueño por clave. Un duplicado concurrente espera sobre la entrada única aún sin confirmar</w:t>
            </w:r>
          </w:p>
        </w:tc>
      </w:tr>
      <w:tr>
        <w:tc>
          <w:tcPr>
            <w:tcW w:type="dxa" w:w="980"/>
          </w:tcPr>
          <w:p>
            <w:pPr>
              <w:spacing w:after="0"/>
            </w:pPr>
            <w:r>
              <w:rPr>
                <w:rFonts w:ascii="Arial" w:hAnsi="Arial" w:eastAsia="Arial"/>
                <w:b w:val="0"/>
                <w:color w:val="000000"/>
                <w:sz w:val="24"/>
              </w:rPr>
              <w:t>2</w:t>
            </w:r>
          </w:p>
        </w:tc>
        <w:tc>
          <w:tcPr>
            <w:tcW w:type="dxa" w:w="4474"/>
          </w:tcPr>
          <w:p>
            <w:pPr>
              <w:spacing w:after="0"/>
            </w:pPr>
            <w:r>
              <w:rPr>
                <w:rFonts w:ascii="Arial" w:hAnsi="Arial" w:eastAsia="Arial"/>
                <w:b w:val="0"/>
                <w:color w:val="000000"/>
                <w:sz w:val="24"/>
              </w:rPr>
              <w:t xml:space="preserve">Bloquear la cotización con </w:t>
            </w:r>
            <w:r>
              <w:rPr>
                <w:rFonts w:ascii="Arial" w:hAnsi="Arial" w:eastAsia="Arial"/>
                <w:b w:val="0"/>
                <w:color w:val="000000"/>
                <w:sz w:val="24"/>
              </w:rPr>
              <w:t>SELECT … FOR UPDATE</w:t>
            </w:r>
            <w:r>
              <w:rPr>
                <w:rFonts w:ascii="Arial" w:hAnsi="Arial" w:eastAsia="Arial"/>
                <w:b w:val="0"/>
                <w:color w:val="000000"/>
                <w:sz w:val="24"/>
              </w:rPr>
              <w:t>; verificar su dueño, que no tenga pedido y que no haya vencido</w:t>
            </w:r>
          </w:p>
        </w:tc>
        <w:tc>
          <w:tcPr>
            <w:tcW w:type="dxa" w:w="4184"/>
          </w:tcPr>
          <w:p>
            <w:pPr>
              <w:spacing w:after="0"/>
            </w:pPr>
            <w:r>
              <w:rPr>
                <w:rFonts w:ascii="Arial" w:hAnsi="Arial" w:eastAsia="Arial"/>
                <w:b w:val="0"/>
                <w:color w:val="000000"/>
                <w:sz w:val="24"/>
              </w:rPr>
              <w:t>Una sola confirmación por cotización</w:t>
            </w:r>
          </w:p>
        </w:tc>
      </w:tr>
      <w:tr>
        <w:tc>
          <w:tcPr>
            <w:tcW w:type="dxa" w:w="980"/>
          </w:tcPr>
          <w:p>
            <w:pPr>
              <w:spacing w:after="0"/>
            </w:pPr>
            <w:r>
              <w:rPr>
                <w:rFonts w:ascii="Arial" w:hAnsi="Arial" w:eastAsia="Arial"/>
                <w:b w:val="0"/>
                <w:color w:val="000000"/>
                <w:sz w:val="24"/>
              </w:rPr>
              <w:t>3</w:t>
            </w:r>
          </w:p>
        </w:tc>
        <w:tc>
          <w:tcPr>
            <w:tcW w:type="dxa" w:w="4474"/>
          </w:tcPr>
          <w:p>
            <w:pPr>
              <w:spacing w:after="0"/>
            </w:pPr>
            <w:r>
              <w:rPr>
                <w:rFonts w:ascii="Arial" w:hAnsi="Arial" w:eastAsia="Arial"/>
                <w:b w:val="0"/>
                <w:color w:val="000000"/>
                <w:sz w:val="24"/>
              </w:rPr>
              <w:t>Si es a crédito, consumir el cupo con un update condicional</w:t>
            </w:r>
          </w:p>
        </w:tc>
        <w:tc>
          <w:tcPr>
            <w:tcW w:type="dxa" w:w="4184"/>
          </w:tcPr>
          <w:p>
            <w:pPr>
              <w:spacing w:after="0"/>
            </w:pPr>
            <w:r>
              <w:rPr>
                <w:rFonts w:ascii="Arial" w:hAnsi="Arial" w:eastAsia="Arial"/>
                <w:b w:val="0"/>
                <w:color w:val="000000"/>
                <w:sz w:val="24"/>
              </w:rPr>
              <w:t>El cupo nunca se consume por encima del límite</w:t>
            </w:r>
          </w:p>
        </w:tc>
      </w:tr>
      <w:tr>
        <w:tc>
          <w:tcPr>
            <w:tcW w:type="dxa" w:w="980"/>
          </w:tcPr>
          <w:p>
            <w:pPr>
              <w:spacing w:after="0"/>
            </w:pPr>
            <w:r>
              <w:rPr>
                <w:rFonts w:ascii="Arial" w:hAnsi="Arial" w:eastAsia="Arial"/>
                <w:b w:val="0"/>
                <w:color w:val="000000"/>
                <w:sz w:val="24"/>
              </w:rPr>
              <w:t>4</w:t>
            </w:r>
          </w:p>
        </w:tc>
        <w:tc>
          <w:tcPr>
            <w:tcW w:type="dxa" w:w="4474"/>
          </w:tcPr>
          <w:p>
            <w:pPr>
              <w:spacing w:after="0"/>
            </w:pPr>
            <w:r>
              <w:rPr>
                <w:rFonts w:ascii="Arial" w:hAnsi="Arial" w:eastAsia="Arial"/>
                <w:b w:val="0"/>
                <w:color w:val="000000"/>
                <w:sz w:val="24"/>
              </w:rPr>
              <w:t>Insertar el pedido (único por cotización) y luego, si es a crédito, su fila en el libro</w:t>
            </w:r>
          </w:p>
        </w:tc>
        <w:tc>
          <w:tcPr>
            <w:tcW w:type="dxa" w:w="4184"/>
          </w:tcPr>
          <w:p>
            <w:pPr>
              <w:spacing w:after="0"/>
            </w:pPr>
            <w:r>
              <w:rPr>
                <w:rFonts w:ascii="Arial" w:hAnsi="Arial" w:eastAsia="Arial"/>
                <w:b w:val="0"/>
                <w:color w:val="000000"/>
                <w:sz w:val="24"/>
              </w:rPr>
              <w:t>Ningún pedido sin su cotización, ningún segundo pedido para una misma cotización</w:t>
            </w:r>
          </w:p>
        </w:tc>
      </w:tr>
      <w:tr>
        <w:tc>
          <w:tcPr>
            <w:tcW w:type="dxa" w:w="980"/>
          </w:tcPr>
          <w:p>
            <w:pPr>
              <w:spacing w:after="0"/>
            </w:pPr>
            <w:r>
              <w:rPr>
                <w:rFonts w:ascii="Arial" w:hAnsi="Arial" w:eastAsia="Arial"/>
                <w:b w:val="0"/>
                <w:color w:val="000000"/>
                <w:sz w:val="24"/>
              </w:rPr>
              <w:t>5</w:t>
            </w:r>
          </w:p>
        </w:tc>
        <w:tc>
          <w:tcPr>
            <w:tcW w:type="dxa" w:w="4474"/>
          </w:tcPr>
          <w:p>
            <w:pPr>
              <w:spacing w:after="0"/>
            </w:pPr>
            <w:r>
              <w:rPr>
                <w:rFonts w:ascii="Arial" w:hAnsi="Arial" w:eastAsia="Arial"/>
                <w:b w:val="0"/>
                <w:color w:val="000000"/>
                <w:sz w:val="24"/>
              </w:rPr>
              <w:t>Insertar un evento de outbox para push y otro para el ERP</w:t>
            </w:r>
          </w:p>
        </w:tc>
        <w:tc>
          <w:tcPr>
            <w:tcW w:type="dxa" w:w="4184"/>
          </w:tcPr>
          <w:p>
            <w:pPr>
              <w:spacing w:after="0"/>
            </w:pPr>
            <w:r>
              <w:rPr>
                <w:rFonts w:ascii="Arial" w:hAnsi="Arial" w:eastAsia="Arial"/>
                <w:b w:val="0"/>
                <w:color w:val="000000"/>
                <w:sz w:val="24"/>
              </w:rPr>
              <w:t>Los efectos quedan registrados de forma atómica con el pedido</w:t>
            </w:r>
          </w:p>
        </w:tc>
      </w:tr>
      <w:tr>
        <w:tc>
          <w:tcPr>
            <w:tcW w:type="dxa" w:w="980"/>
          </w:tcPr>
          <w:p>
            <w:pPr>
              <w:spacing w:after="0"/>
            </w:pPr>
            <w:r>
              <w:rPr>
                <w:rFonts w:ascii="Arial" w:hAnsi="Arial" w:eastAsia="Arial"/>
                <w:b w:val="0"/>
                <w:color w:val="000000"/>
                <w:sz w:val="24"/>
              </w:rPr>
              <w:t>6</w:t>
            </w:r>
          </w:p>
        </w:tc>
        <w:tc>
          <w:tcPr>
            <w:tcW w:type="dxa" w:w="4474"/>
          </w:tcPr>
          <w:p>
            <w:pPr>
              <w:spacing w:after="0"/>
            </w:pPr>
            <w:r>
              <w:rPr>
                <w:rFonts w:ascii="Arial" w:hAnsi="Arial" w:eastAsia="Arial"/>
                <w:b w:val="0"/>
                <w:color w:val="000000"/>
                <w:sz w:val="24"/>
              </w:rPr>
              <w:t>Guardar el cuerpo del 201 en la fila de idempotencia</w:t>
            </w:r>
          </w:p>
        </w:tc>
        <w:tc>
          <w:tcPr>
            <w:tcW w:type="dxa" w:w="4184"/>
          </w:tcPr>
          <w:p>
            <w:pPr>
              <w:spacing w:after="0"/>
            </w:pPr>
            <w:r>
              <w:rPr>
                <w:rFonts w:ascii="Arial" w:hAnsi="Arial" w:eastAsia="Arial"/>
                <w:b w:val="0"/>
                <w:color w:val="000000"/>
                <w:sz w:val="24"/>
              </w:rPr>
              <w:t>Las repeticiones devuelven la misma respuesta</w:t>
            </w:r>
          </w:p>
        </w:tc>
      </w:tr>
      <w:tr>
        <w:tc>
          <w:tcPr>
            <w:tcW w:type="dxa" w:w="980"/>
          </w:tcPr>
          <w:p>
            <w:pPr>
              <w:spacing w:after="0"/>
            </w:pPr>
            <w:r>
              <w:rPr>
                <w:rFonts w:ascii="Arial" w:hAnsi="Arial" w:eastAsia="Arial"/>
                <w:b w:val="0"/>
                <w:color w:val="000000"/>
                <w:sz w:val="24"/>
              </w:rPr>
              <w:t>7</w:t>
            </w:r>
          </w:p>
        </w:tc>
        <w:tc>
          <w:tcPr>
            <w:tcW w:type="dxa" w:w="4474"/>
          </w:tcPr>
          <w:p>
            <w:pPr>
              <w:spacing w:after="0"/>
            </w:pPr>
            <w:r>
              <w:rPr>
                <w:rFonts w:ascii="Arial" w:hAnsi="Arial" w:eastAsia="Arial"/>
                <w:b w:val="0"/>
                <w:color w:val="000000"/>
                <w:sz w:val="24"/>
              </w:rPr>
              <w:t>Hacer commit, y solo entonces serializar el 201</w:t>
            </w:r>
          </w:p>
        </w:tc>
        <w:tc>
          <w:tcPr>
            <w:tcW w:type="dxa" w:w="4184"/>
          </w:tcPr>
          <w:p>
            <w:pPr>
              <w:spacing w:after="0"/>
            </w:pPr>
            <w:r>
              <w:rPr>
                <w:rFonts w:ascii="Arial" w:hAnsi="Arial" w:eastAsia="Arial"/>
                <w:b w:val="0"/>
                <w:color w:val="000000"/>
                <w:sz w:val="24"/>
              </w:rPr>
              <w:t>Invariante I-201</w:t>
            </w:r>
          </w:p>
        </w:tc>
      </w:tr>
    </w:tbl>
    <w:p>
      <w:pPr>
        <w:spacing w:before="120"/>
      </w:pPr>
      <w:r>
        <w:rPr>
          <w:rFonts w:ascii="Arial" w:hAnsi="Arial" w:eastAsia="Arial"/>
          <w:b w:val="0"/>
          <w:color w:val="000000"/>
          <w:sz w:val="24"/>
        </w:rPr>
        <w:t xml:space="preserve">Las elecciones de tecnología salen de esta transacción (plan DEC-01 … DEC-12): Spring Boot sobre el stack servlet, porque un stack reactivo complica la única transacción bloqueante; un monolito modular, porque separar pedido, cupo, clave y outbox en servicios exigiría una saga; PostgreSQL, porque un almacén en memoria no puede demostrar atomicidad ni bloqueos de fila; </w:t>
      </w:r>
      <w:r>
        <w:rPr>
          <w:rFonts w:ascii="Arial" w:hAnsi="Arial" w:eastAsia="Arial"/>
          <w:b w:val="0"/>
          <w:color w:val="000000"/>
          <w:sz w:val="24"/>
        </w:rPr>
        <w:t>JdbcClient</w:t>
      </w:r>
      <w:r>
        <w:rPr>
          <w:rFonts w:ascii="Arial" w:hAnsi="Arial" w:eastAsia="Arial"/>
          <w:b w:val="0"/>
          <w:color w:val="000000"/>
          <w:sz w:val="24"/>
        </w:rPr>
        <w:t xml:space="preserve"> con SQL explícito en lugar de JPA, que esconde los bloqueos y el orden de flush; y Testcontainers en lugar de H2, cuyo manejo de bloqueos y dialecto SQL son distintos. </w:t>
      </w:r>
      <w:r>
        <w:rPr>
          <w:rFonts w:ascii="Arial" w:hAnsi="Arial" w:eastAsia="Arial"/>
          <w:b w:val="0"/>
          <w:color w:val="000000"/>
          <w:sz w:val="24"/>
        </w:rPr>
        <w:t>@Transactional</w:t>
      </w:r>
      <w:r>
        <w:rPr>
          <w:rFonts w:ascii="Arial" w:hAnsi="Arial" w:eastAsia="Arial"/>
          <w:b w:val="0"/>
          <w:color w:val="000000"/>
          <w:sz w:val="24"/>
        </w:rPr>
        <w:t xml:space="preserve"> solo aparece en los casos de uso de la aplicación, y una regla de ArchUnit lo hace cumplir.</w:t>
      </w:r>
    </w:p>
    <w:p>
      <w:pPr>
        <w:pStyle w:val="Heading3"/>
        <w:keepNext/>
        <w:spacing w:before="160" w:after="80"/>
      </w:pPr>
      <w:r>
        <w:rPr>
          <w:rFonts w:ascii="Arial" w:hAnsi="Arial" w:eastAsia="Arial"/>
          <w:b/>
          <w:color w:val="000000"/>
          <w:sz w:val="24"/>
        </w:rPr>
        <w:t>6.3 La clave de idempotencia</w:t>
      </w:r>
    </w:p>
    <w:p>
      <w:r>
        <w:rPr>
          <w:rFonts w:ascii="Arial" w:hAnsi="Arial" w:eastAsia="Arial"/>
          <w:b w:val="0"/>
          <w:color w:val="000000"/>
          <w:sz w:val="24"/>
        </w:rPr>
        <w:t>Idempotency-Key</w:t>
      </w:r>
      <w:r>
        <w:rPr>
          <w:rFonts w:ascii="Arial" w:hAnsi="Arial" w:eastAsia="Arial"/>
          <w:b w:val="0"/>
          <w:color w:val="000000"/>
          <w:sz w:val="24"/>
        </w:rPr>
        <w:t xml:space="preserve"> es obligatoria en </w:t>
      </w:r>
      <w:r>
        <w:rPr>
          <w:rFonts w:ascii="Arial" w:hAnsi="Arial" w:eastAsia="Arial"/>
          <w:b w:val="0"/>
          <w:color w:val="000000"/>
          <w:sz w:val="24"/>
        </w:rPr>
        <w:t>POST /api/v1/orders</w:t>
      </w:r>
      <w:r>
        <w:rPr>
          <w:rFonts w:ascii="Arial" w:hAnsi="Arial" w:eastAsia="Arial"/>
          <w:b w:val="0"/>
          <w:color w:val="000000"/>
          <w:sz w:val="24"/>
        </w:rPr>
        <w:t xml:space="preserve"> y debe cumplir </w:t>
      </w:r>
      <w:r>
        <w:rPr>
          <w:rFonts w:ascii="Arial" w:hAnsi="Arial" w:eastAsia="Arial"/>
          <w:b w:val="0"/>
          <w:color w:val="000000"/>
          <w:sz w:val="24"/>
        </w:rPr>
        <w:t>^[A-Za-z0-9_-]{8,64}$</w:t>
      </w:r>
      <w:r>
        <w:rPr>
          <w:rFonts w:ascii="Arial" w:hAnsi="Arial" w:eastAsia="Arial"/>
          <w:b w:val="0"/>
          <w:color w:val="000000"/>
          <w:sz w:val="24"/>
        </w:rPr>
        <w:t>. El hash de la solicitud es SHA-256 de método, ruta, id del cliente y cuerpo JSON canónico. La semántica sigue el borrador del IETF "The Idempotency-Key HTTP Header Field":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38"/>
        <w:gridCol w:w="5900"/>
      </w:tblGrid>
      <w:tr>
        <w:tc>
          <w:tcPr>
            <w:tcW w:type="dxa" w:w="3738"/>
          </w:tcPr>
          <w:p>
            <w:pPr>
              <w:spacing w:after="0"/>
            </w:pPr>
            <w:r>
              <w:rPr>
                <w:rFonts w:ascii="Arial" w:hAnsi="Arial" w:eastAsia="Arial"/>
                <w:b/>
                <w:color w:val="000000"/>
                <w:sz w:val="24"/>
              </w:rPr>
              <w:t>Situación</w:t>
            </w:r>
          </w:p>
        </w:tc>
        <w:tc>
          <w:tcPr>
            <w:tcW w:type="dxa" w:w="5900"/>
          </w:tcPr>
          <w:p>
            <w:pPr>
              <w:spacing w:after="0"/>
            </w:pPr>
            <w:r>
              <w:rPr>
                <w:rFonts w:ascii="Arial" w:hAnsi="Arial" w:eastAsia="Arial"/>
                <w:b/>
                <w:color w:val="000000"/>
                <w:sz w:val="24"/>
              </w:rPr>
              <w:t>Respuesta</w:t>
            </w:r>
          </w:p>
        </w:tc>
      </w:tr>
      <w:tr>
        <w:tc>
          <w:tcPr>
            <w:tcW w:type="dxa" w:w="3738"/>
          </w:tcPr>
          <w:p>
            <w:pPr>
              <w:spacing w:after="0"/>
            </w:pPr>
            <w:r>
              <w:rPr>
                <w:rFonts w:ascii="Arial" w:hAnsi="Arial" w:eastAsia="Arial"/>
                <w:b w:val="0"/>
                <w:color w:val="000000"/>
                <w:sz w:val="24"/>
              </w:rPr>
              <w:t>Misma clave, mismo cuerpo, ya completada</w:t>
            </w:r>
          </w:p>
        </w:tc>
        <w:tc>
          <w:tcPr>
            <w:tcW w:type="dxa" w:w="5900"/>
          </w:tcPr>
          <w:p>
            <w:pPr>
              <w:spacing w:after="0"/>
            </w:pPr>
            <w:r>
              <w:rPr>
                <w:rFonts w:ascii="Arial" w:hAnsi="Arial" w:eastAsia="Arial"/>
                <w:b w:val="0"/>
                <w:color w:val="000000"/>
                <w:sz w:val="24"/>
              </w:rPr>
              <w:t xml:space="preserve">La respuesta guardada, idéntica byte a byte, con </w:t>
            </w:r>
            <w:r>
              <w:rPr>
                <w:rFonts w:ascii="Arial" w:hAnsi="Arial" w:eastAsia="Arial"/>
                <w:b w:val="0"/>
                <w:color w:val="000000"/>
                <w:sz w:val="24"/>
              </w:rPr>
              <w:t>Idempotent-Replayed: true</w:t>
            </w:r>
          </w:p>
        </w:tc>
      </w:tr>
      <w:tr>
        <w:tc>
          <w:tcPr>
            <w:tcW w:type="dxa" w:w="3738"/>
          </w:tcPr>
          <w:p>
            <w:pPr>
              <w:spacing w:after="0"/>
            </w:pPr>
            <w:r>
              <w:rPr>
                <w:rFonts w:ascii="Arial" w:hAnsi="Arial" w:eastAsia="Arial"/>
                <w:b w:val="0"/>
                <w:color w:val="000000"/>
                <w:sz w:val="24"/>
              </w:rPr>
              <w:t>Misma clave, otro cuerpo</w:t>
            </w:r>
          </w:p>
        </w:tc>
        <w:tc>
          <w:tcPr>
            <w:tcW w:type="dxa" w:w="5900"/>
          </w:tcPr>
          <w:p>
            <w:pPr>
              <w:spacing w:after="0"/>
            </w:pPr>
            <w:r>
              <w:rPr>
                <w:rFonts w:ascii="Arial" w:hAnsi="Arial" w:eastAsia="Arial"/>
                <w:b w:val="0"/>
                <w:color w:val="000000"/>
                <w:sz w:val="24"/>
              </w:rPr>
              <w:t xml:space="preserve">422 </w:t>
            </w:r>
            <w:r>
              <w:rPr>
                <w:rFonts w:ascii="Arial" w:hAnsi="Arial" w:eastAsia="Arial"/>
                <w:b w:val="0"/>
                <w:color w:val="000000"/>
                <w:sz w:val="24"/>
              </w:rPr>
              <w:t>IDEMPOTENCY_KEY_REUSED</w:t>
            </w:r>
          </w:p>
        </w:tc>
      </w:tr>
      <w:tr>
        <w:tc>
          <w:tcPr>
            <w:tcW w:type="dxa" w:w="3738"/>
          </w:tcPr>
          <w:p>
            <w:pPr>
              <w:spacing w:after="0"/>
            </w:pPr>
            <w:r>
              <w:rPr>
                <w:rFonts w:ascii="Arial" w:hAnsi="Arial" w:eastAsia="Arial"/>
                <w:b w:val="0"/>
                <w:color w:val="000000"/>
                <w:sz w:val="24"/>
              </w:rPr>
              <w:t>Misma clave mientras la primera solicitud sigue en curso</w:t>
            </w:r>
          </w:p>
        </w:tc>
        <w:tc>
          <w:tcPr>
            <w:tcW w:type="dxa" w:w="5900"/>
          </w:tcPr>
          <w:p>
            <w:pPr>
              <w:spacing w:after="0"/>
            </w:pPr>
            <w:r>
              <w:rPr>
                <w:rFonts w:ascii="Arial" w:hAnsi="Arial" w:eastAsia="Arial"/>
                <w:b w:val="0"/>
                <w:color w:val="000000"/>
                <w:sz w:val="24"/>
              </w:rPr>
              <w:t xml:space="preserve">Espera hasta </w:t>
            </w:r>
            <w:r>
              <w:rPr>
                <w:rFonts w:ascii="Arial" w:hAnsi="Arial" w:eastAsia="Arial"/>
                <w:b w:val="0"/>
                <w:color w:val="000000"/>
                <w:sz w:val="24"/>
              </w:rPr>
              <w:t>lock_timeout</w:t>
            </w:r>
            <w:r>
              <w:rPr>
                <w:rFonts w:ascii="Arial" w:hAnsi="Arial" w:eastAsia="Arial"/>
                <w:b w:val="0"/>
                <w:color w:val="000000"/>
                <w:sz w:val="24"/>
              </w:rPr>
              <w:t xml:space="preserve"> y repite la respuesta; 409 </w:t>
            </w:r>
            <w:r>
              <w:rPr>
                <w:rFonts w:ascii="Arial" w:hAnsi="Arial" w:eastAsia="Arial"/>
                <w:b w:val="0"/>
                <w:color w:val="000000"/>
                <w:sz w:val="24"/>
              </w:rPr>
              <w:t>IDEMPOTENCY_KEY_IN_PROGRESS</w:t>
            </w:r>
            <w:r>
              <w:rPr>
                <w:rFonts w:ascii="Arial" w:hAnsi="Arial" w:eastAsia="Arial"/>
                <w:b w:val="0"/>
                <w:color w:val="000000"/>
                <w:sz w:val="24"/>
              </w:rPr>
              <w:t xml:space="preserve"> si primero se cumple el plazo</w:t>
            </w:r>
          </w:p>
        </w:tc>
      </w:tr>
      <w:tr>
        <w:tc>
          <w:tcPr>
            <w:tcW w:type="dxa" w:w="3738"/>
          </w:tcPr>
          <w:p>
            <w:pPr>
              <w:spacing w:after="0"/>
            </w:pPr>
            <w:r>
              <w:rPr>
                <w:rFonts w:ascii="Arial" w:hAnsi="Arial" w:eastAsia="Arial"/>
                <w:b w:val="0"/>
                <w:color w:val="000000"/>
                <w:sz w:val="24"/>
              </w:rPr>
              <w:t>Clave ausente o mal formada</w:t>
            </w:r>
          </w:p>
        </w:tc>
        <w:tc>
          <w:tcPr>
            <w:tcW w:type="dxa" w:w="5900"/>
          </w:tcPr>
          <w:p>
            <w:pPr>
              <w:spacing w:after="0"/>
            </w:pPr>
            <w:r>
              <w:rPr>
                <w:rFonts w:ascii="Arial" w:hAnsi="Arial" w:eastAsia="Arial"/>
                <w:b w:val="0"/>
                <w:color w:val="000000"/>
                <w:sz w:val="24"/>
              </w:rPr>
              <w:t xml:space="preserve">400 </w:t>
            </w:r>
            <w:r>
              <w:rPr>
                <w:rFonts w:ascii="Arial" w:hAnsi="Arial" w:eastAsia="Arial"/>
                <w:b w:val="0"/>
                <w:color w:val="000000"/>
                <w:sz w:val="24"/>
              </w:rPr>
              <w:t>IDEMPOTENCY_KEY_MISSING</w:t>
            </w:r>
            <w:r>
              <w:rPr>
                <w:rFonts w:ascii="Arial" w:hAnsi="Arial" w:eastAsia="Arial"/>
                <w:b w:val="0"/>
                <w:color w:val="000000"/>
                <w:sz w:val="24"/>
              </w:rPr>
              <w:t xml:space="preserve"> o </w:t>
            </w:r>
            <w:r>
              <w:rPr>
                <w:rFonts w:ascii="Arial" w:hAnsi="Arial" w:eastAsia="Arial"/>
                <w:b w:val="0"/>
                <w:color w:val="000000"/>
                <w:sz w:val="24"/>
              </w:rPr>
              <w:t>IDEMPOTENCY_KEY_INVALID</w:t>
            </w:r>
          </w:p>
        </w:tc>
      </w:tr>
      <w:tr>
        <w:tc>
          <w:tcPr>
            <w:tcW w:type="dxa" w:w="3738"/>
          </w:tcPr>
          <w:p>
            <w:pPr>
              <w:spacing w:after="0"/>
            </w:pPr>
            <w:r>
              <w:rPr>
                <w:rFonts w:ascii="Arial" w:hAnsi="Arial" w:eastAsia="Arial"/>
                <w:b w:val="0"/>
                <w:color w:val="000000"/>
                <w:sz w:val="24"/>
              </w:rPr>
              <w:t>Una solicitud fallida (validación, cotización vencida, cupo excedido)</w:t>
            </w:r>
          </w:p>
        </w:tc>
        <w:tc>
          <w:tcPr>
            <w:tcW w:type="dxa" w:w="5900"/>
          </w:tcPr>
          <w:p>
            <w:pPr>
              <w:spacing w:after="0"/>
            </w:pPr>
            <w:r>
              <w:rPr>
                <w:rFonts w:ascii="Arial" w:hAnsi="Arial" w:eastAsia="Arial"/>
                <w:b w:val="0"/>
                <w:color w:val="000000"/>
                <w:sz w:val="24"/>
              </w:rPr>
              <w:t>No se guarda: el rollback libera la clave, y el cliente puede reintentar después de corregir la causa</w:t>
            </w:r>
          </w:p>
        </w:tc>
      </w:tr>
      <w:tr>
        <w:tc>
          <w:tcPr>
            <w:tcW w:type="dxa" w:w="3738"/>
          </w:tcPr>
          <w:p>
            <w:pPr>
              <w:spacing w:after="0"/>
            </w:pPr>
            <w:r>
              <w:rPr>
                <w:rFonts w:ascii="Arial" w:hAnsi="Arial" w:eastAsia="Arial"/>
                <w:b w:val="0"/>
                <w:color w:val="000000"/>
                <w:sz w:val="24"/>
              </w:rPr>
              <w:t>Una clave nueva sobre una cotización confirmada</w:t>
            </w:r>
          </w:p>
        </w:tc>
        <w:tc>
          <w:tcPr>
            <w:tcW w:type="dxa" w:w="5900"/>
          </w:tcPr>
          <w:p>
            <w:pPr>
              <w:spacing w:after="0"/>
            </w:pPr>
            <w:r>
              <w:rPr>
                <w:rFonts w:ascii="Arial" w:hAnsi="Arial" w:eastAsia="Arial"/>
                <w:b w:val="0"/>
                <w:color w:val="000000"/>
                <w:sz w:val="24"/>
              </w:rPr>
              <w:t xml:space="preserve">409 </w:t>
            </w:r>
            <w:r>
              <w:rPr>
                <w:rFonts w:ascii="Arial" w:hAnsi="Arial" w:eastAsia="Arial"/>
                <w:b w:val="0"/>
                <w:color w:val="000000"/>
                <w:sz w:val="24"/>
              </w:rPr>
              <w:t>QUOTE_ALREADY_CONFIRMED</w:t>
            </w:r>
            <w:r>
              <w:rPr>
                <w:rFonts w:ascii="Arial" w:hAnsi="Arial" w:eastAsia="Arial"/>
                <w:b w:val="0"/>
                <w:color w:val="000000"/>
                <w:sz w:val="24"/>
              </w:rPr>
              <w:t>, con el número del pedido existente</w:t>
            </w:r>
          </w:p>
        </w:tc>
      </w:tr>
    </w:tbl>
    <w:p>
      <w:pPr>
        <w:spacing w:before="120"/>
      </w:pPr>
      <w:r>
        <w:rPr>
          <w:rFonts w:ascii="Arial" w:hAnsi="Arial" w:eastAsia="Arial"/>
          <w:b w:val="0"/>
          <w:color w:val="000000"/>
          <w:sz w:val="24"/>
        </w:rPr>
        <w:t xml:space="preserve">Las claves se guardan 24 horas. Después de ese plazo, un reintento sigue recibiendo </w:t>
      </w:r>
      <w:r>
        <w:rPr>
          <w:rFonts w:ascii="Arial" w:hAnsi="Arial" w:eastAsia="Arial"/>
          <w:b w:val="0"/>
          <w:color w:val="000000"/>
          <w:sz w:val="24"/>
        </w:rPr>
        <w:t>QUOTE_ALREADY_CONFIRMED</w:t>
      </w:r>
      <w:r>
        <w:rPr>
          <w:rFonts w:ascii="Arial" w:hAnsi="Arial" w:eastAsia="Arial"/>
          <w:b w:val="0"/>
          <w:color w:val="000000"/>
          <w:sz w:val="24"/>
        </w:rPr>
        <w:t xml:space="preserve"> con el número del pedido. El cliente web completa la garantía de su lado: una clave por cotización, creada en el primer toque de "Confirmar pedido", guardada en el navegador y reutilizada en cada reintento, con el botón deshabilitado mientras la solicitud está en curso.</w:t>
      </w:r>
    </w:p>
    <w:p>
      <w:pPr>
        <w:pStyle w:val="Heading3"/>
        <w:keepNext/>
        <w:spacing w:before="160" w:after="80"/>
      </w:pPr>
      <w:r>
        <w:rPr>
          <w:rFonts w:ascii="Arial" w:hAnsi="Arial" w:eastAsia="Arial"/>
          <w:b/>
          <w:color w:val="000000"/>
          <w:sz w:val="24"/>
        </w:rPr>
        <w:t>6.4 El libro de crédito</w:t>
      </w:r>
    </w:p>
    <w:p>
      <w:r>
        <w:rPr>
          <w:rFonts w:ascii="Arial" w:hAnsi="Arial" w:eastAsia="Arial"/>
          <w:b w:val="0"/>
          <w:color w:val="000000"/>
          <w:sz w:val="24"/>
        </w:rPr>
        <w:t xml:space="preserve">Al cotizar, una cotización a crédito informa </w:t>
      </w:r>
      <w:r>
        <w:rPr>
          <w:rFonts w:ascii="Arial" w:hAnsi="Arial" w:eastAsia="Arial"/>
          <w:b w:val="0"/>
          <w:color w:val="000000"/>
          <w:sz w:val="24"/>
        </w:rPr>
        <w:t>credit {fits, available, shortfall}</w:t>
      </w:r>
      <w:r>
        <w:rPr>
          <w:rFonts w:ascii="Arial" w:hAnsi="Arial" w:eastAsia="Arial"/>
          <w:b w:val="0"/>
          <w:color w:val="000000"/>
          <w:sz w:val="24"/>
        </w:rPr>
        <w:t>, donde disponible = límite − consumido, y un total igual al disponible sí cabe. No se reserva nada. Al confirmar, dentro de la transacción:</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UPDATE credit_accounts SET consumed = consumed + :total … WHERE … AND consumed + :total &lt;= credit_limit</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Si no se actualiza ninguna fila, la respuesta es 409 </w:t>
      </w:r>
      <w:r>
        <w:rPr>
          <w:rFonts w:ascii="Arial" w:hAnsi="Arial" w:eastAsia="Arial"/>
          <w:b w:val="0"/>
          <w:color w:val="000000"/>
          <w:sz w:val="24"/>
        </w:rPr>
        <w:t>CREDIT_LIMIT_EXCEEDED</w:t>
      </w:r>
      <w:r>
        <w:rPr>
          <w:rFonts w:ascii="Arial" w:hAnsi="Arial" w:eastAsia="Arial"/>
          <w:b w:val="0"/>
          <w:color w:val="000000"/>
          <w:sz w:val="24"/>
        </w:rPr>
        <w:t xml:space="preserve"> y el rollback no deja ni pedido ni fila en el libro.</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Si no, se inserta una fila en el libro </w:t>
      </w:r>
      <w:r>
        <w:rPr>
          <w:rFonts w:ascii="Arial" w:hAnsi="Arial" w:eastAsia="Arial"/>
          <w:b w:val="0"/>
          <w:color w:val="000000"/>
          <w:sz w:val="24"/>
        </w:rPr>
        <w:t>(order_id, amount)</w:t>
      </w:r>
      <w:r>
        <w:rPr>
          <w:rFonts w:ascii="Arial" w:hAnsi="Arial" w:eastAsia="Arial"/>
          <w:b w:val="0"/>
          <w:color w:val="000000"/>
          <w:sz w:val="24"/>
        </w:rPr>
        <w:t xml:space="preserve"> justo después del pedido. El libro es de solo inserción, con a lo sumo una fila por pedido.</w:t>
      </w:r>
    </w:p>
    <w:p>
      <w:r>
        <w:rPr>
          <w:rFonts w:ascii="Arial" w:hAnsi="Arial" w:eastAsia="Arial"/>
          <w:b w:val="0"/>
          <w:color w:val="000000"/>
          <w:sz w:val="24"/>
        </w:rPr>
        <w:t xml:space="preserve">La base de datos respalda al código: un </w:t>
      </w:r>
      <w:r>
        <w:rPr>
          <w:rFonts w:ascii="Arial" w:hAnsi="Arial" w:eastAsia="Arial"/>
          <w:b w:val="0"/>
          <w:color w:val="000000"/>
          <w:sz w:val="24"/>
        </w:rPr>
        <w:t>CHECK</w:t>
      </w:r>
      <w:r>
        <w:rPr>
          <w:rFonts w:ascii="Arial" w:hAnsi="Arial" w:eastAsia="Arial"/>
          <w:b w:val="0"/>
          <w:color w:val="000000"/>
          <w:sz w:val="24"/>
        </w:rPr>
        <w:t xml:space="preserve"> mantiene </w:t>
      </w:r>
      <w:r>
        <w:rPr>
          <w:rFonts w:ascii="Arial" w:hAnsi="Arial" w:eastAsia="Arial"/>
          <w:b w:val="0"/>
          <w:color w:val="000000"/>
          <w:sz w:val="24"/>
        </w:rPr>
        <w:t>consumed</w:t>
      </w:r>
      <w:r>
        <w:rPr>
          <w:rFonts w:ascii="Arial" w:hAnsi="Arial" w:eastAsia="Arial"/>
          <w:b w:val="0"/>
          <w:color w:val="000000"/>
          <w:sz w:val="24"/>
        </w:rPr>
        <w:t xml:space="preserve"> entre 0 y el límite aunque el código de la aplicación estuviera mal, y </w:t>
      </w:r>
      <w:r>
        <w:rPr>
          <w:rFonts w:ascii="Arial" w:hAnsi="Arial" w:eastAsia="Arial"/>
          <w:b w:val="0"/>
          <w:color w:val="000000"/>
          <w:sz w:val="24"/>
        </w:rPr>
        <w:t>consumed = Σ ledger amounts</w:t>
      </w:r>
      <w:r>
        <w:rPr>
          <w:rFonts w:ascii="Arial" w:hAnsi="Arial" w:eastAsia="Arial"/>
          <w:b w:val="0"/>
          <w:color w:val="000000"/>
          <w:sz w:val="24"/>
        </w:rPr>
        <w:t xml:space="preserve"> se cumple siempre. </w:t>
      </w:r>
      <w:r>
        <w:rPr>
          <w:rFonts w:ascii="Arial" w:hAnsi="Arial" w:eastAsia="Arial"/>
          <w:b w:val="0"/>
          <w:color w:val="000000"/>
          <w:sz w:val="24"/>
        </w:rPr>
        <w:t>CreditLimitIT</w:t>
      </w:r>
      <w:r>
        <w:rPr>
          <w:rFonts w:ascii="Arial" w:hAnsi="Arial" w:eastAsia="Arial"/>
          <w:b w:val="0"/>
          <w:color w:val="000000"/>
          <w:sz w:val="24"/>
        </w:rPr>
        <w:t xml:space="preserve"> y </w:t>
      </w:r>
      <w:r>
        <w:rPr>
          <w:rFonts w:ascii="Arial" w:hAnsi="Arial" w:eastAsia="Arial"/>
          <w:b w:val="0"/>
          <w:color w:val="000000"/>
          <w:sz w:val="24"/>
        </w:rPr>
        <w:t>ConfirmOrderConcurrencyIT</w:t>
      </w:r>
      <w:r>
        <w:rPr>
          <w:rFonts w:ascii="Arial" w:hAnsi="Arial" w:eastAsia="Arial"/>
          <w:b w:val="0"/>
          <w:color w:val="000000"/>
          <w:sz w:val="24"/>
        </w:rPr>
        <w:t xml:space="preserve"> lo demuestran.</w:t>
      </w:r>
    </w:p>
    <w:p>
      <w:pPr>
        <w:pStyle w:val="Heading3"/>
        <w:keepNext/>
        <w:spacing w:before="160" w:after="80"/>
      </w:pPr>
      <w:r>
        <w:rPr>
          <w:rFonts w:ascii="Arial" w:hAnsi="Arial" w:eastAsia="Arial"/>
          <w:b/>
          <w:color w:val="000000"/>
          <w:sz w:val="24"/>
        </w:rPr>
        <w:t>6.5 El outbox</w:t>
      </w:r>
    </w:p>
    <w:p>
      <w:pPr>
        <w:keepNext/>
        <w:spacing w:before="120" w:after="40"/>
        <w:jc w:val="center"/>
      </w:pPr>
      <w:r>
        <w:drawing>
          <wp:inline xmlns:a="http://schemas.openxmlformats.org/drawingml/2006/main" xmlns:pic="http://schemas.openxmlformats.org/drawingml/2006/picture" distT="0" distB="0" distL="0" distR="0">
            <wp:extent cx="6120130" cy="2876461"/>
            <wp:docPr id="3" name="Picture 3"/>
            <wp:cNvGraphicFramePr>
              <a:graphicFrameLocks noChangeAspect="1"/>
            </wp:cNvGraphicFramePr>
            <a:graphic>
              <a:graphicData uri="http://schemas.openxmlformats.org/drawingml/2006/picture">
                <pic:pic>
                  <pic:nvPicPr>
                    <pic:cNvPr id="0" name="09-outbox-lifecycle.png"/>
                    <pic:cNvPicPr/>
                  </pic:nvPicPr>
                  <pic:blipFill>
                    <a:blip r:embed="rId12"/>
                    <a:stretch>
                      <a:fillRect/>
                    </a:stretch>
                  </pic:blipFill>
                  <pic:spPr>
                    <a:xfrm>
                      <a:off x="0" y="0"/>
                      <a:ext cx="6120130" cy="2876461"/>
                    </a:xfrm>
                    <a:prstGeom prst="rect"/>
                  </pic:spPr>
                </pic:pic>
              </a:graphicData>
            </a:graphic>
          </wp:inline>
        </w:drawing>
      </w:r>
    </w:p>
    <w:p>
      <w:pPr>
        <w:spacing w:after="160"/>
        <w:jc w:val="center"/>
      </w:pPr>
      <w:r>
        <w:rPr>
          <w:rFonts w:ascii="Arial" w:hAnsi="Arial" w:eastAsia="Arial"/>
          <w:b/>
          <w:color w:val="000000"/>
          <w:sz w:val="24"/>
        </w:rPr>
        <w:t>Figura 3.</w:t>
      </w:r>
      <w:r>
        <w:rPr>
          <w:rFonts w:ascii="Arial" w:hAnsi="Arial" w:eastAsia="Arial"/>
          <w:b w:val="0"/>
          <w:color w:val="000000"/>
          <w:sz w:val="24"/>
        </w:rPr>
        <w:t xml:space="preserve"> </w:t>
      </w:r>
      <w:r>
        <w:rPr>
          <w:rFonts w:ascii="Arial" w:hAnsi="Arial" w:eastAsia="Arial"/>
          <w:b w:val="0"/>
          <w:color w:val="000000"/>
          <w:sz w:val="24"/>
        </w:rPr>
        <w:t>Ciclo de vida del outbox: entrega al menos una vez, los consumidores deduplican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29"/>
        <w:gridCol w:w="7709"/>
      </w:tblGrid>
      <w:tr>
        <w:tc>
          <w:tcPr>
            <w:tcW w:type="dxa" w:w="1929"/>
          </w:tcPr>
          <w:p>
            <w:pPr>
              <w:spacing w:after="0"/>
            </w:pPr>
            <w:r>
              <w:rPr>
                <w:rFonts w:ascii="Arial" w:hAnsi="Arial" w:eastAsia="Arial"/>
                <w:b/>
                <w:color w:val="000000"/>
                <w:sz w:val="24"/>
              </w:rPr>
              <w:t>Etapa</w:t>
            </w:r>
          </w:p>
        </w:tc>
        <w:tc>
          <w:tcPr>
            <w:tcW w:type="dxa" w:w="7709"/>
          </w:tcPr>
          <w:p>
            <w:pPr>
              <w:spacing w:after="0"/>
            </w:pPr>
            <w:r>
              <w:rPr>
                <w:rFonts w:ascii="Arial" w:hAnsi="Arial" w:eastAsia="Arial"/>
                <w:b/>
                <w:color w:val="000000"/>
                <w:sz w:val="24"/>
              </w:rPr>
              <w:t>Comportamiento</w:t>
            </w:r>
          </w:p>
        </w:tc>
      </w:tr>
      <w:tr>
        <w:tc>
          <w:tcPr>
            <w:tcW w:type="dxa" w:w="1929"/>
          </w:tcPr>
          <w:p>
            <w:pPr>
              <w:spacing w:after="0"/>
            </w:pPr>
            <w:r>
              <w:rPr>
                <w:rFonts w:ascii="Arial" w:hAnsi="Arial" w:eastAsia="Arial"/>
                <w:b w:val="0"/>
                <w:color w:val="000000"/>
                <w:sz w:val="24"/>
              </w:rPr>
              <w:t>Escritura</w:t>
            </w:r>
          </w:p>
        </w:tc>
        <w:tc>
          <w:tcPr>
            <w:tcW w:type="dxa" w:w="7709"/>
          </w:tcPr>
          <w:p>
            <w:pPr>
              <w:spacing w:after="0"/>
            </w:pPr>
            <w:r>
              <w:rPr>
                <w:rFonts w:ascii="Arial" w:hAnsi="Arial" w:eastAsia="Arial"/>
                <w:b w:val="0"/>
                <w:color w:val="000000"/>
                <w:sz w:val="24"/>
              </w:rPr>
              <w:t>Un evento por destino (</w:t>
            </w:r>
            <w:r>
              <w:rPr>
                <w:rFonts w:ascii="Arial" w:hAnsi="Arial" w:eastAsia="Arial"/>
                <w:b w:val="0"/>
                <w:color w:val="000000"/>
                <w:sz w:val="24"/>
              </w:rPr>
              <w:t>PUSH</w:t>
            </w:r>
            <w:r>
              <w:rPr>
                <w:rFonts w:ascii="Arial" w:hAnsi="Arial" w:eastAsia="Arial"/>
                <w:b w:val="0"/>
                <w:color w:val="000000"/>
                <w:sz w:val="24"/>
              </w:rPr>
              <w:t xml:space="preserve">, </w:t>
            </w:r>
            <w:r>
              <w:rPr>
                <w:rFonts w:ascii="Arial" w:hAnsi="Arial" w:eastAsia="Arial"/>
                <w:b w:val="0"/>
                <w:color w:val="000000"/>
                <w:sz w:val="24"/>
              </w:rPr>
              <w:t>ERP</w:t>
            </w:r>
            <w:r>
              <w:rPr>
                <w:rFonts w:ascii="Arial" w:hAnsi="Arial" w:eastAsia="Arial"/>
                <w:b w:val="0"/>
                <w:color w:val="000000"/>
                <w:sz w:val="24"/>
              </w:rPr>
              <w:t xml:space="preserve">), escrito en la transacción del pedido. Su id es el </w:t>
            </w:r>
            <w:r>
              <w:rPr>
                <w:rFonts w:ascii="Arial" w:hAnsi="Arial" w:eastAsia="Arial"/>
                <w:b w:val="0"/>
                <w:color w:val="000000"/>
                <w:sz w:val="24"/>
              </w:rPr>
              <w:t>event_id</w:t>
            </w:r>
          </w:p>
        </w:tc>
      </w:tr>
      <w:tr>
        <w:tc>
          <w:tcPr>
            <w:tcW w:type="dxa" w:w="1929"/>
          </w:tcPr>
          <w:p>
            <w:pPr>
              <w:spacing w:after="0"/>
            </w:pPr>
            <w:r>
              <w:rPr>
                <w:rFonts w:ascii="Arial" w:hAnsi="Arial" w:eastAsia="Arial"/>
                <w:b w:val="0"/>
                <w:color w:val="000000"/>
                <w:sz w:val="24"/>
              </w:rPr>
              <w:t>Reclamo</w:t>
            </w:r>
          </w:p>
        </w:tc>
        <w:tc>
          <w:tcPr>
            <w:tcW w:type="dxa" w:w="7709"/>
          </w:tcPr>
          <w:p>
            <w:pPr>
              <w:spacing w:after="0"/>
            </w:pPr>
            <w:r>
              <w:rPr>
                <w:rFonts w:ascii="Arial" w:hAnsi="Arial" w:eastAsia="Arial"/>
                <w:b w:val="0"/>
                <w:color w:val="000000"/>
                <w:sz w:val="24"/>
              </w:rPr>
              <w:t xml:space="preserve">Por defecto, el relay consulta cada segundo y toma en lease los eventos </w:t>
            </w:r>
            <w:r>
              <w:rPr>
                <w:rFonts w:ascii="Arial" w:hAnsi="Arial" w:eastAsia="Arial"/>
                <w:b w:val="0"/>
                <w:color w:val="000000"/>
                <w:sz w:val="24"/>
              </w:rPr>
              <w:t>PENDING</w:t>
            </w:r>
            <w:r>
              <w:rPr>
                <w:rFonts w:ascii="Arial" w:hAnsi="Arial" w:eastAsia="Arial"/>
                <w:b w:val="0"/>
                <w:color w:val="000000"/>
                <w:sz w:val="24"/>
              </w:rPr>
              <w:t xml:space="preserve"> que ya vencieron con </w:t>
            </w:r>
            <w:r>
              <w:rPr>
                <w:rFonts w:ascii="Arial" w:hAnsi="Arial" w:eastAsia="Arial"/>
                <w:b w:val="0"/>
                <w:color w:val="000000"/>
                <w:sz w:val="24"/>
              </w:rPr>
              <w:t>FOR UPDATE SKIP LOCKED</w:t>
            </w:r>
            <w:r>
              <w:rPr>
                <w:rFonts w:ascii="Arial" w:hAnsi="Arial" w:eastAsia="Arial"/>
                <w:b w:val="0"/>
                <w:color w:val="000000"/>
                <w:sz w:val="24"/>
              </w:rPr>
              <w:t>, por 30 segundos, así que pueden correr varias instancias a la vez</w:t>
            </w:r>
          </w:p>
        </w:tc>
      </w:tr>
      <w:tr>
        <w:tc>
          <w:tcPr>
            <w:tcW w:type="dxa" w:w="1929"/>
          </w:tcPr>
          <w:p>
            <w:pPr>
              <w:spacing w:after="0"/>
            </w:pPr>
            <w:r>
              <w:rPr>
                <w:rFonts w:ascii="Arial" w:hAnsi="Arial" w:eastAsia="Arial"/>
                <w:b w:val="0"/>
                <w:color w:val="000000"/>
                <w:sz w:val="24"/>
              </w:rPr>
              <w:t>Envío</w:t>
            </w:r>
          </w:p>
        </w:tc>
        <w:tc>
          <w:tcPr>
            <w:tcW w:type="dxa" w:w="7709"/>
          </w:tcPr>
          <w:p>
            <w:pPr>
              <w:spacing w:after="0"/>
            </w:pPr>
            <w:r>
              <w:rPr>
                <w:rFonts w:ascii="Arial" w:hAnsi="Arial" w:eastAsia="Arial"/>
                <w:b w:val="0"/>
                <w:color w:val="000000"/>
                <w:sz w:val="24"/>
              </w:rPr>
              <w:t xml:space="preserve">Fuera de cualquier transacción de base de datos, pasando el </w:t>
            </w:r>
            <w:r>
              <w:rPr>
                <w:rFonts w:ascii="Arial" w:hAnsi="Arial" w:eastAsia="Arial"/>
                <w:b w:val="0"/>
                <w:color w:val="000000"/>
                <w:sz w:val="24"/>
              </w:rPr>
              <w:t>event_id</w:t>
            </w:r>
            <w:r>
              <w:rPr>
                <w:rFonts w:ascii="Arial" w:hAnsi="Arial" w:eastAsia="Arial"/>
                <w:b w:val="0"/>
                <w:color w:val="000000"/>
                <w:sz w:val="24"/>
              </w:rPr>
              <w:t xml:space="preserve"> hacia abajo</w:t>
            </w:r>
          </w:p>
        </w:tc>
      </w:tr>
      <w:tr>
        <w:tc>
          <w:tcPr>
            <w:tcW w:type="dxa" w:w="1929"/>
          </w:tcPr>
          <w:p>
            <w:pPr>
              <w:spacing w:after="0"/>
            </w:pPr>
            <w:r>
              <w:rPr>
                <w:rFonts w:ascii="Arial" w:hAnsi="Arial" w:eastAsia="Arial"/>
                <w:b w:val="0"/>
                <w:color w:val="000000"/>
                <w:sz w:val="24"/>
              </w:rPr>
              <w:t>Marca</w:t>
            </w:r>
          </w:p>
        </w:tc>
        <w:tc>
          <w:tcPr>
            <w:tcW w:type="dxa" w:w="7709"/>
          </w:tcPr>
          <w:p>
            <w:pPr>
              <w:spacing w:after="0"/>
            </w:pPr>
            <w:r>
              <w:rPr>
                <w:rFonts w:ascii="Arial" w:hAnsi="Arial" w:eastAsia="Arial"/>
                <w:b w:val="0"/>
                <w:color w:val="000000"/>
                <w:sz w:val="24"/>
              </w:rPr>
              <w:t xml:space="preserve">Éxito → </w:t>
            </w:r>
            <w:r>
              <w:rPr>
                <w:rFonts w:ascii="Arial" w:hAnsi="Arial" w:eastAsia="Arial"/>
                <w:b w:val="0"/>
                <w:color w:val="000000"/>
                <w:sz w:val="24"/>
              </w:rPr>
              <w:t>SENT</w:t>
            </w:r>
            <w:r>
              <w:rPr>
                <w:rFonts w:ascii="Arial" w:hAnsi="Arial" w:eastAsia="Arial"/>
                <w:b w:val="0"/>
                <w:color w:val="000000"/>
                <w:sz w:val="24"/>
              </w:rPr>
              <w:t xml:space="preserve">. Una falla reintentable se reintenta con backoff exponencial y jitter completo, desde 2 segundos hasta 5 minutos. Después de 8 intentos, o de inmediato ante un error que reintentar no arregla, como un 4xx del ERP → </w:t>
            </w:r>
            <w:r>
              <w:rPr>
                <w:rFonts w:ascii="Arial" w:hAnsi="Arial" w:eastAsia="Arial"/>
                <w:b w:val="0"/>
                <w:color w:val="000000"/>
                <w:sz w:val="24"/>
              </w:rPr>
              <w:t>DEAD</w:t>
            </w:r>
            <w:r>
              <w:rPr>
                <w:rFonts w:ascii="Arial" w:hAnsi="Arial" w:eastAsia="Arial"/>
                <w:b w:val="0"/>
                <w:color w:val="000000"/>
                <w:sz w:val="24"/>
              </w:rPr>
              <w:t xml:space="preserve">, contado por el gauge </w:t>
            </w:r>
            <w:r>
              <w:rPr>
                <w:rFonts w:ascii="Arial" w:hAnsi="Arial" w:eastAsia="Arial"/>
                <w:b w:val="0"/>
                <w:color w:val="000000"/>
                <w:sz w:val="24"/>
              </w:rPr>
              <w:t>outbox_dead</w:t>
            </w:r>
            <w:r>
              <w:rPr>
                <w:rFonts w:ascii="Arial" w:hAnsi="Arial" w:eastAsia="Arial"/>
                <w:b w:val="0"/>
                <w:color w:val="000000"/>
                <w:sz w:val="24"/>
              </w:rPr>
              <w:t xml:space="preserve"> y reencolado con el procedimiento del README de la API</w:t>
            </w:r>
          </w:p>
        </w:tc>
      </w:tr>
      <w:tr>
        <w:tc>
          <w:tcPr>
            <w:tcW w:type="dxa" w:w="1929"/>
          </w:tcPr>
          <w:p>
            <w:pPr>
              <w:spacing w:after="0"/>
            </w:pPr>
            <w:r>
              <w:rPr>
                <w:rFonts w:ascii="Arial" w:hAnsi="Arial" w:eastAsia="Arial"/>
                <w:b w:val="0"/>
                <w:color w:val="000000"/>
                <w:sz w:val="24"/>
              </w:rPr>
              <w:t>Nunca se pierde</w:t>
            </w:r>
          </w:p>
        </w:tc>
        <w:tc>
          <w:tcPr>
            <w:tcW w:type="dxa" w:w="7709"/>
          </w:tcPr>
          <w:p>
            <w:pPr>
              <w:spacing w:after="0"/>
            </w:pPr>
            <w:r>
              <w:rPr>
                <w:rFonts w:ascii="Arial" w:hAnsi="Arial" w:eastAsia="Arial"/>
                <w:b w:val="0"/>
                <w:color w:val="000000"/>
                <w:sz w:val="24"/>
              </w:rPr>
              <w:t>Si el servicio se detiene entre el envío y la marca, el lease vence y el evento se vuelve a enviar</w:t>
            </w:r>
          </w:p>
        </w:tc>
      </w:tr>
      <w:tr>
        <w:tc>
          <w:tcPr>
            <w:tcW w:type="dxa" w:w="1929"/>
          </w:tcPr>
          <w:p>
            <w:pPr>
              <w:spacing w:after="0"/>
            </w:pPr>
            <w:r>
              <w:rPr>
                <w:rFonts w:ascii="Arial" w:hAnsi="Arial" w:eastAsia="Arial"/>
                <w:b w:val="0"/>
                <w:color w:val="000000"/>
                <w:sz w:val="24"/>
              </w:rPr>
              <w:t>Nunca se aplica dos veces</w:t>
            </w:r>
          </w:p>
        </w:tc>
        <w:tc>
          <w:tcPr>
            <w:tcW w:type="dxa" w:w="7709"/>
          </w:tcPr>
          <w:p>
            <w:pPr>
              <w:spacing w:after="0"/>
            </w:pPr>
            <w:r>
              <w:rPr>
                <w:rFonts w:ascii="Arial" w:hAnsi="Arial" w:eastAsia="Arial"/>
                <w:b w:val="0"/>
                <w:color w:val="000000"/>
                <w:sz w:val="24"/>
              </w:rPr>
              <w:t xml:space="preserve">Los consumidores deduplican por </w:t>
            </w:r>
            <w:r>
              <w:rPr>
                <w:rFonts w:ascii="Arial" w:hAnsi="Arial" w:eastAsia="Arial"/>
                <w:b w:val="0"/>
                <w:color w:val="000000"/>
                <w:sz w:val="24"/>
              </w:rPr>
              <w:t>event_id</w:t>
            </w:r>
            <w:r>
              <w:rPr>
                <w:rFonts w:ascii="Arial" w:hAnsi="Arial" w:eastAsia="Arial"/>
                <w:b w:val="0"/>
                <w:color w:val="000000"/>
                <w:sz w:val="24"/>
              </w:rPr>
              <w:t>: push lo usa como collapse id, y el ERP hace upsert por número de pedido. Los gateways falsos del repositorio deduplican igual y se les puede ordenar que fallen</w:t>
            </w:r>
          </w:p>
        </w:tc>
      </w:tr>
      <w:tr>
        <w:tc>
          <w:tcPr>
            <w:tcW w:type="dxa" w:w="1929"/>
          </w:tcPr>
          <w:p>
            <w:pPr>
              <w:spacing w:after="0"/>
            </w:pPr>
            <w:r>
              <w:rPr>
                <w:rFonts w:ascii="Arial" w:hAnsi="Arial" w:eastAsia="Arial"/>
                <w:b w:val="0"/>
                <w:color w:val="000000"/>
                <w:sz w:val="24"/>
              </w:rPr>
              <w:t>Sistema externo caído</w:t>
            </w:r>
          </w:p>
        </w:tc>
        <w:tc>
          <w:tcPr>
            <w:tcW w:type="dxa" w:w="7709"/>
          </w:tcPr>
          <w:p>
            <w:pPr>
              <w:spacing w:after="0"/>
            </w:pPr>
            <w:r>
              <w:rPr>
                <w:rFonts w:ascii="Arial" w:hAnsi="Arial" w:eastAsia="Arial"/>
                <w:b w:val="0"/>
                <w:color w:val="000000"/>
                <w:sz w:val="24"/>
              </w:rPr>
              <w:t xml:space="preserve">El pedido sigue confirmado. El efecto espera en el outbox, </w:t>
            </w:r>
            <w:r>
              <w:rPr>
                <w:rFonts w:ascii="Arial" w:hAnsi="Arial" w:eastAsia="Arial"/>
                <w:b w:val="0"/>
                <w:color w:val="000000"/>
                <w:sz w:val="24"/>
              </w:rPr>
              <w:t>outbox_pending</w:t>
            </w:r>
            <w:r>
              <w:rPr>
                <w:rFonts w:ascii="Arial" w:hAnsi="Arial" w:eastAsia="Arial"/>
                <w:b w:val="0"/>
                <w:color w:val="000000"/>
                <w:sz w:val="24"/>
              </w:rPr>
              <w:t xml:space="preserve"> muestra el atraso y la entrega se reanuda al recuperarse</w:t>
            </w:r>
          </w:p>
        </w:tc>
      </w:tr>
    </w:tbl>
    <w:p>
      <w:pPr>
        <w:spacing w:before="120"/>
      </w:pPr>
      <w:r>
        <w:rPr>
          <w:rFonts w:ascii="Arial" w:hAnsi="Arial" w:eastAsia="Arial"/>
          <w:b w:val="0"/>
          <w:color w:val="000000"/>
          <w:sz w:val="24"/>
        </w:rPr>
        <w:t xml:space="preserve">Se descartó publicar después del commit porque una caída pierde el evento; el commit en dos fases, porque push y el ERP no pueden participar; y la captura de cambios (CDC), porque es demasiada infraestructura para este alcance. Las pruebas son </w:t>
      </w:r>
      <w:r>
        <w:rPr>
          <w:rFonts w:ascii="Arial" w:hAnsi="Arial" w:eastAsia="Arial"/>
          <w:b w:val="0"/>
          <w:color w:val="000000"/>
          <w:sz w:val="24"/>
        </w:rPr>
        <w:t>OutboxWriteIT</w:t>
      </w:r>
      <w:r>
        <w:rPr>
          <w:rFonts w:ascii="Arial" w:hAnsi="Arial" w:eastAsia="Arial"/>
          <w:b w:val="0"/>
          <w:color w:val="000000"/>
          <w:sz w:val="24"/>
        </w:rPr>
        <w:t xml:space="preserve"> (exactamente un evento de push y uno de ERP por pedido) y </w:t>
      </w:r>
      <w:r>
        <w:rPr>
          <w:rFonts w:ascii="Arial" w:hAnsi="Arial" w:eastAsia="Arial"/>
          <w:b w:val="0"/>
          <w:color w:val="000000"/>
          <w:sz w:val="24"/>
        </w:rPr>
        <w:t>OutboxRelayIT</w:t>
      </w:r>
      <w:r>
        <w:rPr>
          <w:rFonts w:ascii="Arial" w:hAnsi="Arial" w:eastAsia="Arial"/>
          <w:b w:val="0"/>
          <w:color w:val="000000"/>
          <w:sz w:val="24"/>
        </w:rPr>
        <w:t xml:space="preserve"> (recuperación tras una caída, vencimiento del lease con deduplicación, </w:t>
      </w:r>
      <w:r>
        <w:rPr>
          <w:rFonts w:ascii="Arial" w:hAnsi="Arial" w:eastAsia="Arial"/>
          <w:b w:val="0"/>
          <w:color w:val="000000"/>
          <w:sz w:val="24"/>
        </w:rPr>
        <w:t>DEAD</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6.6 Modelo de consistencia y lo que sacrifica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5"/>
        <w:gridCol w:w="2704"/>
        <w:gridCol w:w="4220"/>
      </w:tblGrid>
      <w:tr>
        <w:tc>
          <w:tcPr>
            <w:tcW w:type="dxa" w:w="2715"/>
          </w:tcPr>
          <w:p>
            <w:pPr>
              <w:spacing w:after="0"/>
            </w:pPr>
            <w:r>
              <w:rPr>
                <w:rFonts w:ascii="Arial" w:hAnsi="Arial" w:eastAsia="Arial"/>
                <w:b/>
                <w:color w:val="000000"/>
                <w:sz w:val="24"/>
              </w:rPr>
              <w:t>Alcance</w:t>
            </w:r>
          </w:p>
        </w:tc>
        <w:tc>
          <w:tcPr>
            <w:tcW w:type="dxa" w:w="2704"/>
          </w:tcPr>
          <w:p>
            <w:pPr>
              <w:spacing w:after="0"/>
            </w:pPr>
            <w:r>
              <w:rPr>
                <w:rFonts w:ascii="Arial" w:hAnsi="Arial" w:eastAsia="Arial"/>
                <w:b/>
                <w:color w:val="000000"/>
                <w:sz w:val="24"/>
              </w:rPr>
              <w:t>Modelo</w:t>
            </w:r>
          </w:p>
        </w:tc>
        <w:tc>
          <w:tcPr>
            <w:tcW w:type="dxa" w:w="4220"/>
          </w:tcPr>
          <w:p>
            <w:pPr>
              <w:spacing w:after="0"/>
            </w:pPr>
            <w:r>
              <w:rPr>
                <w:rFonts w:ascii="Arial" w:hAnsi="Arial" w:eastAsia="Arial"/>
                <w:b/>
                <w:color w:val="000000"/>
                <w:sz w:val="24"/>
              </w:rPr>
              <w:t>Lo que se sacrifica</w:t>
            </w:r>
          </w:p>
        </w:tc>
      </w:tr>
      <w:tr>
        <w:tc>
          <w:tcPr>
            <w:tcW w:type="dxa" w:w="2715"/>
          </w:tcPr>
          <w:p>
            <w:pPr>
              <w:spacing w:after="0"/>
            </w:pPr>
            <w:r>
              <w:rPr>
                <w:rFonts w:ascii="Arial" w:hAnsi="Arial" w:eastAsia="Arial"/>
                <w:b w:val="0"/>
                <w:color w:val="000000"/>
                <w:sz w:val="24"/>
              </w:rPr>
              <w:t>Pedido, cupo, clave de idempotencia, eventos del outbox</w:t>
            </w:r>
          </w:p>
        </w:tc>
        <w:tc>
          <w:tcPr>
            <w:tcW w:type="dxa" w:w="2704"/>
          </w:tcPr>
          <w:p>
            <w:pPr>
              <w:spacing w:after="0"/>
            </w:pPr>
            <w:r>
              <w:rPr>
                <w:rFonts w:ascii="Arial" w:hAnsi="Arial" w:eastAsia="Arial"/>
                <w:b w:val="0"/>
                <w:color w:val="000000"/>
                <w:sz w:val="24"/>
              </w:rPr>
              <w:t>Fuerte: una transacción ACID en una sola base de datos</w:t>
            </w:r>
          </w:p>
        </w:tc>
        <w:tc>
          <w:tcPr>
            <w:tcW w:type="dxa" w:w="4220"/>
          </w:tcPr>
          <w:p>
            <w:pPr>
              <w:spacing w:after="0"/>
            </w:pPr>
            <w:r>
              <w:rPr>
                <w:rFonts w:ascii="Arial" w:hAnsi="Arial" w:eastAsia="Arial"/>
                <w:b w:val="0"/>
                <w:color w:val="000000"/>
                <w:sz w:val="24"/>
              </w:rPr>
              <w:t>Disponibilidad mientras la base de datos está caída. Las confirmaciones de un mismo cliente se serializan sobre su fila de crédito. El camino de escritura depende de una sola base de datos</w:t>
            </w:r>
          </w:p>
        </w:tc>
      </w:tr>
      <w:tr>
        <w:tc>
          <w:tcPr>
            <w:tcW w:type="dxa" w:w="2715"/>
          </w:tcPr>
          <w:p>
            <w:pPr>
              <w:spacing w:after="0"/>
            </w:pPr>
            <w:r>
              <w:rPr>
                <w:rFonts w:ascii="Arial" w:hAnsi="Arial" w:eastAsia="Arial"/>
                <w:b w:val="0"/>
                <w:color w:val="000000"/>
                <w:sz w:val="24"/>
              </w:rPr>
              <w:t>Push y ERP</w:t>
            </w:r>
          </w:p>
        </w:tc>
        <w:tc>
          <w:tcPr>
            <w:tcW w:type="dxa" w:w="2704"/>
          </w:tcPr>
          <w:p>
            <w:pPr>
              <w:spacing w:after="0"/>
            </w:pPr>
            <w:r>
              <w:rPr>
                <w:rFonts w:ascii="Arial" w:hAnsi="Arial" w:eastAsia="Arial"/>
                <w:b w:val="0"/>
                <w:color w:val="000000"/>
                <w:sz w:val="24"/>
              </w:rPr>
              <w:t>Eventual: entrega al menos una vez, deduplicada por los consumidores</w:t>
            </w:r>
          </w:p>
        </w:tc>
        <w:tc>
          <w:tcPr>
            <w:tcW w:type="dxa" w:w="4220"/>
          </w:tcPr>
          <w:p>
            <w:pPr>
              <w:spacing w:after="0"/>
            </w:pPr>
            <w:r>
              <w:rPr>
                <w:rFonts w:ascii="Arial" w:hAnsi="Arial" w:eastAsia="Arial"/>
                <w:b w:val="0"/>
                <w:color w:val="000000"/>
                <w:sz w:val="24"/>
              </w:rPr>
              <w:t>Van detrás de la confirmación por el intervalo de consulta más los reintentos</w:t>
            </w:r>
          </w:p>
        </w:tc>
      </w:tr>
    </w:tbl>
    <w:p>
      <w:pPr>
        <w:pStyle w:val="Heading3"/>
        <w:keepNext/>
        <w:spacing w:before="160" w:after="80"/>
      </w:pPr>
      <w:r>
        <w:rPr>
          <w:rFonts w:ascii="Arial" w:hAnsi="Arial" w:eastAsia="Arial"/>
          <w:b/>
          <w:color w:val="000000"/>
          <w:sz w:val="24"/>
        </w:rPr>
        <w:t>6.7 Las "tres releases": hipótesis de causa raíz y la prueba que cierra cada una</w:t>
      </w:r>
    </w:p>
    <w:p>
      <w:r>
        <w:rPr>
          <w:rFonts w:ascii="Arial" w:hAnsi="Arial" w:eastAsia="Arial"/>
          <w:b w:val="0"/>
          <w:color w:val="000000"/>
          <w:sz w:val="24"/>
        </w:rPr>
        <w:t>El enunciado cuenta pedidos que se confirmaron, recibieron número y después no aparecían. La causa nunca se dijo, así que se listó cada causa raíz plausible (SPEC §7.6), se le dio una regla de diseño y se cerró con una prueba que falla si la regla se rompe: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99"/>
        <w:gridCol w:w="2418"/>
        <w:gridCol w:w="4621"/>
      </w:tblGrid>
      <w:tr>
        <w:tc>
          <w:tcPr>
            <w:tcW w:type="dxa" w:w="2599"/>
          </w:tcPr>
          <w:p>
            <w:pPr>
              <w:spacing w:after="0"/>
            </w:pPr>
            <w:r>
              <w:rPr>
                <w:rFonts w:ascii="Arial" w:hAnsi="Arial" w:eastAsia="Arial"/>
                <w:b/>
                <w:color w:val="000000"/>
                <w:sz w:val="24"/>
              </w:rPr>
              <w:t>Causa raíz plausible</w:t>
            </w:r>
          </w:p>
        </w:tc>
        <w:tc>
          <w:tcPr>
            <w:tcW w:type="dxa" w:w="2418"/>
          </w:tcPr>
          <w:p>
            <w:pPr>
              <w:spacing w:after="0"/>
            </w:pPr>
            <w:r>
              <w:rPr>
                <w:rFonts w:ascii="Arial" w:hAnsi="Arial" w:eastAsia="Arial"/>
                <w:b/>
                <w:color w:val="000000"/>
                <w:sz w:val="24"/>
              </w:rPr>
              <w:t>Respuesta de diseño</w:t>
            </w:r>
          </w:p>
        </w:tc>
        <w:tc>
          <w:tcPr>
            <w:tcW w:type="dxa" w:w="4621"/>
          </w:tcPr>
          <w:p>
            <w:pPr>
              <w:spacing w:after="0"/>
            </w:pPr>
            <w:r>
              <w:rPr>
                <w:rFonts w:ascii="Arial" w:hAnsi="Arial" w:eastAsia="Arial"/>
                <w:b/>
                <w:color w:val="000000"/>
                <w:sz w:val="24"/>
              </w:rPr>
              <w:t>Prueba que la cierra</w:t>
            </w:r>
          </w:p>
        </w:tc>
      </w:tr>
      <w:tr>
        <w:tc>
          <w:tcPr>
            <w:tcW w:type="dxa" w:w="2599"/>
          </w:tcPr>
          <w:p>
            <w:pPr>
              <w:spacing w:after="0"/>
            </w:pPr>
            <w:r>
              <w:rPr>
                <w:rFonts w:ascii="Arial" w:hAnsi="Arial" w:eastAsia="Arial"/>
                <w:b w:val="0"/>
                <w:color w:val="000000"/>
                <w:sz w:val="24"/>
              </w:rPr>
              <w:t>La respuesta se envió antes del commit</w:t>
            </w:r>
          </w:p>
        </w:tc>
        <w:tc>
          <w:tcPr>
            <w:tcW w:type="dxa" w:w="2418"/>
          </w:tcPr>
          <w:p>
            <w:pPr>
              <w:spacing w:after="0"/>
            </w:pPr>
            <w:r>
              <w:rPr>
                <w:rFonts w:ascii="Arial" w:hAnsi="Arial" w:eastAsia="Arial"/>
                <w:b w:val="0"/>
                <w:color w:val="000000"/>
                <w:sz w:val="24"/>
              </w:rPr>
              <w:t>El 201 se serializa solo después del commit (I-201)</w:t>
            </w:r>
          </w:p>
        </w:tc>
        <w:tc>
          <w:tcPr>
            <w:tcW w:type="dxa" w:w="4621"/>
          </w:tcPr>
          <w:p>
            <w:pPr>
              <w:spacing w:after="0"/>
            </w:pPr>
            <w:r>
              <w:rPr>
                <w:rFonts w:ascii="Arial" w:hAnsi="Arial" w:eastAsia="Arial"/>
                <w:b w:val="0"/>
                <w:color w:val="000000"/>
                <w:sz w:val="24"/>
              </w:rPr>
              <w:t>ConfirmOrderCommitOrderingIT</w:t>
            </w:r>
            <w:r>
              <w:rPr>
                <w:rFonts w:ascii="Arial" w:hAnsi="Arial" w:eastAsia="Arial"/>
                <w:b w:val="0"/>
                <w:color w:val="000000"/>
                <w:sz w:val="24"/>
              </w:rPr>
              <w:t>: cuando se escribe la respuesta, no hay transacción abierta y otra conexión ya lee el pedido. Una falla que lanza el propio commit, mediante un trigger de restricción diferido, nunca se responde con un 201, y un reintento posterior confirma una sola vez</w:t>
            </w:r>
          </w:p>
        </w:tc>
      </w:tr>
      <w:tr>
        <w:tc>
          <w:tcPr>
            <w:tcW w:type="dxa" w:w="2599"/>
          </w:tcPr>
          <w:p>
            <w:pPr>
              <w:spacing w:after="0"/>
            </w:pPr>
            <w:r>
              <w:rPr>
                <w:rFonts w:ascii="Arial" w:hAnsi="Arial" w:eastAsia="Arial"/>
                <w:b w:val="0"/>
                <w:color w:val="000000"/>
                <w:sz w:val="24"/>
              </w:rPr>
              <w:t>@Transactional</w:t>
            </w:r>
            <w:r>
              <w:rPr>
                <w:rFonts w:ascii="Arial" w:hAnsi="Arial" w:eastAsia="Arial"/>
                <w:b w:val="0"/>
                <w:color w:val="000000"/>
                <w:sz w:val="24"/>
              </w:rPr>
              <w:t xml:space="preserve"> se saltó por autoinvocación</w:t>
            </w:r>
          </w:p>
        </w:tc>
        <w:tc>
          <w:tcPr>
            <w:tcW w:type="dxa" w:w="2418"/>
          </w:tcPr>
          <w:p>
            <w:pPr>
              <w:spacing w:after="0"/>
            </w:pPr>
            <w:r>
              <w:rPr>
                <w:rFonts w:ascii="Arial" w:hAnsi="Arial" w:eastAsia="Arial"/>
                <w:b w:val="0"/>
                <w:color w:val="000000"/>
                <w:sz w:val="24"/>
              </w:rPr>
              <w:t>El límite de la transacción es un bean de caso de uso aparte, y ArchUnit lo hace cumplir</w:t>
            </w:r>
          </w:p>
        </w:tc>
        <w:tc>
          <w:tcPr>
            <w:tcW w:type="dxa" w:w="4621"/>
          </w:tcPr>
          <w:p>
            <w:pPr>
              <w:spacing w:after="0"/>
            </w:pPr>
            <w:r>
              <w:rPr>
                <w:rFonts w:ascii="Arial" w:hAnsi="Arial" w:eastAsia="Arial"/>
                <w:b w:val="0"/>
                <w:color w:val="000000"/>
                <w:sz w:val="24"/>
              </w:rPr>
              <w:t>TransactionBoundaryArchTest</w:t>
            </w:r>
            <w:r>
              <w:rPr>
                <w:rFonts w:ascii="Arial" w:hAnsi="Arial" w:eastAsia="Arial"/>
                <w:b w:val="0"/>
                <w:color w:val="000000"/>
                <w:sz w:val="24"/>
              </w:rPr>
              <w:t xml:space="preserve">, </w:t>
            </w:r>
            <w:r>
              <w:rPr>
                <w:rFonts w:ascii="Arial" w:hAnsi="Arial" w:eastAsia="Arial"/>
                <w:b w:val="0"/>
                <w:color w:val="000000"/>
                <w:sz w:val="24"/>
              </w:rPr>
              <w:t>ConfirmOrderFailureInjectionIT</w:t>
            </w:r>
          </w:p>
        </w:tc>
      </w:tr>
      <w:tr>
        <w:tc>
          <w:tcPr>
            <w:tcW w:type="dxa" w:w="2599"/>
          </w:tcPr>
          <w:p>
            <w:pPr>
              <w:spacing w:after="0"/>
            </w:pPr>
            <w:r>
              <w:rPr>
                <w:rFonts w:ascii="Arial" w:hAnsi="Arial" w:eastAsia="Arial"/>
                <w:b w:val="0"/>
                <w:color w:val="000000"/>
                <w:sz w:val="24"/>
              </w:rPr>
              <w:t>El historial se leía de una réplica o del ERP</w:t>
            </w:r>
          </w:p>
        </w:tc>
        <w:tc>
          <w:tcPr>
            <w:tcW w:type="dxa" w:w="2418"/>
          </w:tcPr>
          <w:p>
            <w:pPr>
              <w:spacing w:after="0"/>
            </w:pPr>
            <w:r>
              <w:rPr>
                <w:rFonts w:ascii="Arial" w:hAnsi="Arial" w:eastAsia="Arial"/>
                <w:b w:val="0"/>
                <w:color w:val="000000"/>
                <w:sz w:val="24"/>
              </w:rPr>
              <w:t>El detalle del pedido y el historial leen las tablas primarias de forma síncrona</w:t>
            </w:r>
          </w:p>
        </w:tc>
        <w:tc>
          <w:tcPr>
            <w:tcW w:type="dxa" w:w="4621"/>
          </w:tcPr>
          <w:p>
            <w:pPr>
              <w:spacing w:after="0"/>
            </w:pPr>
            <w:r>
              <w:rPr>
                <w:rFonts w:ascii="Arial" w:hAnsi="Arial" w:eastAsia="Arial"/>
                <w:b w:val="0"/>
                <w:color w:val="000000"/>
                <w:sz w:val="24"/>
              </w:rPr>
              <w:t>OrderReadYourWritesIT</w:t>
            </w:r>
            <w:r>
              <w:rPr>
                <w:rFonts w:ascii="Arial" w:hAnsi="Arial" w:eastAsia="Arial"/>
                <w:b w:val="0"/>
                <w:color w:val="000000"/>
                <w:sz w:val="24"/>
              </w:rPr>
              <w:t>: todo pedido con 201 se puede leer de inmediato por id y en el historial</w:t>
            </w:r>
          </w:p>
        </w:tc>
      </w:tr>
      <w:tr>
        <w:tc>
          <w:tcPr>
            <w:tcW w:type="dxa" w:w="2599"/>
          </w:tcPr>
          <w:p>
            <w:pPr>
              <w:spacing w:after="0"/>
            </w:pPr>
            <w:r>
              <w:rPr>
                <w:rFonts w:ascii="Arial" w:hAnsi="Arial" w:eastAsia="Arial"/>
                <w:b w:val="0"/>
                <w:color w:val="000000"/>
                <w:sz w:val="24"/>
              </w:rPr>
              <w:t>El pedido se escribía de forma asíncrona después de responder</w:t>
            </w:r>
          </w:p>
        </w:tc>
        <w:tc>
          <w:tcPr>
            <w:tcW w:type="dxa" w:w="2418"/>
          </w:tcPr>
          <w:p>
            <w:pPr>
              <w:spacing w:after="0"/>
            </w:pPr>
            <w:r>
              <w:rPr>
                <w:rFonts w:ascii="Arial" w:hAnsi="Arial" w:eastAsia="Arial"/>
                <w:b w:val="0"/>
                <w:color w:val="000000"/>
                <w:sz w:val="24"/>
              </w:rPr>
              <w:t>La fila del pedido se escribe en la transacción de la solicitud; solo los efectos son asíncronos</w:t>
            </w:r>
          </w:p>
        </w:tc>
        <w:tc>
          <w:tcPr>
            <w:tcW w:type="dxa" w:w="4621"/>
          </w:tcPr>
          <w:p>
            <w:pPr>
              <w:spacing w:after="0"/>
            </w:pPr>
            <w:r>
              <w:rPr>
                <w:rFonts w:ascii="Arial" w:hAnsi="Arial" w:eastAsia="Arial"/>
                <w:b w:val="0"/>
                <w:color w:val="000000"/>
                <w:sz w:val="24"/>
              </w:rPr>
              <w:t>ConfirmOrderFailureInjectionIT</w:t>
            </w:r>
            <w:r>
              <w:rPr>
                <w:rFonts w:ascii="Arial" w:hAnsi="Arial" w:eastAsia="Arial"/>
                <w:b w:val="0"/>
                <w:color w:val="000000"/>
                <w:sz w:val="24"/>
              </w:rPr>
              <w:t>: un trigger de base de datos hace fallar una de cinco escrituras antes del commit (update del cupo, pedido, libro, outbox, clave). No persiste nada y la clave se libera; el reintento con la misma clave crea exactamente un pedido. Cuando la respuesta se pierde después del commit, el reintento devuelve el mismo número de pedido, byte a byte, como repetición</w:t>
            </w:r>
          </w:p>
        </w:tc>
      </w:tr>
      <w:tr>
        <w:tc>
          <w:tcPr>
            <w:tcW w:type="dxa" w:w="2599"/>
          </w:tcPr>
          <w:p>
            <w:pPr>
              <w:spacing w:after="0"/>
            </w:pPr>
            <w:r>
              <w:rPr>
                <w:rFonts w:ascii="Arial" w:hAnsi="Arial" w:eastAsia="Arial"/>
                <w:b w:val="0"/>
                <w:color w:val="000000"/>
                <w:sz w:val="24"/>
              </w:rPr>
              <w:t>Una actualización perdida o un duplicado por doble toque</w:t>
            </w:r>
          </w:p>
        </w:tc>
        <w:tc>
          <w:tcPr>
            <w:tcW w:type="dxa" w:w="2418"/>
          </w:tcPr>
          <w:p>
            <w:pPr>
              <w:spacing w:after="0"/>
            </w:pPr>
            <w:r>
              <w:rPr>
                <w:rFonts w:ascii="Arial" w:hAnsi="Arial" w:eastAsia="Arial"/>
                <w:b w:val="0"/>
                <w:color w:val="000000"/>
                <w:sz w:val="24"/>
              </w:rPr>
              <w:t>Clave de idempotencia única, una sola orden por cotización, update condicional del cupo</w:t>
            </w:r>
          </w:p>
        </w:tc>
        <w:tc>
          <w:tcPr>
            <w:tcW w:type="dxa" w:w="4621"/>
          </w:tcPr>
          <w:p>
            <w:pPr>
              <w:spacing w:after="0"/>
            </w:pPr>
            <w:r>
              <w:rPr>
                <w:rFonts w:ascii="Arial" w:hAnsi="Arial" w:eastAsia="Arial"/>
                <w:b w:val="0"/>
                <w:color w:val="000000"/>
                <w:sz w:val="24"/>
              </w:rPr>
              <w:t>ConfirmOrderConcurrencyIT</w:t>
            </w:r>
            <w:r>
              <w:rPr>
                <w:rFonts w:ascii="Arial" w:hAnsi="Arial" w:eastAsia="Arial"/>
                <w:b w:val="0"/>
                <w:color w:val="000000"/>
                <w:sz w:val="24"/>
              </w:rPr>
              <w:t>: 6 solicitudes concurrentes con una misma clave, enviadas mientras la fila de crédito está retenida, reciben todas un 201 con el mismo cuerpo, solo una no es repetición, y queda un pedido, una fila en el libro y dos eventos de outbox. Dos confirmaciones que juntas exceden el cupo: exactamente una tiene éxito</w:t>
            </w:r>
          </w:p>
        </w:tc>
      </w:tr>
    </w:tbl>
    <w:p>
      <w:pPr>
        <w:spacing w:before="120"/>
      </w:pPr>
      <w:r>
        <w:rPr>
          <w:rFonts w:ascii="Arial" w:hAnsi="Arial" w:eastAsia="Arial"/>
          <w:b w:val="0"/>
          <w:color w:val="000000"/>
          <w:sz w:val="24"/>
        </w:rPr>
        <w:t xml:space="preserve">El cliente web cierra el mismo defecto de su lado: no guarda copia de los pedidos, y Mis pedidos lee el historial en cada visita, así que ninguna caché del cliente puede esconder un pedido confirmado (AC-52, demostrado por </w:t>
      </w:r>
      <w:r>
        <w:rPr>
          <w:rFonts w:ascii="Arial" w:hAnsi="Arial" w:eastAsia="Arial"/>
          <w:b w:val="0"/>
          <w:color w:val="000000"/>
          <w:sz w:val="24"/>
        </w:rPr>
        <w:t>history-read-your-writes.spec.ts</w:t>
      </w:r>
      <w:r>
        <w:rPr>
          <w:rFonts w:ascii="Arial" w:hAnsi="Arial" w:eastAsia="Arial"/>
          <w:b w:val="0"/>
          <w:color w:val="000000"/>
          <w:sz w:val="24"/>
        </w:rPr>
        <w:t xml:space="preserve"> y el flujo de extremo a extremo).</w:t>
      </w:r>
    </w:p>
    <w:p>
      <w:pPr>
        <w:pStyle w:val="Heading2"/>
        <w:keepNext/>
        <w:spacing w:before="160" w:after="80"/>
      </w:pPr>
      <w:r>
        <w:rPr>
          <w:rFonts w:ascii="Arial" w:hAnsi="Arial" w:eastAsia="Arial"/>
          <w:b/>
          <w:color w:val="000000"/>
          <w:sz w:val="24"/>
        </w:rPr>
        <w:t>7. El ADR (A3)</w:t>
      </w:r>
    </w:p>
    <w:p>
      <w:r>
        <w:rPr>
          <w:rFonts w:ascii="Arial" w:hAnsi="Arial" w:eastAsia="Arial"/>
          <w:b w:val="0"/>
          <w:color w:val="000000"/>
          <w:sz w:val="24"/>
        </w:rPr>
        <w:t xml:space="preserve">El enunciado pide un ADR de una página como máximo, así que la entrega tiene exactamente uno: </w:t>
      </w:r>
      <w:r>
        <w:rPr>
          <w:rFonts w:ascii="Arial" w:hAnsi="Arial" w:eastAsia="Arial"/>
          <w:b w:val="0"/>
          <w:color w:val="000000"/>
          <w:sz w:val="24"/>
        </w:rPr>
        <w:t>orderflow-engine-api/docs/adr/0001-order-pricing-and-confirmation.md</w:t>
      </w:r>
      <w:r>
        <w:rPr>
          <w:rFonts w:ascii="Arial" w:hAnsi="Arial" w:eastAsia="Arial"/>
          <w:b w:val="0"/>
          <w:color w:val="000000"/>
          <w:sz w:val="24"/>
        </w:rPr>
        <w:t>, "Cotizaciones selladas y confirmación en una sola transacción", con su par en español. Usa la tabla de encabezado de MADR 4.0.0 (estado, fecha, decisores, confianza) y las cuatro secciones que exige A3.</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2"/>
        <w:gridCol w:w="7156"/>
      </w:tblGrid>
      <w:tr>
        <w:tc>
          <w:tcPr>
            <w:tcW w:type="dxa" w:w="2482"/>
          </w:tcPr>
          <w:p>
            <w:pPr>
              <w:spacing w:after="0"/>
            </w:pPr>
            <w:r>
              <w:rPr>
                <w:rFonts w:ascii="Arial" w:hAnsi="Arial" w:eastAsia="Arial"/>
                <w:b/>
                <w:color w:val="000000"/>
                <w:sz w:val="24"/>
              </w:rPr>
              <w:t>Sección</w:t>
            </w:r>
          </w:p>
        </w:tc>
        <w:tc>
          <w:tcPr>
            <w:tcW w:type="dxa" w:w="7156"/>
          </w:tcPr>
          <w:p>
            <w:pPr>
              <w:spacing w:after="0"/>
            </w:pPr>
            <w:r>
              <w:rPr>
                <w:rFonts w:ascii="Arial" w:hAnsi="Arial" w:eastAsia="Arial"/>
                <w:b/>
                <w:color w:val="000000"/>
                <w:sz w:val="24"/>
              </w:rPr>
              <w:t>Contenido en breve</w:t>
            </w:r>
          </w:p>
        </w:tc>
      </w:tr>
      <w:tr>
        <w:tc>
          <w:tcPr>
            <w:tcW w:type="dxa" w:w="2482"/>
          </w:tcPr>
          <w:p>
            <w:pPr>
              <w:spacing w:after="0"/>
            </w:pPr>
            <w:r>
              <w:rPr>
                <w:rFonts w:ascii="Arial" w:hAnsi="Arial" w:eastAsia="Arial"/>
                <w:b w:val="0"/>
                <w:color w:val="000000"/>
                <w:sz w:val="24"/>
              </w:rPr>
              <w:t>Decisiones y alternativas descartadas</w:t>
            </w:r>
          </w:p>
        </w:tc>
        <w:tc>
          <w:tcPr>
            <w:tcW w:type="dxa" w:w="7156"/>
          </w:tcPr>
          <w:p>
            <w:pPr>
              <w:spacing w:after="0"/>
            </w:pPr>
            <w:r>
              <w:rPr>
                <w:rFonts w:ascii="Arial" w:hAnsi="Arial" w:eastAsia="Arial"/>
                <w:b w:val="0"/>
                <w:color w:val="000000"/>
                <w:sz w:val="24"/>
              </w:rPr>
              <w:t xml:space="preserve">Cotización sellada y referenciada por el pedido (ni copiar ni recalcular); </w:t>
            </w:r>
            <w:r>
              <w:rPr>
                <w:rFonts w:ascii="Arial" w:hAnsi="Arial" w:eastAsia="Arial"/>
                <w:b w:val="0"/>
                <w:color w:val="000000"/>
                <w:sz w:val="24"/>
              </w:rPr>
              <w:t>BigDecimal</w:t>
            </w:r>
            <w:r>
              <w:rPr>
                <w:rFonts w:ascii="Arial" w:hAnsi="Arial" w:eastAsia="Arial"/>
                <w:b w:val="0"/>
                <w:color w:val="000000"/>
                <w:sz w:val="24"/>
              </w:rPr>
              <w:t xml:space="preserve"> redondeado por línea, combos antes que escalas (ni unidades menores en </w:t>
            </w:r>
            <w:r>
              <w:rPr>
                <w:rFonts w:ascii="Arial" w:hAnsi="Arial" w:eastAsia="Arial"/>
                <w:b w:val="0"/>
                <w:color w:val="000000"/>
                <w:sz w:val="24"/>
              </w:rPr>
              <w:t>long</w:t>
            </w:r>
            <w:r>
              <w:rPr>
                <w:rFonts w:ascii="Arial" w:hAnsi="Arial" w:eastAsia="Arial"/>
                <w:b w:val="0"/>
                <w:color w:val="000000"/>
                <w:sz w:val="24"/>
              </w:rPr>
              <w:t>, ni redondear el total, ni escalas primero); una transacción en PostgreSQL con bloqueos clave → cotización → cupo y el 201 después del commit (ni memoria, ni escritura asíncrona o saga, ni claves en una caché); outbox transaccional con lease y backoff (ni publicar después del commit, ni commit en dos fases); monolito hexagonal, SQL explícito, repositorios separados (ni microservicios, ni JPA, ni monorepo)</w:t>
            </w:r>
          </w:p>
        </w:tc>
      </w:tr>
      <w:tr>
        <w:tc>
          <w:tcPr>
            <w:tcW w:type="dxa" w:w="2482"/>
          </w:tcPr>
          <w:p>
            <w:pPr>
              <w:spacing w:after="0"/>
            </w:pPr>
            <w:r>
              <w:rPr>
                <w:rFonts w:ascii="Arial" w:hAnsi="Arial" w:eastAsia="Arial"/>
                <w:b w:val="0"/>
                <w:color w:val="000000"/>
                <w:sz w:val="24"/>
              </w:rPr>
              <w:t>No implementado, a propósito</w:t>
            </w:r>
          </w:p>
        </w:tc>
        <w:tc>
          <w:tcPr>
            <w:tcW w:type="dxa" w:w="7156"/>
          </w:tcPr>
          <w:p>
            <w:pPr>
              <w:spacing w:after="0"/>
            </w:pPr>
            <w:r>
              <w:rPr>
                <w:rFonts w:ascii="Arial" w:hAnsi="Arial" w:eastAsia="Arial"/>
                <w:b w:val="0"/>
                <w:color w:val="000000"/>
                <w:sz w:val="24"/>
              </w:rPr>
              <w:t>Autenticación, clientes reales de push y ERP, y lo que no se pidió</w:t>
            </w:r>
          </w:p>
        </w:tc>
      </w:tr>
      <w:tr>
        <w:tc>
          <w:tcPr>
            <w:tcW w:type="dxa" w:w="2482"/>
          </w:tcPr>
          <w:p>
            <w:pPr>
              <w:spacing w:after="0"/>
            </w:pPr>
            <w:r>
              <w:rPr>
                <w:rFonts w:ascii="Arial" w:hAnsi="Arial" w:eastAsia="Arial"/>
                <w:b w:val="0"/>
                <w:color w:val="000000"/>
                <w:sz w:val="24"/>
              </w:rPr>
              <w:t>Qué revisaría en un code review</w:t>
            </w:r>
          </w:p>
        </w:tc>
        <w:tc>
          <w:tcPr>
            <w:tcW w:type="dxa" w:w="7156"/>
          </w:tcPr>
          <w:p>
            <w:pPr>
              <w:spacing w:after="0"/>
            </w:pPr>
            <w:r>
              <w:rPr>
                <w:rFonts w:ascii="Arial" w:hAnsi="Arial" w:eastAsia="Arial"/>
                <w:b w:val="0"/>
                <w:color w:val="000000"/>
                <w:sz w:val="24"/>
              </w:rPr>
              <w:t xml:space="preserve">Ni </w:t>
            </w:r>
            <w:r>
              <w:rPr>
                <w:rFonts w:ascii="Arial" w:hAnsi="Arial" w:eastAsia="Arial"/>
                <w:b w:val="0"/>
                <w:color w:val="000000"/>
                <w:sz w:val="24"/>
              </w:rPr>
              <w:t>float</w:t>
            </w:r>
            <w:r>
              <w:rPr>
                <w:rFonts w:ascii="Arial" w:hAnsi="Arial" w:eastAsia="Arial"/>
                <w:b w:val="0"/>
                <w:color w:val="000000"/>
                <w:sz w:val="24"/>
              </w:rPr>
              <w:t xml:space="preserve"> ni </w:t>
            </w:r>
            <w:r>
              <w:rPr>
                <w:rFonts w:ascii="Arial" w:hAnsi="Arial" w:eastAsia="Arial"/>
                <w:b w:val="0"/>
                <w:color w:val="000000"/>
                <w:sz w:val="24"/>
              </w:rPr>
              <w:t>double</w:t>
            </w:r>
            <w:r>
              <w:rPr>
                <w:rFonts w:ascii="Arial" w:hAnsi="Arial" w:eastAsia="Arial"/>
                <w:b w:val="0"/>
                <w:color w:val="000000"/>
                <w:sz w:val="24"/>
              </w:rPr>
              <w:t xml:space="preserve">; </w:t>
            </w:r>
            <w:r>
              <w:rPr>
                <w:rFonts w:ascii="Arial" w:hAnsi="Arial" w:eastAsia="Arial"/>
                <w:b w:val="0"/>
                <w:color w:val="000000"/>
                <w:sz w:val="24"/>
              </w:rPr>
              <w:t>compareTo</w:t>
            </w:r>
            <w:r>
              <w:rPr>
                <w:rFonts w:ascii="Arial" w:hAnsi="Arial" w:eastAsia="Arial"/>
                <w:b w:val="0"/>
                <w:color w:val="000000"/>
                <w:sz w:val="24"/>
              </w:rPr>
              <w:t xml:space="preserve"> para el dinero; ningún UPDATE sobre cotizaciones; </w:t>
            </w:r>
            <w:r>
              <w:rPr>
                <w:rFonts w:ascii="Arial" w:hAnsi="Arial" w:eastAsia="Arial"/>
                <w:b w:val="0"/>
                <w:color w:val="000000"/>
                <w:sz w:val="24"/>
              </w:rPr>
              <w:t>@Transactional</w:t>
            </w:r>
            <w:r>
              <w:rPr>
                <w:rFonts w:ascii="Arial" w:hAnsi="Arial" w:eastAsia="Arial"/>
                <w:b w:val="0"/>
                <w:color w:val="000000"/>
                <w:sz w:val="24"/>
              </w:rPr>
              <w:t xml:space="preserve"> solo en casos de uso; orden de bloqueos; 201 después del commit; ninguna falla guardada; relay fuera de transacciones; cada palanca con un golden test que se vio fallar; texto de usuario solo en i18n</w:t>
            </w:r>
          </w:p>
        </w:tc>
      </w:tr>
      <w:tr>
        <w:tc>
          <w:tcPr>
            <w:tcW w:type="dxa" w:w="2482"/>
          </w:tcPr>
          <w:p>
            <w:pPr>
              <w:spacing w:after="0"/>
            </w:pPr>
            <w:r>
              <w:rPr>
                <w:rFonts w:ascii="Arial" w:hAnsi="Arial" w:eastAsia="Arial"/>
                <w:b w:val="0"/>
                <w:color w:val="000000"/>
                <w:sz w:val="24"/>
              </w:rPr>
              <w:t>Riesgo y mitigación</w:t>
            </w:r>
          </w:p>
        </w:tc>
        <w:tc>
          <w:tcPr>
            <w:tcW w:type="dxa" w:w="7156"/>
          </w:tcPr>
          <w:p>
            <w:pPr>
              <w:spacing w:after="0"/>
            </w:pPr>
            <w:r>
              <w:rPr>
                <w:rFonts w:ascii="Arial" w:hAnsi="Arial" w:eastAsia="Arial"/>
                <w:b w:val="0"/>
                <w:color w:val="000000"/>
                <w:sz w:val="24"/>
              </w:rPr>
              <w:t>Una cotización sellada respeta un precio equivocado hasta vencer. Mitigación: un TTL de 15 minutos por país y, después, la revocación (OPEN → REVOKED, 409). Revisar si un incidente afecta más de 100 cotizaciones o si el TTL pasa de una hora</w:t>
            </w:r>
          </w:p>
        </w:tc>
      </w:tr>
    </w:tbl>
    <w:p>
      <w:pPr>
        <w:spacing w:before="120"/>
      </w:pPr>
      <w:r>
        <w:rPr>
          <w:rFonts w:ascii="Arial" w:hAnsi="Arial" w:eastAsia="Arial"/>
          <w:b w:val="0"/>
          <w:color w:val="000000"/>
          <w:sz w:val="24"/>
        </w:rPr>
        <w:t xml:space="preserve">El límite de una página se hace cumplir dos veces: </w:t>
      </w:r>
      <w:r>
        <w:rPr>
          <w:rFonts w:ascii="Arial" w:hAnsi="Arial" w:eastAsia="Arial"/>
          <w:b w:val="0"/>
          <w:color w:val="000000"/>
          <w:sz w:val="24"/>
        </w:rPr>
        <w:t>check-docs</w:t>
      </w:r>
      <w:r>
        <w:rPr>
          <w:rFonts w:ascii="Arial" w:hAnsi="Arial" w:eastAsia="Arial"/>
          <w:b w:val="0"/>
          <w:color w:val="000000"/>
          <w:sz w:val="24"/>
        </w:rPr>
        <w:t xml:space="preserve"> falla por encima de 500 palabras por idioma, y la generación en Word y PDF (Arial 12, A4, márgenes de 2 cm) falla si pasa de una página. El ADR entró como borrador en T-00 (</w:t>
      </w:r>
      <w:r>
        <w:rPr>
          <w:rFonts w:ascii="Arial" w:hAnsi="Arial" w:eastAsia="Arial"/>
          <w:b w:val="0"/>
          <w:color w:val="000000"/>
          <w:sz w:val="24"/>
        </w:rPr>
        <w:t>docs(api): add ADR-0001 draft (T-00)</w:t>
      </w:r>
      <w:r>
        <w:rPr>
          <w:rFonts w:ascii="Arial" w:hAnsi="Arial" w:eastAsia="Arial"/>
          <w:b w:val="0"/>
          <w:color w:val="000000"/>
          <w:sz w:val="24"/>
        </w:rPr>
        <w:t>) y se aceptó en T-16 (</w:t>
      </w:r>
      <w:r>
        <w:rPr>
          <w:rFonts w:ascii="Arial" w:hAnsi="Arial" w:eastAsia="Arial"/>
          <w:b w:val="0"/>
          <w:color w:val="000000"/>
          <w:sz w:val="24"/>
        </w:rPr>
        <w:t>docs: accept ADR and record evidence (T-16)</w:t>
      </w:r>
      <w:r>
        <w:rPr>
          <w:rFonts w:ascii="Arial" w:hAnsi="Arial" w:eastAsia="Arial"/>
          <w:b w:val="0"/>
          <w:color w:val="000000"/>
          <w:sz w:val="24"/>
        </w:rPr>
        <w:t xml:space="preserve">). Todas las demás decisiones, con sus alternativas descartadas, viven en </w:t>
      </w:r>
      <w:r>
        <w:rPr>
          <w:rFonts w:ascii="Arial" w:hAnsi="Arial" w:eastAsia="Arial"/>
          <w:b w:val="0"/>
          <w:color w:val="000000"/>
          <w:sz w:val="24"/>
        </w:rPr>
        <w:t>orderflow-engine-docs/spec/plan.md</w:t>
      </w:r>
      <w:r>
        <w:rPr>
          <w:rFonts w:ascii="Arial" w:hAnsi="Arial" w:eastAsia="Arial"/>
          <w:b w:val="0"/>
          <w:color w:val="000000"/>
          <w:sz w:val="24"/>
        </w:rPr>
        <w:t>, así que el ADR se mantiene en una página.</w:t>
      </w:r>
    </w:p>
    <w:p>
      <w:pPr>
        <w:pStyle w:val="Heading2"/>
        <w:keepNext/>
        <w:spacing w:before="160" w:after="80"/>
      </w:pPr>
      <w:r>
        <w:rPr>
          <w:rFonts w:ascii="Arial" w:hAnsi="Arial" w:eastAsia="Arial"/>
          <w:b/>
          <w:color w:val="000000"/>
          <w:sz w:val="24"/>
        </w:rPr>
        <w:t>8. El cliente web y el stack completo</w:t>
      </w:r>
    </w:p>
    <w:p>
      <w:pPr>
        <w:pStyle w:val="Heading3"/>
        <w:keepNext/>
        <w:spacing w:before="160" w:after="80"/>
      </w:pPr>
      <w:r>
        <w:rPr>
          <w:rFonts w:ascii="Arial" w:hAnsi="Arial" w:eastAsia="Arial"/>
          <w:b/>
          <w:color w:val="000000"/>
          <w:sz w:val="24"/>
        </w:rPr>
        <w:t>8.1 Del plus de una hora al flujo completo</w:t>
      </w:r>
    </w:p>
    <w:p>
      <w:r>
        <w:rPr>
          <w:rFonts w:ascii="Arial" w:hAnsi="Arial" w:eastAsia="Arial"/>
          <w:b w:val="0"/>
          <w:color w:val="000000"/>
          <w:sz w:val="24"/>
        </w:rPr>
        <w:t>El plus del enunciado es una pantalla de resumen del pedido en una hora como máximo. Esa pantalla se construyó primero y sola, para poder medir su tiempo: 68 minutos, que ya superan la hora cuando se cuentan sus pruebas y su contenedor. El 2026-10-15 el alcance del front se amplió a propósito, como decisión de product owner registrada en SPEC §1 ("Deviation"), al flujo de dominio que describe el enunciado: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46"/>
        <w:gridCol w:w="3476"/>
        <w:gridCol w:w="3416"/>
      </w:tblGrid>
      <w:tr>
        <w:tc>
          <w:tcPr>
            <w:tcW w:type="dxa" w:w="2746"/>
          </w:tcPr>
          <w:p>
            <w:pPr>
              <w:spacing w:after="0"/>
            </w:pPr>
            <w:r>
              <w:rPr>
                <w:rFonts w:ascii="Arial" w:hAnsi="Arial" w:eastAsia="Arial"/>
                <w:b/>
                <w:color w:val="000000"/>
                <w:sz w:val="24"/>
              </w:rPr>
              <w:t>Ruta</w:t>
            </w:r>
          </w:p>
        </w:tc>
        <w:tc>
          <w:tcPr>
            <w:tcW w:type="dxa" w:w="3476"/>
          </w:tcPr>
          <w:p>
            <w:pPr>
              <w:spacing w:after="0"/>
            </w:pPr>
            <w:r>
              <w:rPr>
                <w:rFonts w:ascii="Arial" w:hAnsi="Arial" w:eastAsia="Arial"/>
                <w:b/>
                <w:color w:val="000000"/>
                <w:sz w:val="24"/>
              </w:rPr>
              <w:t>Pantalla</w:t>
            </w:r>
          </w:p>
        </w:tc>
        <w:tc>
          <w:tcPr>
            <w:tcW w:type="dxa" w:w="3416"/>
          </w:tcPr>
          <w:p>
            <w:pPr>
              <w:spacing w:after="0"/>
            </w:pPr>
            <w:r>
              <w:rPr>
                <w:rFonts w:ascii="Arial" w:hAnsi="Arial" w:eastAsia="Arial"/>
                <w:b/>
                <w:color w:val="000000"/>
                <w:sz w:val="24"/>
              </w:rPr>
              <w:t>Operaciones de la API</w:t>
            </w:r>
          </w:p>
        </w:tc>
      </w:tr>
      <w:tr>
        <w:tc>
          <w:tcPr>
            <w:tcW w:type="dxa" w:w="2746"/>
          </w:tcPr>
          <w:p>
            <w:pPr>
              <w:spacing w:after="0"/>
            </w:pPr>
            <w:r>
              <w:rPr>
                <w:rFonts w:ascii="Arial" w:hAnsi="Arial" w:eastAsia="Arial"/>
                <w:b w:val="0"/>
                <w:color w:val="000000"/>
                <w:sz w:val="24"/>
              </w:rPr>
              <w:t>/cart</w:t>
            </w:r>
            <w:r>
              <w:rPr>
                <w:rFonts w:ascii="Arial" w:hAnsi="Arial" w:eastAsia="Arial"/>
                <w:b w:val="0"/>
                <w:color w:val="000000"/>
                <w:sz w:val="24"/>
              </w:rPr>
              <w:t xml:space="preserve">, también </w:t>
            </w:r>
            <w:r>
              <w:rPr>
                <w:rFonts w:ascii="Arial" w:hAnsi="Arial" w:eastAsia="Arial"/>
                <w:b w:val="0"/>
                <w:color w:val="000000"/>
                <w:sz w:val="24"/>
              </w:rPr>
              <w:t>/</w:t>
            </w:r>
          </w:p>
        </w:tc>
        <w:tc>
          <w:tcPr>
            <w:tcW w:type="dxa" w:w="3476"/>
          </w:tcPr>
          <w:p>
            <w:pPr>
              <w:spacing w:after="0"/>
            </w:pPr>
            <w:r>
              <w:rPr>
                <w:rFonts w:ascii="Arial" w:hAnsi="Arial" w:eastAsia="Arial"/>
                <w:b w:val="0"/>
                <w:color w:val="000000"/>
                <w:sz w:val="24"/>
              </w:rPr>
              <w:t>Carrito: grid de productos, cantidades, contado o crédito</w:t>
            </w:r>
          </w:p>
        </w:tc>
        <w:tc>
          <w:tcPr>
            <w:tcW w:type="dxa" w:w="3416"/>
          </w:tcPr>
          <w:p>
            <w:pPr>
              <w:spacing w:after="0"/>
            </w:pPr>
            <w:r>
              <w:rPr>
                <w:rFonts w:ascii="Arial" w:hAnsi="Arial" w:eastAsia="Arial"/>
                <w:b w:val="0"/>
                <w:color w:val="000000"/>
                <w:sz w:val="24"/>
              </w:rPr>
              <w:t>E-07 (lista de productos), E-01 (cotización)</w:t>
            </w:r>
          </w:p>
        </w:tc>
      </w:tr>
      <w:tr>
        <w:tc>
          <w:tcPr>
            <w:tcW w:type="dxa" w:w="2746"/>
          </w:tcPr>
          <w:p>
            <w:pPr>
              <w:spacing w:after="0"/>
            </w:pPr>
            <w:r>
              <w:rPr>
                <w:rFonts w:ascii="Arial" w:hAnsi="Arial" w:eastAsia="Arial"/>
                <w:b w:val="0"/>
                <w:color w:val="000000"/>
                <w:sz w:val="24"/>
              </w:rPr>
              <w:t>/quotes/:quoteId</w:t>
            </w:r>
          </w:p>
        </w:tc>
        <w:tc>
          <w:tcPr>
            <w:tcW w:type="dxa" w:w="3476"/>
          </w:tcPr>
          <w:p>
            <w:pPr>
              <w:spacing w:after="0"/>
            </w:pPr>
            <w:r>
              <w:rPr>
                <w:rFonts w:ascii="Arial" w:hAnsi="Arial" w:eastAsia="Arial"/>
                <w:b w:val="0"/>
                <w:color w:val="000000"/>
                <w:sz w:val="24"/>
              </w:rPr>
              <w:t>Resumen del pedido, la pantalla del enunciado</w:t>
            </w:r>
          </w:p>
        </w:tc>
        <w:tc>
          <w:tcPr>
            <w:tcW w:type="dxa" w:w="3416"/>
          </w:tcPr>
          <w:p>
            <w:pPr>
              <w:spacing w:after="0"/>
            </w:pPr>
            <w:r>
              <w:rPr>
                <w:rFonts w:ascii="Arial" w:hAnsi="Arial" w:eastAsia="Arial"/>
                <w:b w:val="0"/>
                <w:color w:val="000000"/>
                <w:sz w:val="24"/>
              </w:rPr>
              <w:t>E-02, E-03 (confirmación)</w:t>
            </w:r>
          </w:p>
        </w:tc>
      </w:tr>
      <w:tr>
        <w:tc>
          <w:tcPr>
            <w:tcW w:type="dxa" w:w="2746"/>
          </w:tcPr>
          <w:p>
            <w:pPr>
              <w:spacing w:after="0"/>
            </w:pPr>
            <w:r>
              <w:rPr>
                <w:rFonts w:ascii="Arial" w:hAnsi="Arial" w:eastAsia="Arial"/>
                <w:b w:val="0"/>
                <w:color w:val="000000"/>
                <w:sz w:val="24"/>
              </w:rPr>
              <w:t>/orders/:orderId</w:t>
            </w:r>
          </w:p>
        </w:tc>
        <w:tc>
          <w:tcPr>
            <w:tcW w:type="dxa" w:w="3476"/>
          </w:tcPr>
          <w:p>
            <w:pPr>
              <w:spacing w:after="0"/>
            </w:pPr>
            <w:r>
              <w:rPr>
                <w:rFonts w:ascii="Arial" w:hAnsi="Arial" w:eastAsia="Arial"/>
                <w:b w:val="0"/>
                <w:color w:val="000000"/>
                <w:sz w:val="24"/>
              </w:rPr>
              <w:t>El pedido confirmado</w:t>
            </w:r>
          </w:p>
        </w:tc>
        <w:tc>
          <w:tcPr>
            <w:tcW w:type="dxa" w:w="3416"/>
          </w:tcPr>
          <w:p>
            <w:pPr>
              <w:spacing w:after="0"/>
            </w:pPr>
            <w:r>
              <w:rPr>
                <w:rFonts w:ascii="Arial" w:hAnsi="Arial" w:eastAsia="Arial"/>
                <w:b w:val="0"/>
                <w:color w:val="000000"/>
                <w:sz w:val="24"/>
              </w:rPr>
              <w:t>E-04</w:t>
            </w:r>
          </w:p>
        </w:tc>
      </w:tr>
      <w:tr>
        <w:tc>
          <w:tcPr>
            <w:tcW w:type="dxa" w:w="2746"/>
          </w:tcPr>
          <w:p>
            <w:pPr>
              <w:spacing w:after="0"/>
            </w:pPr>
            <w:r>
              <w:rPr>
                <w:rFonts w:ascii="Arial" w:hAnsi="Arial" w:eastAsia="Arial"/>
                <w:b w:val="0"/>
                <w:color w:val="000000"/>
                <w:sz w:val="24"/>
              </w:rPr>
              <w:t>/orders</w:t>
            </w:r>
          </w:p>
        </w:tc>
        <w:tc>
          <w:tcPr>
            <w:tcW w:type="dxa" w:w="3476"/>
          </w:tcPr>
          <w:p>
            <w:pPr>
              <w:spacing w:after="0"/>
            </w:pPr>
            <w:r>
              <w:rPr>
                <w:rFonts w:ascii="Arial" w:hAnsi="Arial" w:eastAsia="Arial"/>
                <w:b w:val="0"/>
                <w:color w:val="000000"/>
                <w:sz w:val="24"/>
              </w:rPr>
              <w:t>Mis pedidos</w:t>
            </w:r>
          </w:p>
        </w:tc>
        <w:tc>
          <w:tcPr>
            <w:tcW w:type="dxa" w:w="3416"/>
          </w:tcPr>
          <w:p>
            <w:pPr>
              <w:spacing w:after="0"/>
            </w:pPr>
            <w:r>
              <w:rPr>
                <w:rFonts w:ascii="Arial" w:hAnsi="Arial" w:eastAsia="Arial"/>
                <w:b w:val="0"/>
                <w:color w:val="000000"/>
                <w:sz w:val="24"/>
              </w:rPr>
              <w:t>E-05</w:t>
            </w:r>
          </w:p>
        </w:tc>
      </w:tr>
    </w:tbl>
    <w:p>
      <w:pPr>
        <w:spacing w:before="120"/>
      </w:pPr>
      <w:r>
        <w:rPr>
          <w:rFonts w:ascii="Arial" w:hAnsi="Arial" w:eastAsia="Arial"/>
          <w:b w:val="0"/>
          <w:color w:val="000000"/>
          <w:sz w:val="24"/>
        </w:rPr>
        <w:t xml:space="preserve">La ampliación quedó contenida: empezó solo después de integrar T-16, no agregó ninguna regla de negocio, nunca calcula dinero (cada monto es una cadena de la API) y sumó una sola operación de la API, de solo lectura, </w:t>
      </w:r>
      <w:r>
        <w:rPr>
          <w:rFonts w:ascii="Arial" w:hAnsi="Arial" w:eastAsia="Arial"/>
          <w:b w:val="0"/>
          <w:color w:val="000000"/>
          <w:sz w:val="24"/>
        </w:rPr>
        <w:t>GET /api/v1/products</w:t>
      </w:r>
      <w:r>
        <w:rPr>
          <w:rFonts w:ascii="Arial" w:hAnsi="Arial" w:eastAsia="Arial"/>
          <w:b w:val="0"/>
          <w:color w:val="000000"/>
          <w:sz w:val="24"/>
        </w:rPr>
        <w:t xml:space="preserve"> (E-07). Un selector de tienda envía un tenant y un cliente sembrados como encabezados, en lugar de un inicio de sesión (A-06). El español es el idioma por defecto y el inglés está completo; el selector ES/EN cambia el idioma en tiempo de ejecución y el navegador recuerda la elección.</w:t>
      </w:r>
    </w:p>
    <w:p>
      <w:pPr>
        <w:pStyle w:val="Heading3"/>
        <w:keepNext/>
        <w:spacing w:before="160" w:after="80"/>
      </w:pPr>
      <w:r>
        <w:rPr>
          <w:rFonts w:ascii="Arial" w:hAnsi="Arial" w:eastAsia="Arial"/>
          <w:b/>
          <w:color w:val="000000"/>
          <w:sz w:val="24"/>
        </w:rPr>
        <w:t>8.2 Prevención a nivel de componente</w:t>
      </w:r>
    </w:p>
    <w:p>
      <w:r>
        <w:rPr>
          <w:rFonts w:ascii="Arial" w:hAnsi="Arial" w:eastAsia="Arial"/>
          <w:b w:val="0"/>
          <w:color w:val="000000"/>
          <w:sz w:val="24"/>
        </w:rPr>
        <w:t>Cada defecto que nombra el enunciado tiene un componente dueño, así que una pantalla nueva hereda la prevención en lugar de resolverla otra vez:</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23"/>
        <w:gridCol w:w="2746"/>
        <w:gridCol w:w="4569"/>
      </w:tblGrid>
      <w:tr>
        <w:tc>
          <w:tcPr>
            <w:tcW w:type="dxa" w:w="2323"/>
          </w:tcPr>
          <w:p>
            <w:pPr>
              <w:spacing w:after="0"/>
            </w:pPr>
            <w:r>
              <w:rPr>
                <w:rFonts w:ascii="Arial" w:hAnsi="Arial" w:eastAsia="Arial"/>
                <w:b/>
                <w:color w:val="000000"/>
                <w:sz w:val="24"/>
              </w:rPr>
              <w:t>Defecto</w:t>
            </w:r>
          </w:p>
        </w:tc>
        <w:tc>
          <w:tcPr>
            <w:tcW w:type="dxa" w:w="2746"/>
          </w:tcPr>
          <w:p>
            <w:pPr>
              <w:spacing w:after="0"/>
            </w:pPr>
            <w:r>
              <w:rPr>
                <w:rFonts w:ascii="Arial" w:hAnsi="Arial" w:eastAsia="Arial"/>
                <w:b/>
                <w:color w:val="000000"/>
                <w:sz w:val="24"/>
              </w:rPr>
              <w:t>Componente</w:t>
            </w:r>
          </w:p>
        </w:tc>
        <w:tc>
          <w:tcPr>
            <w:tcW w:type="dxa" w:w="4569"/>
          </w:tcPr>
          <w:p>
            <w:pPr>
              <w:spacing w:after="0"/>
            </w:pPr>
            <w:r>
              <w:rPr>
                <w:rFonts w:ascii="Arial" w:hAnsi="Arial" w:eastAsia="Arial"/>
                <w:b/>
                <w:color w:val="000000"/>
                <w:sz w:val="24"/>
              </w:rPr>
              <w:t>Regla</w:t>
            </w:r>
          </w:p>
        </w:tc>
      </w:tr>
      <w:tr>
        <w:tc>
          <w:tcPr>
            <w:tcW w:type="dxa" w:w="2323"/>
          </w:tcPr>
          <w:p>
            <w:pPr>
              <w:spacing w:after="0"/>
            </w:pPr>
            <w:r>
              <w:rPr>
                <w:rFonts w:ascii="Arial" w:hAnsi="Arial" w:eastAsia="Arial"/>
                <w:b w:val="0"/>
                <w:color w:val="000000"/>
                <w:sz w:val="24"/>
              </w:rPr>
              <w:t>Texto cortado</w:t>
            </w:r>
          </w:p>
        </w:tc>
        <w:tc>
          <w:tcPr>
            <w:tcW w:type="dxa" w:w="2746"/>
          </w:tcPr>
          <w:p>
            <w:pPr>
              <w:spacing w:after="0"/>
            </w:pPr>
            <w:r>
              <w:rPr>
                <w:rFonts w:ascii="Arial" w:hAnsi="Arial" w:eastAsia="Arial"/>
                <w:b w:val="0"/>
                <w:color w:val="000000"/>
                <w:sz w:val="24"/>
              </w:rPr>
              <w:t>ui-text</w:t>
            </w:r>
          </w:p>
        </w:tc>
        <w:tc>
          <w:tcPr>
            <w:tcW w:type="dxa" w:w="4569"/>
          </w:tcPr>
          <w:p>
            <w:pPr>
              <w:spacing w:after="0"/>
            </w:pPr>
            <w:r>
              <w:rPr>
                <w:rFonts w:ascii="Arial" w:hAnsi="Arial" w:eastAsia="Arial"/>
                <w:b w:val="0"/>
                <w:color w:val="000000"/>
                <w:sz w:val="24"/>
              </w:rPr>
              <w:t>La única forma en que una pantalla imprime texto. Siempre hace salto de línea, nunca usa puntos suspensivos ni límite de líneas, y un monto nunca se parte</w:t>
            </w:r>
          </w:p>
        </w:tc>
      </w:tr>
      <w:tr>
        <w:tc>
          <w:tcPr>
            <w:tcW w:type="dxa" w:w="2323"/>
          </w:tcPr>
          <w:p>
            <w:pPr>
              <w:spacing w:after="0"/>
            </w:pPr>
            <w:r>
              <w:rPr>
                <w:rFonts w:ascii="Arial" w:hAnsi="Arial" w:eastAsia="Arial"/>
                <w:b w:val="0"/>
                <w:color w:val="000000"/>
                <w:sz w:val="24"/>
              </w:rPr>
              <w:t>Controles tapados por la barra del sistema o el teclado</w:t>
            </w:r>
          </w:p>
        </w:tc>
        <w:tc>
          <w:tcPr>
            <w:tcW w:type="dxa" w:w="2746"/>
          </w:tcPr>
          <w:p>
            <w:pPr>
              <w:spacing w:after="0"/>
            </w:pPr>
            <w:r>
              <w:rPr>
                <w:rFonts w:ascii="Arial" w:hAnsi="Arial" w:eastAsia="Arial"/>
                <w:b w:val="0"/>
                <w:color w:val="000000"/>
                <w:sz w:val="24"/>
              </w:rPr>
              <w:t>ui-action-bar</w:t>
            </w:r>
          </w:p>
        </w:tc>
        <w:tc>
          <w:tcPr>
            <w:tcW w:type="dxa" w:w="4569"/>
          </w:tcPr>
          <w:p>
            <w:pPr>
              <w:spacing w:after="0"/>
            </w:pPr>
            <w:r>
              <w:rPr>
                <w:rFonts w:ascii="Arial" w:hAnsi="Arial" w:eastAsia="Arial"/>
                <w:b w:val="0"/>
                <w:color w:val="000000"/>
                <w:sz w:val="24"/>
              </w:rPr>
              <w:t xml:space="preserve">Fija abajo, con relleno según las zonas seguras, y se eleva sobre el teclado siguiendo </w:t>
            </w:r>
            <w:r>
              <w:rPr>
                <w:rFonts w:ascii="Arial" w:hAnsi="Arial" w:eastAsia="Arial"/>
                <w:b w:val="0"/>
                <w:color w:val="000000"/>
                <w:sz w:val="24"/>
              </w:rPr>
              <w:t>visualViewport</w:t>
            </w:r>
            <w:r>
              <w:rPr>
                <w:rFonts w:ascii="Arial" w:hAnsi="Arial" w:eastAsia="Arial"/>
                <w:b w:val="0"/>
                <w:color w:val="000000"/>
                <w:sz w:val="24"/>
              </w:rPr>
              <w:t>; cada control mide al menos 44 × 44 px</w:t>
            </w:r>
          </w:p>
        </w:tc>
      </w:tr>
      <w:tr>
        <w:tc>
          <w:tcPr>
            <w:tcW w:type="dxa" w:w="2323"/>
          </w:tcPr>
          <w:p>
            <w:pPr>
              <w:spacing w:after="0"/>
            </w:pPr>
            <w:r>
              <w:rPr>
                <w:rFonts w:ascii="Arial" w:hAnsi="Arial" w:eastAsia="Arial"/>
                <w:b w:val="0"/>
                <w:color w:val="000000"/>
                <w:sz w:val="24"/>
              </w:rPr>
              <w:t>Imágenes de un grid escaladas distinto</w:t>
            </w:r>
          </w:p>
        </w:tc>
        <w:tc>
          <w:tcPr>
            <w:tcW w:type="dxa" w:w="2746"/>
          </w:tcPr>
          <w:p>
            <w:pPr>
              <w:spacing w:after="0"/>
            </w:pPr>
            <w:r>
              <w:rPr>
                <w:rFonts w:ascii="Arial" w:hAnsi="Arial" w:eastAsia="Arial"/>
                <w:b w:val="0"/>
                <w:color w:val="000000"/>
                <w:sz w:val="24"/>
              </w:rPr>
              <w:t>ui-product-image</w:t>
            </w:r>
          </w:p>
        </w:tc>
        <w:tc>
          <w:tcPr>
            <w:tcW w:type="dxa" w:w="4569"/>
          </w:tcPr>
          <w:p>
            <w:pPr>
              <w:spacing w:after="0"/>
            </w:pPr>
            <w:r>
              <w:rPr>
                <w:rFonts w:ascii="Arial" w:hAnsi="Arial" w:eastAsia="Arial"/>
                <w:b w:val="0"/>
                <w:color w:val="000000"/>
                <w:sz w:val="24"/>
              </w:rPr>
              <w:t xml:space="preserve">Una sola relación de aspecto con </w:t>
            </w:r>
            <w:r>
              <w:rPr>
                <w:rFonts w:ascii="Arial" w:hAnsi="Arial" w:eastAsia="Arial"/>
                <w:b w:val="0"/>
                <w:color w:val="000000"/>
                <w:sz w:val="24"/>
              </w:rPr>
              <w:t>object-fit: contain</w:t>
            </w:r>
            <w:r>
              <w:rPr>
                <w:rFonts w:ascii="Arial" w:hAnsi="Arial" w:eastAsia="Arial"/>
                <w:b w:val="0"/>
                <w:color w:val="000000"/>
                <w:sz w:val="24"/>
              </w:rPr>
              <w:t>, la única forma de dibujar una imagen de producto, con una imagen de reemplazo cuando falta una</w:t>
            </w:r>
          </w:p>
        </w:tc>
      </w:tr>
    </w:tbl>
    <w:p>
      <w:pPr>
        <w:spacing w:before="120"/>
      </w:pPr>
      <w:r>
        <w:rPr>
          <w:rFonts w:ascii="Arial" w:hAnsi="Arial" w:eastAsia="Arial"/>
          <w:b w:val="0"/>
          <w:color w:val="000000"/>
          <w:sz w:val="24"/>
        </w:rPr>
        <w:t>Las specs miden el layout real en Chromium headless a 768 × 1024 y 375 × 812, con nombres de productos y tiendas muy largos, porque jsdom no tiene motor de layout y ahí una verificación de salto de línea pasa con cualquier layout (trampa TR-11 del HANDOFF). Además, un script hace fallar la compilación si alguna plantilla contiene texto literal.</w:t>
      </w:r>
    </w:p>
    <w:p>
      <w:pPr>
        <w:pStyle w:val="Heading3"/>
        <w:keepNext/>
        <w:spacing w:before="160" w:after="80"/>
      </w:pPr>
      <w:r>
        <w:rPr>
          <w:rFonts w:ascii="Arial" w:hAnsi="Arial" w:eastAsia="Arial"/>
          <w:b/>
          <w:color w:val="000000"/>
          <w:sz w:val="24"/>
        </w:rPr>
        <w:t>8.3 El stack completo y el flujo de extremo a extremo</w:t>
      </w:r>
    </w:p>
    <w:p>
      <w:pPr>
        <w:keepNext/>
        <w:spacing w:before="120" w:after="40"/>
        <w:jc w:val="center"/>
      </w:pPr>
      <w:r>
        <w:drawing>
          <wp:inline xmlns:a="http://schemas.openxmlformats.org/drawingml/2006/main" xmlns:pic="http://schemas.openxmlformats.org/drawingml/2006/picture" distT="0" distB="0" distL="0" distR="0">
            <wp:extent cx="6120130" cy="3697579"/>
            <wp:docPr id="4" name="Picture 4"/>
            <wp:cNvGraphicFramePr>
              <a:graphicFrameLocks noChangeAspect="1"/>
            </wp:cNvGraphicFramePr>
            <a:graphic>
              <a:graphicData uri="http://schemas.openxmlformats.org/drawingml/2006/picture">
                <pic:pic>
                  <pic:nvPicPr>
                    <pic:cNvPr id="0" name="01-runtime-topology.png"/>
                    <pic:cNvPicPr/>
                  </pic:nvPicPr>
                  <pic:blipFill>
                    <a:blip r:embed="rId13"/>
                    <a:stretch>
                      <a:fillRect/>
                    </a:stretch>
                  </pic:blipFill>
                  <pic:spPr>
                    <a:xfrm>
                      <a:off x="0" y="0"/>
                      <a:ext cx="6120130" cy="3697579"/>
                    </a:xfrm>
                    <a:prstGeom prst="rect"/>
                  </pic:spPr>
                </pic:pic>
              </a:graphicData>
            </a:graphic>
          </wp:inline>
        </w:drawing>
      </w:r>
    </w:p>
    <w:p>
      <w:pPr>
        <w:spacing w:after="160"/>
        <w:jc w:val="center"/>
      </w:pPr>
      <w:r>
        <w:rPr>
          <w:rFonts w:ascii="Arial" w:hAnsi="Arial" w:eastAsia="Arial"/>
          <w:b/>
          <w:color w:val="000000"/>
          <w:sz w:val="24"/>
        </w:rPr>
        <w:t>Figura 4.</w:t>
      </w:r>
      <w:r>
        <w:rPr>
          <w:rFonts w:ascii="Arial" w:hAnsi="Arial" w:eastAsia="Arial"/>
          <w:b w:val="0"/>
          <w:color w:val="000000"/>
          <w:sz w:val="24"/>
        </w:rPr>
        <w:t xml:space="preserve"> </w:t>
      </w:r>
      <w:r>
        <w:rPr>
          <w:rFonts w:ascii="Arial" w:hAnsi="Arial" w:eastAsia="Arial"/>
          <w:b w:val="0"/>
          <w:color w:val="000000"/>
          <w:sz w:val="24"/>
        </w:rPr>
        <w:t>Topología en ejecución: un servicio, una base de datos, efectos solo a través del outbox</w:t>
      </w:r>
    </w:p>
    <w:p>
      <w:r>
        <w:rPr>
          <w:rFonts w:ascii="Arial" w:hAnsi="Arial" w:eastAsia="Arial"/>
          <w:b w:val="0"/>
          <w:color w:val="000000"/>
          <w:sz w:val="24"/>
        </w:rPr>
        <w:t xml:space="preserve">El nginx del cliente web reenvía </w:t>
      </w:r>
      <w:r>
        <w:rPr>
          <w:rFonts w:ascii="Arial" w:hAnsi="Arial" w:eastAsia="Arial"/>
          <w:b w:val="0"/>
          <w:color w:val="000000"/>
          <w:sz w:val="24"/>
        </w:rPr>
        <w:t>/api/</w:t>
      </w:r>
      <w:r>
        <w:rPr>
          <w:rFonts w:ascii="Arial" w:hAnsi="Arial" w:eastAsia="Arial"/>
          <w:b w:val="0"/>
          <w:color w:val="000000"/>
          <w:sz w:val="24"/>
        </w:rPr>
        <w:t xml:space="preserve"> a la API, así que el navegador ve un solo origen y la API no necesita configuración de CORS. El repositorio </w:t>
      </w:r>
      <w:r>
        <w:rPr>
          <w:rFonts w:ascii="Arial" w:hAnsi="Arial" w:eastAsia="Arial"/>
          <w:b w:val="0"/>
          <w:color w:val="000000"/>
          <w:sz w:val="24"/>
        </w:rPr>
        <w:t>orderflow-engine-infra</w:t>
      </w:r>
      <w:r>
        <w:rPr>
          <w:rFonts w:ascii="Arial" w:hAnsi="Arial" w:eastAsia="Arial"/>
          <w:b w:val="0"/>
          <w:color w:val="000000"/>
          <w:sz w:val="24"/>
        </w:rPr>
        <w:t xml:space="preserve"> levanta PostgreSQL, la API y el cliente web con un solo </w:t>
      </w:r>
      <w:r>
        <w:rPr>
          <w:rFonts w:ascii="Arial" w:hAnsi="Arial" w:eastAsia="Arial"/>
          <w:b w:val="0"/>
          <w:color w:val="000000"/>
          <w:sz w:val="24"/>
        </w:rPr>
        <w:t>docker compose up --build</w:t>
      </w:r>
      <w:r>
        <w:rPr>
          <w:rFonts w:ascii="Arial" w:hAnsi="Arial" w:eastAsia="Arial"/>
          <w:b w:val="0"/>
          <w:color w:val="000000"/>
          <w:sz w:val="24"/>
        </w:rPr>
        <w:t xml:space="preserve">, cada servicio con </w:t>
      </w:r>
      <w:r>
        <w:rPr>
          <w:rFonts w:ascii="Arial" w:hAnsi="Arial" w:eastAsia="Arial"/>
          <w:b w:val="0"/>
          <w:color w:val="000000"/>
          <w:sz w:val="24"/>
        </w:rPr>
        <w:t>restart: unless-stopped</w:t>
      </w:r>
      <w:r>
        <w:rPr>
          <w:rFonts w:ascii="Arial" w:hAnsi="Arial" w:eastAsia="Arial"/>
          <w:b w:val="0"/>
          <w:color w:val="000000"/>
          <w:sz w:val="24"/>
        </w:rPr>
        <w:t xml:space="preserve">. Su </w:t>
      </w:r>
      <w:r>
        <w:rPr>
          <w:rFonts w:ascii="Arial" w:hAnsi="Arial" w:eastAsia="Arial"/>
          <w:b w:val="0"/>
          <w:color w:val="000000"/>
          <w:sz w:val="24"/>
        </w:rPr>
        <w:t>test-all</w:t>
      </w:r>
      <w:r>
        <w:rPr>
          <w:rFonts w:ascii="Arial" w:hAnsi="Arial" w:eastAsia="Arial"/>
          <w:b w:val="0"/>
          <w:color w:val="000000"/>
          <w:sz w:val="24"/>
        </w:rPr>
        <w:t xml:space="preserve"> ejecuta, en orden, la verificación de la API, las specs web en su contenedor, un flujo de extremo a extremo con Playwright contra el stack completo (carrito → cotización → confirmación → pedido → Mis pedidos, en español y en inglés, con su propio proyecto de compose y sus propios puertos), la verificación de documentación y la de integridad.</w:t>
      </w:r>
    </w:p>
    <w:p>
      <w:pPr>
        <w:pStyle w:val="Heading2"/>
        <w:keepNext/>
        <w:spacing w:before="160" w:after="80"/>
      </w:pPr>
      <w:r>
        <w:rPr>
          <w:rFonts w:ascii="Arial" w:hAnsi="Arial" w:eastAsia="Arial"/>
          <w:b/>
          <w:color w:val="000000"/>
          <w:sz w:val="24"/>
        </w:rPr>
        <w:t>9. Países y datos semilla</w:t>
      </w:r>
    </w:p>
    <w:p>
      <w:r>
        <w:rPr>
          <w:rFonts w:ascii="Arial" w:hAnsi="Arial" w:eastAsia="Arial"/>
          <w:b w:val="0"/>
          <w:color w:val="000000"/>
          <w:sz w:val="24"/>
        </w:rPr>
        <w:t xml:space="preserve">Países, monedas, tenants, catálogos, palancas, clientes y cuentas de crédito son datos, escritos como changesets de Liquibase en </w:t>
      </w:r>
      <w:r>
        <w:rPr>
          <w:rFonts w:ascii="Arial" w:hAnsi="Arial" w:eastAsia="Arial"/>
          <w:b w:val="0"/>
          <w:color w:val="000000"/>
          <w:sz w:val="24"/>
        </w:rPr>
        <w:t>orderflow-engine-api/src/main/resources/db/changelog/</w:t>
      </w:r>
      <w:r>
        <w:rPr>
          <w:rFonts w:ascii="Arial" w:hAnsi="Arial" w:eastAsia="Arial"/>
          <w:b w:val="0"/>
          <w:color w:val="000000"/>
          <w:sz w:val="24"/>
        </w:rPr>
        <w:t xml:space="preserve">. Cada changeset tiene un rollback, cada changelog fija un </w:t>
      </w:r>
      <w:r>
        <w:rPr>
          <w:rFonts w:ascii="Arial" w:hAnsi="Arial" w:eastAsia="Arial"/>
          <w:b w:val="0"/>
          <w:color w:val="000000"/>
          <w:sz w:val="24"/>
        </w:rPr>
        <w:t>logicalFilePath</w:t>
      </w:r>
      <w:r>
        <w:rPr>
          <w:rFonts w:ascii="Arial" w:hAnsi="Arial" w:eastAsia="Arial"/>
          <w:b w:val="0"/>
          <w:color w:val="000000"/>
          <w:sz w:val="24"/>
        </w:rPr>
        <w:t xml:space="preserve">, y </w:t>
      </w:r>
      <w:r>
        <w:rPr>
          <w:rFonts w:ascii="Arial" w:hAnsi="Arial" w:eastAsia="Arial"/>
          <w:b w:val="0"/>
          <w:color w:val="000000"/>
          <w:sz w:val="24"/>
        </w:rPr>
        <w:t>LiquibaseRollbackIT</w:t>
      </w:r>
      <w:r>
        <w:rPr>
          <w:rFonts w:ascii="Arial" w:hAnsi="Arial" w:eastAsia="Arial"/>
          <w:b w:val="0"/>
          <w:color w:val="000000"/>
          <w:sz w:val="24"/>
        </w:rPr>
        <w:t xml:space="preserve"> demuestra que todos vuelven a un esquema vacío y se aplican de nuevo. Los datos semilla son de demostración, elegidos para cubrir las dos escalas y las dos políticas tributarias de obsequios; no describen la legislación tributaria real.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5"/>
        <w:gridCol w:w="2182"/>
        <w:gridCol w:w="3676"/>
        <w:gridCol w:w="2266"/>
      </w:tblGrid>
      <w:tr>
        <w:tc>
          <w:tcPr>
            <w:tcW w:type="dxa" w:w="1515"/>
          </w:tcPr>
          <w:p>
            <w:pPr>
              <w:spacing w:after="0"/>
            </w:pPr>
            <w:r>
              <w:rPr>
                <w:rFonts w:ascii="Arial" w:hAnsi="Arial" w:eastAsia="Arial"/>
                <w:b/>
                <w:color w:val="000000"/>
                <w:sz w:val="24"/>
              </w:rPr>
              <w:t>Tenant</w:t>
            </w:r>
          </w:p>
        </w:tc>
        <w:tc>
          <w:tcPr>
            <w:tcW w:type="dxa" w:w="2182"/>
          </w:tcPr>
          <w:p>
            <w:pPr>
              <w:spacing w:after="0"/>
            </w:pPr>
            <w:r>
              <w:rPr>
                <w:rFonts w:ascii="Arial" w:hAnsi="Arial" w:eastAsia="Arial"/>
                <w:b/>
                <w:color w:val="000000"/>
                <w:sz w:val="24"/>
              </w:rPr>
              <w:t>Política del país</w:t>
            </w:r>
          </w:p>
        </w:tc>
        <w:tc>
          <w:tcPr>
            <w:tcW w:type="dxa" w:w="3676"/>
          </w:tcPr>
          <w:p>
            <w:pPr>
              <w:spacing w:after="0"/>
            </w:pPr>
            <w:r>
              <w:rPr>
                <w:rFonts w:ascii="Arial" w:hAnsi="Arial" w:eastAsia="Arial"/>
                <w:b/>
                <w:color w:val="000000"/>
                <w:sz w:val="24"/>
              </w:rPr>
              <w:t>Catálogo y palancas</w:t>
            </w:r>
          </w:p>
        </w:tc>
        <w:tc>
          <w:tcPr>
            <w:tcW w:type="dxa" w:w="2266"/>
          </w:tcPr>
          <w:p>
            <w:pPr>
              <w:spacing w:after="0"/>
            </w:pPr>
            <w:r>
              <w:rPr>
                <w:rFonts w:ascii="Arial" w:hAnsi="Arial" w:eastAsia="Arial"/>
                <w:b/>
                <w:color w:val="000000"/>
                <w:sz w:val="24"/>
              </w:rPr>
              <w:t>Clientes y cupo</w:t>
            </w:r>
          </w:p>
        </w:tc>
      </w:tr>
      <w:tr>
        <w:tc>
          <w:tcPr>
            <w:tcW w:type="dxa" w:w="1515"/>
          </w:tcPr>
          <w:p>
            <w:pPr>
              <w:spacing w:after="0"/>
            </w:pPr>
            <w:r>
              <w:rPr>
                <w:rFonts w:ascii="Arial" w:hAnsi="Arial" w:eastAsia="Arial"/>
                <w:b w:val="0"/>
                <w:color w:val="000000"/>
                <w:sz w:val="24"/>
              </w:rPr>
              <w:t>co-alpha</w:t>
            </w:r>
          </w:p>
        </w:tc>
        <w:tc>
          <w:tcPr>
            <w:tcW w:type="dxa" w:w="2182"/>
          </w:tcPr>
          <w:p>
            <w:pPr>
              <w:spacing w:after="0"/>
            </w:pPr>
            <w:r>
              <w:rPr>
                <w:rFonts w:ascii="Arial" w:hAnsi="Arial" w:eastAsia="Arial"/>
                <w:b w:val="0"/>
                <w:color w:val="000000"/>
                <w:sz w:val="24"/>
              </w:rPr>
              <w:t xml:space="preserve">COP escala 0, </w:t>
            </w:r>
            <w:r>
              <w:rPr>
                <w:rFonts w:ascii="Arial" w:hAnsi="Arial" w:eastAsia="Arial"/>
                <w:b w:val="0"/>
                <w:color w:val="000000"/>
                <w:sz w:val="24"/>
              </w:rPr>
              <w:t>HALF_UP</w:t>
            </w:r>
            <w:r>
              <w:rPr>
                <w:rFonts w:ascii="Arial" w:hAnsi="Arial" w:eastAsia="Arial"/>
                <w:b w:val="0"/>
                <w:color w:val="000000"/>
                <w:sz w:val="24"/>
              </w:rPr>
              <w:t xml:space="preserve">, obsequios </w:t>
            </w:r>
            <w:r>
              <w:rPr>
                <w:rFonts w:ascii="Arial" w:hAnsi="Arial" w:eastAsia="Arial"/>
                <w:b w:val="0"/>
                <w:color w:val="000000"/>
                <w:sz w:val="24"/>
              </w:rPr>
              <w:t>TAXED</w:t>
            </w:r>
            <w:r>
              <w:rPr>
                <w:rFonts w:ascii="Arial" w:hAnsi="Arial" w:eastAsia="Arial"/>
                <w:b w:val="0"/>
                <w:color w:val="000000"/>
                <w:sz w:val="24"/>
              </w:rPr>
              <w:t>, TTL 15 min</w:t>
            </w:r>
          </w:p>
        </w:tc>
        <w:tc>
          <w:tcPr>
            <w:tcW w:type="dxa" w:w="3676"/>
          </w:tcPr>
          <w:p>
            <w:pPr>
              <w:spacing w:after="0"/>
            </w:pPr>
            <w:r>
              <w:rPr>
                <w:rFonts w:ascii="Arial" w:hAnsi="Arial" w:eastAsia="Arial"/>
                <w:b w:val="0"/>
                <w:color w:val="000000"/>
                <w:sz w:val="24"/>
              </w:rPr>
              <w:t>Gaseosas, agua y papas; impuesto del 19% y del 5%. Escala en la gaseosa de 350 ml (10 → 5%, 20 → 10%); combo de 2 gaseosas y 1 papas a 5,000; un agua gratis por cada 10 snacks</w:t>
            </w:r>
          </w:p>
        </w:tc>
        <w:tc>
          <w:tcPr>
            <w:tcW w:type="dxa" w:w="2266"/>
          </w:tcPr>
          <w:p>
            <w:pPr>
              <w:spacing w:after="0"/>
            </w:pPr>
            <w:r>
              <w:rPr>
                <w:rFonts w:ascii="Arial" w:hAnsi="Arial" w:eastAsia="Arial"/>
                <w:b w:val="0"/>
                <w:color w:val="000000"/>
                <w:sz w:val="24"/>
              </w:rPr>
              <w:t>Un cliente con cupo de 500,000 y otro que paga de contado</w:t>
            </w:r>
          </w:p>
        </w:tc>
      </w:tr>
      <w:tr>
        <w:tc>
          <w:tcPr>
            <w:tcW w:type="dxa" w:w="1515"/>
          </w:tcPr>
          <w:p>
            <w:pPr>
              <w:spacing w:after="0"/>
            </w:pPr>
            <w:r>
              <w:rPr>
                <w:rFonts w:ascii="Arial" w:hAnsi="Arial" w:eastAsia="Arial"/>
                <w:b w:val="0"/>
                <w:color w:val="000000"/>
                <w:sz w:val="24"/>
              </w:rPr>
              <w:t>ec-alpha</w:t>
            </w:r>
          </w:p>
        </w:tc>
        <w:tc>
          <w:tcPr>
            <w:tcW w:type="dxa" w:w="2182"/>
          </w:tcPr>
          <w:p>
            <w:pPr>
              <w:spacing w:after="0"/>
            </w:pPr>
            <w:r>
              <w:rPr>
                <w:rFonts w:ascii="Arial" w:hAnsi="Arial" w:eastAsia="Arial"/>
                <w:b w:val="0"/>
                <w:color w:val="000000"/>
                <w:sz w:val="24"/>
              </w:rPr>
              <w:t xml:space="preserve">USD escala 2, </w:t>
            </w:r>
            <w:r>
              <w:rPr>
                <w:rFonts w:ascii="Arial" w:hAnsi="Arial" w:eastAsia="Arial"/>
                <w:b w:val="0"/>
                <w:color w:val="000000"/>
                <w:sz w:val="24"/>
              </w:rPr>
              <w:t>HALF_UP</w:t>
            </w:r>
            <w:r>
              <w:rPr>
                <w:rFonts w:ascii="Arial" w:hAnsi="Arial" w:eastAsia="Arial"/>
                <w:b w:val="0"/>
                <w:color w:val="000000"/>
                <w:sz w:val="24"/>
              </w:rPr>
              <w:t xml:space="preserve">, obsequios </w:t>
            </w:r>
            <w:r>
              <w:rPr>
                <w:rFonts w:ascii="Arial" w:hAnsi="Arial" w:eastAsia="Arial"/>
                <w:b w:val="0"/>
                <w:color w:val="000000"/>
                <w:sz w:val="24"/>
              </w:rPr>
              <w:t>EXEMPT</w:t>
            </w:r>
            <w:r>
              <w:rPr>
                <w:rFonts w:ascii="Arial" w:hAnsi="Arial" w:eastAsia="Arial"/>
                <w:b w:val="0"/>
                <w:color w:val="000000"/>
                <w:sz w:val="24"/>
              </w:rPr>
              <w:t>, TTL 15 min</w:t>
            </w:r>
          </w:p>
        </w:tc>
        <w:tc>
          <w:tcPr>
            <w:tcW w:type="dxa" w:w="3676"/>
          </w:tcPr>
          <w:p>
            <w:pPr>
              <w:spacing w:after="0"/>
            </w:pPr>
            <w:r>
              <w:rPr>
                <w:rFonts w:ascii="Arial" w:hAnsi="Arial" w:eastAsia="Arial"/>
                <w:b w:val="0"/>
                <w:color w:val="000000"/>
                <w:sz w:val="24"/>
              </w:rPr>
              <w:t>Impuesto del 15%; escala por familia en gaseosas (12 → 4%, 24 → 8%); un combo a 3.99; un obsequio desde un subtotal bruto de 50.00</w:t>
            </w:r>
          </w:p>
        </w:tc>
        <w:tc>
          <w:tcPr>
            <w:tcW w:type="dxa" w:w="2266"/>
          </w:tcPr>
          <w:p>
            <w:pPr>
              <w:spacing w:after="0"/>
            </w:pPr>
            <w:r>
              <w:rPr>
                <w:rFonts w:ascii="Arial" w:hAnsi="Arial" w:eastAsia="Arial"/>
                <w:b w:val="0"/>
                <w:color w:val="000000"/>
                <w:sz w:val="24"/>
              </w:rPr>
              <w:t>Una cuenta de crédito con cupo de 1,500.00</w:t>
            </w:r>
          </w:p>
        </w:tc>
      </w:tr>
      <w:tr>
        <w:tc>
          <w:tcPr>
            <w:tcW w:type="dxa" w:w="1515"/>
          </w:tcPr>
          <w:p>
            <w:pPr>
              <w:spacing w:after="0"/>
            </w:pPr>
            <w:r>
              <w:rPr>
                <w:rFonts w:ascii="Arial" w:hAnsi="Arial" w:eastAsia="Arial"/>
                <w:b w:val="0"/>
                <w:color w:val="000000"/>
                <w:sz w:val="24"/>
              </w:rPr>
              <w:t>gt-alpha</w:t>
            </w:r>
          </w:p>
        </w:tc>
        <w:tc>
          <w:tcPr>
            <w:tcW w:type="dxa" w:w="2182"/>
          </w:tcPr>
          <w:p>
            <w:pPr>
              <w:spacing w:after="0"/>
            </w:pPr>
            <w:r>
              <w:rPr>
                <w:rFonts w:ascii="Arial" w:hAnsi="Arial" w:eastAsia="Arial"/>
                <w:b w:val="0"/>
                <w:color w:val="000000"/>
                <w:sz w:val="24"/>
              </w:rPr>
              <w:t xml:space="preserve">GTQ escala 2, </w:t>
            </w:r>
            <w:r>
              <w:rPr>
                <w:rFonts w:ascii="Arial" w:hAnsi="Arial" w:eastAsia="Arial"/>
                <w:b w:val="0"/>
                <w:color w:val="000000"/>
                <w:sz w:val="24"/>
              </w:rPr>
              <w:t>HALF_UP</w:t>
            </w:r>
            <w:r>
              <w:rPr>
                <w:rFonts w:ascii="Arial" w:hAnsi="Arial" w:eastAsia="Arial"/>
                <w:b w:val="0"/>
                <w:color w:val="000000"/>
                <w:sz w:val="24"/>
              </w:rPr>
              <w:t xml:space="preserve">, obsequios </w:t>
            </w:r>
            <w:r>
              <w:rPr>
                <w:rFonts w:ascii="Arial" w:hAnsi="Arial" w:eastAsia="Arial"/>
                <w:b w:val="0"/>
                <w:color w:val="000000"/>
                <w:sz w:val="24"/>
              </w:rPr>
              <w:t>EXEMPT</w:t>
            </w:r>
            <w:r>
              <w:rPr>
                <w:rFonts w:ascii="Arial" w:hAnsi="Arial" w:eastAsia="Arial"/>
                <w:b w:val="0"/>
                <w:color w:val="000000"/>
                <w:sz w:val="24"/>
              </w:rPr>
              <w:t>, TTL 15 min</w:t>
            </w:r>
          </w:p>
        </w:tc>
        <w:tc>
          <w:tcPr>
            <w:tcW w:type="dxa" w:w="3676"/>
          </w:tcPr>
          <w:p>
            <w:pPr>
              <w:spacing w:after="0"/>
            </w:pPr>
            <w:r>
              <w:rPr>
                <w:rFonts w:ascii="Arial" w:hAnsi="Arial" w:eastAsia="Arial"/>
                <w:b w:val="0"/>
                <w:color w:val="000000"/>
                <w:sz w:val="24"/>
              </w:rPr>
              <w:t>Impuesto del 12%; escala en la gaseosa de 350 ml (12 → 5%, 24 → 10%); un agua gratis por cada 12 gaseosas</w:t>
            </w:r>
          </w:p>
        </w:tc>
        <w:tc>
          <w:tcPr>
            <w:tcW w:type="dxa" w:w="2266"/>
          </w:tcPr>
          <w:p>
            <w:pPr>
              <w:spacing w:after="0"/>
            </w:pPr>
            <w:r>
              <w:rPr>
                <w:rFonts w:ascii="Arial" w:hAnsi="Arial" w:eastAsia="Arial"/>
                <w:b w:val="0"/>
                <w:color w:val="000000"/>
                <w:sz w:val="24"/>
              </w:rPr>
              <w:t>Un cupo de 5,000.00 y una tienda que paga de contado</w:t>
            </w:r>
          </w:p>
        </w:tc>
      </w:tr>
      <w:tr>
        <w:tc>
          <w:tcPr>
            <w:tcW w:type="dxa" w:w="1515"/>
          </w:tcPr>
          <w:p>
            <w:pPr>
              <w:spacing w:after="0"/>
            </w:pPr>
            <w:r>
              <w:rPr>
                <w:rFonts w:ascii="Arial" w:hAnsi="Arial" w:eastAsia="Arial"/>
                <w:b w:val="0"/>
                <w:color w:val="000000"/>
                <w:sz w:val="24"/>
              </w:rPr>
              <w:t>pe-alpha</w:t>
            </w:r>
          </w:p>
        </w:tc>
        <w:tc>
          <w:tcPr>
            <w:tcW w:type="dxa" w:w="2182"/>
          </w:tcPr>
          <w:p>
            <w:pPr>
              <w:spacing w:after="0"/>
            </w:pPr>
            <w:r>
              <w:rPr>
                <w:rFonts w:ascii="Arial" w:hAnsi="Arial" w:eastAsia="Arial"/>
                <w:b w:val="0"/>
                <w:color w:val="000000"/>
                <w:sz w:val="24"/>
              </w:rPr>
              <w:t xml:space="preserve">PEN escala 2, </w:t>
            </w:r>
            <w:r>
              <w:rPr>
                <w:rFonts w:ascii="Arial" w:hAnsi="Arial" w:eastAsia="Arial"/>
                <w:b w:val="0"/>
                <w:color w:val="000000"/>
                <w:sz w:val="24"/>
              </w:rPr>
              <w:t>HALF_UP</w:t>
            </w:r>
            <w:r>
              <w:rPr>
                <w:rFonts w:ascii="Arial" w:hAnsi="Arial" w:eastAsia="Arial"/>
                <w:b w:val="0"/>
                <w:color w:val="000000"/>
                <w:sz w:val="24"/>
              </w:rPr>
              <w:t xml:space="preserve">, obsequios </w:t>
            </w:r>
            <w:r>
              <w:rPr>
                <w:rFonts w:ascii="Arial" w:hAnsi="Arial" w:eastAsia="Arial"/>
                <w:b w:val="0"/>
                <w:color w:val="000000"/>
                <w:sz w:val="24"/>
              </w:rPr>
              <w:t>TAXED</w:t>
            </w:r>
            <w:r>
              <w:rPr>
                <w:rFonts w:ascii="Arial" w:hAnsi="Arial" w:eastAsia="Arial"/>
                <w:b w:val="0"/>
                <w:color w:val="000000"/>
                <w:sz w:val="24"/>
              </w:rPr>
              <w:t>, TTL 15 min</w:t>
            </w:r>
          </w:p>
        </w:tc>
        <w:tc>
          <w:tcPr>
            <w:tcW w:type="dxa" w:w="3676"/>
          </w:tcPr>
          <w:p>
            <w:pPr>
              <w:spacing w:after="0"/>
            </w:pPr>
            <w:r>
              <w:rPr>
                <w:rFonts w:ascii="Arial" w:hAnsi="Arial" w:eastAsia="Arial"/>
                <w:b w:val="0"/>
                <w:color w:val="000000"/>
                <w:sz w:val="24"/>
              </w:rPr>
              <w:t>Impuesto del 18%; combo de 2 gaseosas y 1 papas a 6.00; un agua gratis desde un subtotal bruto de 100.00</w:t>
            </w:r>
          </w:p>
        </w:tc>
        <w:tc>
          <w:tcPr>
            <w:tcW w:type="dxa" w:w="2266"/>
          </w:tcPr>
          <w:p>
            <w:pPr>
              <w:spacing w:after="0"/>
            </w:pPr>
            <w:r>
              <w:rPr>
                <w:rFonts w:ascii="Arial" w:hAnsi="Arial" w:eastAsia="Arial"/>
                <w:b w:val="0"/>
                <w:color w:val="000000"/>
                <w:sz w:val="24"/>
              </w:rPr>
              <w:t>Un cupo de 2,000.00 y una tienda que paga de contado</w:t>
            </w:r>
          </w:p>
        </w:tc>
      </w:tr>
    </w:tbl>
    <w:p>
      <w:pPr>
        <w:spacing w:before="120"/>
      </w:pPr>
      <w:r>
        <w:rPr>
          <w:rFonts w:ascii="Arial" w:hAnsi="Arial" w:eastAsia="Arial"/>
          <w:b w:val="0"/>
          <w:color w:val="000000"/>
          <w:sz w:val="24"/>
        </w:rPr>
        <w:t xml:space="preserve">Los datos semilla crecieron en tres changelogs. </w:t>
      </w:r>
      <w:r>
        <w:rPr>
          <w:rFonts w:ascii="Arial" w:hAnsi="Arial" w:eastAsia="Arial"/>
          <w:b w:val="0"/>
          <w:color w:val="000000"/>
          <w:sz w:val="24"/>
        </w:rPr>
        <w:t>2026-10-15-006-seed-co-and-ec.yaml</w:t>
      </w:r>
      <w:r>
        <w:rPr>
          <w:rFonts w:ascii="Arial" w:hAnsi="Arial" w:eastAsia="Arial"/>
          <w:b w:val="0"/>
          <w:color w:val="000000"/>
          <w:sz w:val="24"/>
        </w:rPr>
        <w:t xml:space="preserve"> sembró Colombia y Ecuador en T-08. </w:t>
      </w:r>
      <w:r>
        <w:rPr>
          <w:rFonts w:ascii="Arial" w:hAnsi="Arial" w:eastAsia="Arial"/>
          <w:b w:val="0"/>
          <w:color w:val="000000"/>
          <w:sz w:val="24"/>
        </w:rPr>
        <w:t>2026-10-16-001-seed-names-in-spanish.yaml</w:t>
      </w:r>
      <w:r>
        <w:rPr>
          <w:rFonts w:ascii="Arial" w:hAnsi="Arial" w:eastAsia="Arial"/>
          <w:b w:val="0"/>
          <w:color w:val="000000"/>
          <w:sz w:val="24"/>
        </w:rPr>
        <w:t xml:space="preserve"> renombró productos y clientes al idioma de los tenants en T-19, porque un changeset ya aplicado nunca se edita. </w:t>
      </w:r>
      <w:r>
        <w:rPr>
          <w:rFonts w:ascii="Arial" w:hAnsi="Arial" w:eastAsia="Arial"/>
          <w:b w:val="0"/>
          <w:color w:val="000000"/>
          <w:sz w:val="24"/>
        </w:rPr>
        <w:t>2026-10-16-002-seed-gt-and-pe.yaml</w:t>
      </w:r>
      <w:r>
        <w:rPr>
          <w:rFonts w:ascii="Arial" w:hAnsi="Arial" w:eastAsia="Arial"/>
          <w:b w:val="0"/>
          <w:color w:val="000000"/>
          <w:sz w:val="24"/>
        </w:rPr>
        <w:t xml:space="preserve"> agregó Guatemala y Perú en T-20 sin tocar Java, lo que en sí mismo demuestra que ninguna moneda, escala, tasa o regla está quemada en el código (P-07). </w:t>
      </w:r>
      <w:r>
        <w:rPr>
          <w:rFonts w:ascii="Arial" w:hAnsi="Arial" w:eastAsia="Arial"/>
          <w:b w:val="0"/>
          <w:color w:val="000000"/>
          <w:sz w:val="24"/>
        </w:rPr>
        <w:t>ProductContractIT</w:t>
      </w:r>
      <w:r>
        <w:rPr>
          <w:rFonts w:ascii="Arial" w:hAnsi="Arial" w:eastAsia="Arial"/>
          <w:b w:val="0"/>
          <w:color w:val="000000"/>
          <w:sz w:val="24"/>
        </w:rPr>
        <w:t xml:space="preserve"> lista GTQ y PEN con escala 2, y </w:t>
      </w:r>
      <w:r>
        <w:rPr>
          <w:rFonts w:ascii="Arial" w:hAnsi="Arial" w:eastAsia="Arial"/>
          <w:b w:val="0"/>
          <w:color w:val="000000"/>
          <w:sz w:val="24"/>
        </w:rPr>
        <w:t>QuoteLeversIT</w:t>
      </w:r>
      <w:r>
        <w:rPr>
          <w:rFonts w:ascii="Arial" w:hAnsi="Arial" w:eastAsia="Arial"/>
          <w:b w:val="0"/>
          <w:color w:val="000000"/>
          <w:sz w:val="24"/>
        </w:rPr>
        <w:t xml:space="preserve"> cotiza un carrito de Guatemala (escala y obsequio sin impuesto) y uno de Perú (combo y obsequio gravado) cuyos totales se calcularon a mano. Los números de pedido salen de una secuencia por país, como </w:t>
      </w:r>
      <w:r>
        <w:rPr>
          <w:rFonts w:ascii="Arial" w:hAnsi="Arial" w:eastAsia="Arial"/>
          <w:b w:val="0"/>
          <w:color w:val="000000"/>
          <w:sz w:val="24"/>
        </w:rPr>
        <w:t>CO-000042</w:t>
      </w:r>
      <w:r>
        <w:rPr>
          <w:rFonts w:ascii="Arial" w:hAnsi="Arial" w:eastAsia="Arial"/>
          <w:b w:val="0"/>
          <w:color w:val="000000"/>
          <w:sz w:val="24"/>
        </w:rPr>
        <w:t>. El selector de tienda web lista las ocho tiendas sembradas, dos por tenant.</w:t>
      </w:r>
    </w:p>
    <w:p>
      <w:r>
        <w:rPr>
          <w:rFonts w:ascii="Arial" w:hAnsi="Arial" w:eastAsia="Arial"/>
          <w:b w:val="0"/>
          <w:color w:val="000000"/>
          <w:sz w:val="24"/>
        </w:rPr>
        <w:t>La administración del catálogo queda fuera del alcance por diseño (SPEC §1): una tienda, un producto o una palanca nuevos son un changeset nuevo.</w:t>
      </w:r>
    </w:p>
    <w:p>
      <w:pPr>
        <w:pStyle w:val="Heading2"/>
        <w:keepNext/>
        <w:spacing w:before="160" w:after="80"/>
      </w:pPr>
      <w:r>
        <w:rPr>
          <w:rFonts w:ascii="Arial" w:hAnsi="Arial" w:eastAsia="Arial"/>
          <w:b/>
          <w:color w:val="000000"/>
          <w:sz w:val="24"/>
        </w:rPr>
        <w:t>10. Cómo se demostró la calidad</w:t>
      </w:r>
    </w:p>
    <w:p>
      <w:r>
        <w:rPr>
          <w:rFonts w:ascii="Arial" w:hAnsi="Arial" w:eastAsia="Arial"/>
          <w:b w:val="0"/>
          <w:color w:val="000000"/>
          <w:sz w:val="24"/>
        </w:rPr>
        <w:t xml:space="preserve">Cada tarea se construye con el mismo ciclo (TASKS, "Task cycle"): escribir la prueba que falla y verla fallar por la razón esperada; implementar lo mínimo para que pase; </w:t>
      </w:r>
      <w:r>
        <w:rPr>
          <w:rFonts w:ascii="Arial" w:hAnsi="Arial" w:eastAsia="Arial"/>
          <w:b/>
          <w:color w:val="000000"/>
          <w:sz w:val="24"/>
        </w:rPr>
        <w:t>demostrar que la prueba muerde</w:t>
      </w:r>
      <w:r>
        <w:rPr>
          <w:rFonts w:ascii="Arial" w:hAnsi="Arial" w:eastAsia="Arial"/>
          <w:b w:val="0"/>
          <w:color w:val="000000"/>
          <w:sz w:val="24"/>
        </w:rPr>
        <w:t xml:space="preserve">, rompiendo una vez la protección (invertir una regla, quitar un bloqueo, saltarse un redondeo) y viendo fallar la prueba; correr la verificación completa; y abrir el pull request con la salida de la verificación. Ejemplos registrados de una protección rota a propósito: cada regla de pureza del dominio falló con una clase de prueba, el umbral de JaCoCo falló con una clase sin cubrir (HANDOFF al cierre del andamiaje), y una spec web que fallaba hizo fallar también </w:t>
      </w:r>
      <w:r>
        <w:rPr>
          <w:rFonts w:ascii="Arial" w:hAnsi="Arial" w:eastAsia="Arial"/>
          <w:b w:val="0"/>
          <w:color w:val="000000"/>
          <w:sz w:val="24"/>
        </w:rPr>
        <w:t>test-all</w:t>
      </w:r>
      <w:r>
        <w:rPr>
          <w:rFonts w:ascii="Arial" w:hAnsi="Arial" w:eastAsia="Arial"/>
          <w:b w:val="0"/>
          <w:color w:val="000000"/>
          <w:sz w:val="24"/>
        </w:rPr>
        <w:t xml:space="preserve"> en PowerShell (el pull request que sumó el cliente web al stack completo).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80"/>
        <w:gridCol w:w="3926"/>
        <w:gridCol w:w="3533"/>
      </w:tblGrid>
      <w:tr>
        <w:tc>
          <w:tcPr>
            <w:tcW w:type="dxa" w:w="2180"/>
          </w:tcPr>
          <w:p>
            <w:pPr>
              <w:spacing w:after="0"/>
            </w:pPr>
            <w:r>
              <w:rPr>
                <w:rFonts w:ascii="Arial" w:hAnsi="Arial" w:eastAsia="Arial"/>
                <w:b/>
                <w:color w:val="000000"/>
                <w:sz w:val="24"/>
              </w:rPr>
              <w:t>Práctica</w:t>
            </w:r>
          </w:p>
        </w:tc>
        <w:tc>
          <w:tcPr>
            <w:tcW w:type="dxa" w:w="3926"/>
          </w:tcPr>
          <w:p>
            <w:pPr>
              <w:spacing w:after="0"/>
            </w:pPr>
            <w:r>
              <w:rPr>
                <w:rFonts w:ascii="Arial" w:hAnsi="Arial" w:eastAsia="Arial"/>
                <w:b/>
                <w:color w:val="000000"/>
                <w:sz w:val="24"/>
              </w:rPr>
              <w:t>Cómo se aplicó</w:t>
            </w:r>
          </w:p>
        </w:tc>
        <w:tc>
          <w:tcPr>
            <w:tcW w:type="dxa" w:w="3533"/>
          </w:tcPr>
          <w:p>
            <w:pPr>
              <w:spacing w:after="0"/>
            </w:pPr>
            <w:r>
              <w:rPr>
                <w:rFonts w:ascii="Arial" w:hAnsi="Arial" w:eastAsia="Arial"/>
                <w:b/>
                <w:color w:val="000000"/>
                <w:sz w:val="24"/>
              </w:rPr>
              <w:t>Evidencia (HANDOFF §3)</w:t>
            </w:r>
          </w:p>
        </w:tc>
      </w:tr>
      <w:tr>
        <w:tc>
          <w:tcPr>
            <w:tcW w:type="dxa" w:w="2180"/>
          </w:tcPr>
          <w:p>
            <w:pPr>
              <w:spacing w:after="0"/>
            </w:pPr>
            <w:r>
              <w:rPr>
                <w:rFonts w:ascii="Arial" w:hAnsi="Arial" w:eastAsia="Arial"/>
                <w:b w:val="0"/>
                <w:color w:val="000000"/>
                <w:sz w:val="24"/>
              </w:rPr>
              <w:t>Pruebas unitarias y golden tests</w:t>
            </w:r>
          </w:p>
        </w:tc>
        <w:tc>
          <w:tcPr>
            <w:tcW w:type="dxa" w:w="3926"/>
          </w:tcPr>
          <w:p>
            <w:pPr>
              <w:spacing w:after="0"/>
            </w:pPr>
            <w:r>
              <w:rPr>
                <w:rFonts w:ascii="Arial" w:hAnsi="Arial" w:eastAsia="Arial"/>
                <w:b w:val="0"/>
                <w:color w:val="000000"/>
                <w:sz w:val="24"/>
              </w:rPr>
              <w:t>JUnit 5 y AssertJ; fixtures JSON para desgloses completos con reloj fijo e ids fijos</w:t>
            </w:r>
          </w:p>
        </w:tc>
        <w:tc>
          <w:tcPr>
            <w:tcW w:type="dxa" w:w="3533"/>
          </w:tcPr>
          <w:p>
            <w:pPr>
              <w:spacing w:after="0"/>
            </w:pPr>
            <w:r>
              <w:rPr>
                <w:rFonts w:ascii="Arial" w:hAnsi="Arial" w:eastAsia="Arial"/>
                <w:b w:val="0"/>
                <w:color w:val="000000"/>
                <w:sz w:val="24"/>
              </w:rPr>
              <w:t>333 pruebas unitarias en verde, entre ellas los seis golden tests</w:t>
            </w:r>
          </w:p>
        </w:tc>
      </w:tr>
      <w:tr>
        <w:tc>
          <w:tcPr>
            <w:tcW w:type="dxa" w:w="2180"/>
          </w:tcPr>
          <w:p>
            <w:pPr>
              <w:spacing w:after="0"/>
            </w:pPr>
            <w:r>
              <w:rPr>
                <w:rFonts w:ascii="Arial" w:hAnsi="Arial" w:eastAsia="Arial"/>
                <w:b w:val="0"/>
                <w:color w:val="000000"/>
                <w:sz w:val="24"/>
              </w:rPr>
              <w:t>Integración sobre una base de datos real</w:t>
            </w:r>
          </w:p>
        </w:tc>
        <w:tc>
          <w:tcPr>
            <w:tcW w:type="dxa" w:w="3926"/>
          </w:tcPr>
          <w:p>
            <w:pPr>
              <w:spacing w:after="0"/>
            </w:pPr>
            <w:r>
              <w:rPr>
                <w:rFonts w:ascii="Arial" w:hAnsi="Arial" w:eastAsia="Arial"/>
                <w:b w:val="0"/>
                <w:color w:val="000000"/>
                <w:sz w:val="24"/>
              </w:rPr>
              <w:t>Testcontainers con PostgreSQL 17, nunca H2</w:t>
            </w:r>
          </w:p>
        </w:tc>
        <w:tc>
          <w:tcPr>
            <w:tcW w:type="dxa" w:w="3533"/>
          </w:tcPr>
          <w:p>
            <w:pPr>
              <w:spacing w:after="0"/>
            </w:pPr>
            <w:r>
              <w:rPr>
                <w:rFonts w:ascii="Arial" w:hAnsi="Arial" w:eastAsia="Arial"/>
                <w:b w:val="0"/>
                <w:color w:val="000000"/>
                <w:sz w:val="24"/>
              </w:rPr>
              <w:t>308 pruebas de integración en verde</w:t>
            </w:r>
          </w:p>
        </w:tc>
      </w:tr>
      <w:tr>
        <w:tc>
          <w:tcPr>
            <w:tcW w:type="dxa" w:w="2180"/>
          </w:tcPr>
          <w:p>
            <w:pPr>
              <w:spacing w:after="0"/>
            </w:pPr>
            <w:r>
              <w:rPr>
                <w:rFonts w:ascii="Arial" w:hAnsi="Arial" w:eastAsia="Arial"/>
                <w:b w:val="0"/>
                <w:color w:val="000000"/>
                <w:sz w:val="24"/>
              </w:rPr>
              <w:t>Concurrencia e inyección de fallas</w:t>
            </w:r>
          </w:p>
        </w:tc>
        <w:tc>
          <w:tcPr>
            <w:tcW w:type="dxa" w:w="3926"/>
          </w:tcPr>
          <w:p>
            <w:pPr>
              <w:spacing w:after="0"/>
            </w:pPr>
            <w:r>
              <w:rPr>
                <w:rFonts w:ascii="Arial" w:hAnsi="Arial" w:eastAsia="Arial"/>
                <w:b w:val="0"/>
                <w:color w:val="000000"/>
                <w:sz w:val="24"/>
              </w:rPr>
              <w:t>Solicitudes concurrentes con una clave, una fila de crédito retenida, triggers que hacen fallar una escritura, un trigger diferido que hace fallar el commit, un filtro que pierde la respuesta después del commit</w:t>
            </w:r>
          </w:p>
        </w:tc>
        <w:tc>
          <w:tcPr>
            <w:tcW w:type="dxa" w:w="3533"/>
          </w:tcPr>
          <w:p>
            <w:pPr>
              <w:spacing w:after="0"/>
            </w:pPr>
            <w:r>
              <w:rPr>
                <w:rFonts w:ascii="Arial" w:hAnsi="Arial" w:eastAsia="Arial"/>
                <w:b w:val="0"/>
                <w:color w:val="000000"/>
                <w:sz w:val="24"/>
              </w:rPr>
              <w:t>ConfirmOrderConcurrencyIT</w:t>
            </w:r>
            <w:r>
              <w:rPr>
                <w:rFonts w:ascii="Arial" w:hAnsi="Arial" w:eastAsia="Arial"/>
                <w:b w:val="0"/>
                <w:color w:val="000000"/>
                <w:sz w:val="24"/>
              </w:rPr>
              <w:t xml:space="preserve">, </w:t>
            </w:r>
            <w:r>
              <w:rPr>
                <w:rFonts w:ascii="Arial" w:hAnsi="Arial" w:eastAsia="Arial"/>
                <w:b w:val="0"/>
                <w:color w:val="000000"/>
                <w:sz w:val="24"/>
              </w:rPr>
              <w:t>ConfirmOrderFailureInjectionIT</w:t>
            </w:r>
            <w:r>
              <w:rPr>
                <w:rFonts w:ascii="Arial" w:hAnsi="Arial" w:eastAsia="Arial"/>
                <w:b w:val="0"/>
                <w:color w:val="000000"/>
                <w:sz w:val="24"/>
              </w:rPr>
              <w:t xml:space="preserve">, </w:t>
            </w:r>
            <w:r>
              <w:rPr>
                <w:rFonts w:ascii="Arial" w:hAnsi="Arial" w:eastAsia="Arial"/>
                <w:b w:val="0"/>
                <w:color w:val="000000"/>
                <w:sz w:val="24"/>
              </w:rPr>
              <w:t>ConfirmOrderCommitOrderingIT</w:t>
            </w:r>
          </w:p>
        </w:tc>
      </w:tr>
      <w:tr>
        <w:tc>
          <w:tcPr>
            <w:tcW w:type="dxa" w:w="2180"/>
          </w:tcPr>
          <w:p>
            <w:pPr>
              <w:spacing w:after="0"/>
            </w:pPr>
            <w:r>
              <w:rPr>
                <w:rFonts w:ascii="Arial" w:hAnsi="Arial" w:eastAsia="Arial"/>
                <w:b w:val="0"/>
                <w:color w:val="000000"/>
                <w:sz w:val="24"/>
              </w:rPr>
              <w:t>Cobertura</w:t>
            </w:r>
          </w:p>
        </w:tc>
        <w:tc>
          <w:tcPr>
            <w:tcW w:type="dxa" w:w="3926"/>
          </w:tcPr>
          <w:p>
            <w:pPr>
              <w:spacing w:after="0"/>
            </w:pPr>
            <w:r>
              <w:rPr>
                <w:rFonts w:ascii="Arial" w:hAnsi="Arial" w:eastAsia="Arial"/>
                <w:b w:val="0"/>
                <w:color w:val="000000"/>
                <w:sz w:val="24"/>
              </w:rPr>
              <w:t xml:space="preserve">Umbral de JaCoCo de al menos 90% de líneas y ramas en </w:t>
            </w:r>
            <w:r>
              <w:rPr>
                <w:rFonts w:ascii="Arial" w:hAnsi="Arial" w:eastAsia="Arial"/>
                <w:b w:val="0"/>
                <w:color w:val="000000"/>
                <w:sz w:val="24"/>
              </w:rPr>
              <w:t>pricing</w:t>
            </w:r>
            <w:r>
              <w:rPr>
                <w:rFonts w:ascii="Arial" w:hAnsi="Arial" w:eastAsia="Arial"/>
                <w:b w:val="0"/>
                <w:color w:val="000000"/>
                <w:sz w:val="24"/>
              </w:rPr>
              <w:t xml:space="preserve">, que hace fallar </w:t>
            </w:r>
            <w:r>
              <w:rPr>
                <w:rFonts w:ascii="Arial" w:hAnsi="Arial" w:eastAsia="Arial"/>
                <w:b w:val="0"/>
                <w:color w:val="000000"/>
                <w:sz w:val="24"/>
              </w:rPr>
              <w:t>./mvnw verify</w:t>
            </w:r>
          </w:p>
        </w:tc>
        <w:tc>
          <w:tcPr>
            <w:tcW w:type="dxa" w:w="3533"/>
          </w:tcPr>
          <w:p>
            <w:pPr>
              <w:spacing w:after="0"/>
            </w:pPr>
            <w:r>
              <w:rPr>
                <w:rFonts w:ascii="Arial" w:hAnsi="Arial" w:eastAsia="Arial"/>
                <w:b w:val="0"/>
                <w:color w:val="000000"/>
                <w:sz w:val="24"/>
              </w:rPr>
              <w:t xml:space="preserve">100% de líneas y ramas en </w:t>
            </w:r>
            <w:r>
              <w:rPr>
                <w:rFonts w:ascii="Arial" w:hAnsi="Arial" w:eastAsia="Arial"/>
                <w:b w:val="0"/>
                <w:color w:val="000000"/>
                <w:sz w:val="24"/>
              </w:rPr>
              <w:t>pricing.domain</w:t>
            </w:r>
            <w:r>
              <w:rPr>
                <w:rFonts w:ascii="Arial" w:hAnsi="Arial" w:eastAsia="Arial"/>
                <w:b w:val="0"/>
                <w:color w:val="000000"/>
                <w:sz w:val="24"/>
              </w:rPr>
              <w:t xml:space="preserve"> y </w:t>
            </w:r>
            <w:r>
              <w:rPr>
                <w:rFonts w:ascii="Arial" w:hAnsi="Arial" w:eastAsia="Arial"/>
                <w:b w:val="0"/>
                <w:color w:val="000000"/>
                <w:sz w:val="24"/>
              </w:rPr>
              <w:t>pricing.domain.lever</w:t>
            </w:r>
            <w:r>
              <w:rPr>
                <w:rFonts w:ascii="Arial" w:hAnsi="Arial" w:eastAsia="Arial"/>
                <w:b w:val="0"/>
                <w:color w:val="000000"/>
                <w:sz w:val="24"/>
              </w:rPr>
              <w:t>; 99.2% de líneas y 98.0% de ramas en todo el servicio</w:t>
            </w:r>
          </w:p>
        </w:tc>
      </w:tr>
      <w:tr>
        <w:tc>
          <w:tcPr>
            <w:tcW w:type="dxa" w:w="2180"/>
          </w:tcPr>
          <w:p>
            <w:pPr>
              <w:spacing w:after="0"/>
            </w:pPr>
            <w:r>
              <w:rPr>
                <w:rFonts w:ascii="Arial" w:hAnsi="Arial" w:eastAsia="Arial"/>
                <w:b w:val="0"/>
                <w:color w:val="000000"/>
                <w:sz w:val="24"/>
              </w:rPr>
              <w:t>Pruebas de mutación</w:t>
            </w:r>
          </w:p>
        </w:tc>
        <w:tc>
          <w:tcPr>
            <w:tcW w:type="dxa" w:w="3926"/>
          </w:tcPr>
          <w:p>
            <w:pPr>
              <w:spacing w:after="0"/>
            </w:pPr>
            <w:r>
              <w:rPr>
                <w:rFonts w:ascii="Arial" w:hAnsi="Arial" w:eastAsia="Arial"/>
                <w:b w:val="0"/>
                <w:color w:val="000000"/>
                <w:sz w:val="24"/>
              </w:rPr>
              <w:t xml:space="preserve">PIT en el perfil opcional </w:t>
            </w:r>
            <w:r>
              <w:rPr>
                <w:rFonts w:ascii="Arial" w:hAnsi="Arial" w:eastAsia="Arial"/>
                <w:b w:val="0"/>
                <w:color w:val="000000"/>
                <w:sz w:val="24"/>
              </w:rPr>
              <w:t>./mvnw -Pmutation verify</w:t>
            </w:r>
            <w:r>
              <w:rPr>
                <w:rFonts w:ascii="Arial" w:hAnsi="Arial" w:eastAsia="Arial"/>
                <w:b w:val="0"/>
                <w:color w:val="000000"/>
                <w:sz w:val="24"/>
              </w:rPr>
              <w:t>, umbral de 80%</w:t>
            </w:r>
          </w:p>
        </w:tc>
        <w:tc>
          <w:tcPr>
            <w:tcW w:type="dxa" w:w="3533"/>
          </w:tcPr>
          <w:p>
            <w:pPr>
              <w:spacing w:after="0"/>
            </w:pPr>
            <w:r>
              <w:rPr>
                <w:rFonts w:ascii="Arial" w:hAnsi="Arial" w:eastAsia="Arial"/>
                <w:b w:val="0"/>
                <w:color w:val="000000"/>
                <w:sz w:val="24"/>
              </w:rPr>
              <w:t>185 de 185 mutaciones detectadas (100%)</w:t>
            </w:r>
          </w:p>
        </w:tc>
      </w:tr>
      <w:tr>
        <w:tc>
          <w:tcPr>
            <w:tcW w:type="dxa" w:w="2180"/>
          </w:tcPr>
          <w:p>
            <w:pPr>
              <w:spacing w:after="0"/>
            </w:pPr>
            <w:r>
              <w:rPr>
                <w:rFonts w:ascii="Arial" w:hAnsi="Arial" w:eastAsia="Arial"/>
                <w:b w:val="0"/>
                <w:color w:val="000000"/>
                <w:sz w:val="24"/>
              </w:rPr>
              <w:t>Reglas de arquitectura</w:t>
            </w:r>
          </w:p>
        </w:tc>
        <w:tc>
          <w:tcPr>
            <w:tcW w:type="dxa" w:w="3926"/>
          </w:tcPr>
          <w:p>
            <w:pPr>
              <w:spacing w:after="0"/>
            </w:pPr>
            <w:r>
              <w:rPr>
                <w:rFonts w:ascii="Arial" w:hAnsi="Arial" w:eastAsia="Arial"/>
                <w:b w:val="0"/>
                <w:color w:val="000000"/>
                <w:sz w:val="24"/>
              </w:rPr>
              <w:t xml:space="preserve">ArchUnit: dominio puro, ni </w:t>
            </w:r>
            <w:r>
              <w:rPr>
                <w:rFonts w:ascii="Arial" w:hAnsi="Arial" w:eastAsia="Arial"/>
                <w:b w:val="0"/>
                <w:color w:val="000000"/>
                <w:sz w:val="24"/>
              </w:rPr>
              <w:t>float</w:t>
            </w:r>
            <w:r>
              <w:rPr>
                <w:rFonts w:ascii="Arial" w:hAnsi="Arial" w:eastAsia="Arial"/>
                <w:b w:val="0"/>
                <w:color w:val="000000"/>
                <w:sz w:val="24"/>
              </w:rPr>
              <w:t xml:space="preserve"> ni </w:t>
            </w:r>
            <w:r>
              <w:rPr>
                <w:rFonts w:ascii="Arial" w:hAnsi="Arial" w:eastAsia="Arial"/>
                <w:b w:val="0"/>
                <w:color w:val="000000"/>
                <w:sz w:val="24"/>
              </w:rPr>
              <w:t>double</w:t>
            </w:r>
            <w:r>
              <w:rPr>
                <w:rFonts w:ascii="Arial" w:hAnsi="Arial" w:eastAsia="Arial"/>
                <w:b w:val="0"/>
                <w:color w:val="000000"/>
                <w:sz w:val="24"/>
              </w:rPr>
              <w:t xml:space="preserve">, nada de </w:t>
            </w:r>
            <w:r>
              <w:rPr>
                <w:rFonts w:ascii="Arial" w:hAnsi="Arial" w:eastAsia="Arial"/>
                <w:b w:val="0"/>
                <w:color w:val="000000"/>
                <w:sz w:val="24"/>
              </w:rPr>
              <w:t>java.util.Currency</w:t>
            </w:r>
            <w:r>
              <w:rPr>
                <w:rFonts w:ascii="Arial" w:hAnsi="Arial" w:eastAsia="Arial"/>
                <w:b w:val="0"/>
                <w:color w:val="000000"/>
                <w:sz w:val="24"/>
              </w:rPr>
              <w:t xml:space="preserve"> en el dominio, </w:t>
            </w:r>
            <w:r>
              <w:rPr>
                <w:rFonts w:ascii="Arial" w:hAnsi="Arial" w:eastAsia="Arial"/>
                <w:b w:val="0"/>
                <w:color w:val="000000"/>
                <w:sz w:val="24"/>
              </w:rPr>
              <w:t>@Transactional</w:t>
            </w:r>
            <w:r>
              <w:rPr>
                <w:rFonts w:ascii="Arial" w:hAnsi="Arial" w:eastAsia="Arial"/>
                <w:b w:val="0"/>
                <w:color w:val="000000"/>
                <w:sz w:val="24"/>
              </w:rPr>
              <w:t xml:space="preserve"> solo en casos de uso</w:t>
            </w:r>
          </w:p>
        </w:tc>
        <w:tc>
          <w:tcPr>
            <w:tcW w:type="dxa" w:w="3533"/>
          </w:tcPr>
          <w:p>
            <w:pPr>
              <w:spacing w:after="0"/>
            </w:pPr>
            <w:r>
              <w:rPr>
                <w:rFonts w:ascii="Arial" w:hAnsi="Arial" w:eastAsia="Arial"/>
                <w:b w:val="0"/>
                <w:color w:val="000000"/>
                <w:sz w:val="24"/>
              </w:rPr>
              <w:t>DomainPurityArchTest</w:t>
            </w:r>
            <w:r>
              <w:rPr>
                <w:rFonts w:ascii="Arial" w:hAnsi="Arial" w:eastAsia="Arial"/>
                <w:b w:val="0"/>
                <w:color w:val="000000"/>
                <w:sz w:val="24"/>
              </w:rPr>
              <w:t xml:space="preserve">, </w:t>
            </w:r>
            <w:r>
              <w:rPr>
                <w:rFonts w:ascii="Arial" w:hAnsi="Arial" w:eastAsia="Arial"/>
                <w:b w:val="0"/>
                <w:color w:val="000000"/>
                <w:sz w:val="24"/>
              </w:rPr>
              <w:t>TransactionBoundaryArchTest</w:t>
            </w:r>
          </w:p>
        </w:tc>
      </w:tr>
      <w:tr>
        <w:tc>
          <w:tcPr>
            <w:tcW w:type="dxa" w:w="2180"/>
          </w:tcPr>
          <w:p>
            <w:pPr>
              <w:spacing w:after="0"/>
            </w:pPr>
            <w:r>
              <w:rPr>
                <w:rFonts w:ascii="Arial" w:hAnsi="Arial" w:eastAsia="Arial"/>
                <w:b w:val="0"/>
                <w:color w:val="000000"/>
                <w:sz w:val="24"/>
              </w:rPr>
              <w:t>Contrato e i18n</w:t>
            </w:r>
          </w:p>
        </w:tc>
        <w:tc>
          <w:tcPr>
            <w:tcW w:type="dxa" w:w="3926"/>
          </w:tcPr>
          <w:p>
            <w:pPr>
              <w:spacing w:after="0"/>
            </w:pPr>
            <w:r>
              <w:rPr>
                <w:rFonts w:ascii="Arial" w:hAnsi="Arial" w:eastAsia="Arial"/>
                <w:b w:val="0"/>
                <w:color w:val="000000"/>
                <w:sz w:val="24"/>
              </w:rPr>
              <w:t xml:space="preserve">MockMvc sobre códigos de estado, forma de </w:t>
            </w:r>
            <w:r>
              <w:rPr>
                <w:rFonts w:ascii="Arial" w:hAnsi="Arial" w:eastAsia="Arial"/>
                <w:b w:val="0"/>
                <w:color w:val="000000"/>
                <w:sz w:val="24"/>
              </w:rPr>
              <w:t>problem+json</w:t>
            </w:r>
            <w:r>
              <w:rPr>
                <w:rFonts w:ascii="Arial" w:hAnsi="Arial" w:eastAsia="Arial"/>
                <w:b w:val="0"/>
                <w:color w:val="000000"/>
                <w:sz w:val="24"/>
              </w:rPr>
              <w:t xml:space="preserve"> y textos localizados; cada código de error tiene mensaje en es y en en</w:t>
            </w:r>
          </w:p>
        </w:tc>
        <w:tc>
          <w:tcPr>
            <w:tcW w:type="dxa" w:w="3533"/>
          </w:tcPr>
          <w:p>
            <w:pPr>
              <w:spacing w:after="0"/>
            </w:pPr>
            <w:r>
              <w:rPr>
                <w:rFonts w:ascii="Arial" w:hAnsi="Arial" w:eastAsia="Arial"/>
                <w:b w:val="0"/>
                <w:color w:val="000000"/>
                <w:sz w:val="24"/>
              </w:rPr>
              <w:t>ProblemDetailContractIT</w:t>
            </w:r>
            <w:r>
              <w:rPr>
                <w:rFonts w:ascii="Arial" w:hAnsi="Arial" w:eastAsia="Arial"/>
                <w:b w:val="0"/>
                <w:color w:val="000000"/>
                <w:sz w:val="24"/>
              </w:rPr>
              <w:t xml:space="preserve">, </w:t>
            </w:r>
            <w:r>
              <w:rPr>
                <w:rFonts w:ascii="Arial" w:hAnsi="Arial" w:eastAsia="Arial"/>
                <w:b w:val="0"/>
                <w:color w:val="000000"/>
                <w:sz w:val="24"/>
              </w:rPr>
              <w:t>LocalizedErrorIT</w:t>
            </w:r>
            <w:r>
              <w:rPr>
                <w:rFonts w:ascii="Arial" w:hAnsi="Arial" w:eastAsia="Arial"/>
                <w:b w:val="0"/>
                <w:color w:val="000000"/>
                <w:sz w:val="24"/>
              </w:rPr>
              <w:t xml:space="preserve">, </w:t>
            </w:r>
            <w:r>
              <w:rPr>
                <w:rFonts w:ascii="Arial" w:hAnsi="Arial" w:eastAsia="Arial"/>
                <w:b w:val="0"/>
                <w:color w:val="000000"/>
                <w:sz w:val="24"/>
              </w:rPr>
              <w:t>ErrorCatalogI18nTest</w:t>
            </w:r>
          </w:p>
        </w:tc>
      </w:tr>
      <w:tr>
        <w:tc>
          <w:tcPr>
            <w:tcW w:type="dxa" w:w="2180"/>
          </w:tcPr>
          <w:p>
            <w:pPr>
              <w:spacing w:after="0"/>
            </w:pPr>
            <w:r>
              <w:rPr>
                <w:rFonts w:ascii="Arial" w:hAnsi="Arial" w:eastAsia="Arial"/>
                <w:b w:val="0"/>
                <w:color w:val="000000"/>
                <w:sz w:val="24"/>
              </w:rPr>
              <w:t>Specs web</w:t>
            </w:r>
          </w:p>
        </w:tc>
        <w:tc>
          <w:tcPr>
            <w:tcW w:type="dxa" w:w="3926"/>
          </w:tcPr>
          <w:p>
            <w:pPr>
              <w:spacing w:after="0"/>
            </w:pPr>
            <w:r>
              <w:rPr>
                <w:rFonts w:ascii="Arial" w:hAnsi="Arial" w:eastAsia="Arial"/>
                <w:b w:val="0"/>
                <w:color w:val="000000"/>
                <w:sz w:val="24"/>
              </w:rPr>
              <w:t>Chromium headless dentro de la etapa de pruebas del Dockerfile web; cada spec responde con un backend simulado y verifica la solicitud exacta</w:t>
            </w:r>
          </w:p>
        </w:tc>
        <w:tc>
          <w:tcPr>
            <w:tcW w:type="dxa" w:w="3533"/>
          </w:tcPr>
          <w:p>
            <w:pPr>
              <w:spacing w:after="0"/>
            </w:pPr>
            <w:r>
              <w:rPr>
                <w:rFonts w:ascii="Arial" w:hAnsi="Arial" w:eastAsia="Arial"/>
                <w:b w:val="0"/>
                <w:color w:val="000000"/>
                <w:sz w:val="24"/>
              </w:rPr>
              <w:t>209 specs en 15 archivos</w:t>
            </w:r>
          </w:p>
        </w:tc>
      </w:tr>
      <w:tr>
        <w:tc>
          <w:tcPr>
            <w:tcW w:type="dxa" w:w="2180"/>
          </w:tcPr>
          <w:p>
            <w:pPr>
              <w:spacing w:after="0"/>
            </w:pPr>
            <w:r>
              <w:rPr>
                <w:rFonts w:ascii="Arial" w:hAnsi="Arial" w:eastAsia="Arial"/>
                <w:b w:val="0"/>
                <w:color w:val="000000"/>
                <w:sz w:val="24"/>
              </w:rPr>
              <w:t>Extremo a extremo</w:t>
            </w:r>
          </w:p>
        </w:tc>
        <w:tc>
          <w:tcPr>
            <w:tcW w:type="dxa" w:w="3926"/>
          </w:tcPr>
          <w:p>
            <w:pPr>
              <w:spacing w:after="0"/>
            </w:pPr>
            <w:r>
              <w:rPr>
                <w:rFonts w:ascii="Arial" w:hAnsi="Arial" w:eastAsia="Arial"/>
                <w:b w:val="0"/>
                <w:color w:val="000000"/>
                <w:sz w:val="24"/>
              </w:rPr>
              <w:t>Playwright contra el stack completo, en español y en inglés</w:t>
            </w:r>
          </w:p>
        </w:tc>
        <w:tc>
          <w:tcPr>
            <w:tcW w:type="dxa" w:w="3533"/>
          </w:tcPr>
          <w:p>
            <w:pPr>
              <w:spacing w:after="0"/>
            </w:pPr>
            <w:r>
              <w:rPr>
                <w:rFonts w:ascii="Arial" w:hAnsi="Arial" w:eastAsia="Arial"/>
                <w:b w:val="0"/>
                <w:color w:val="000000"/>
                <w:sz w:val="24"/>
              </w:rPr>
              <w:t>El flujo pasa 2 de 2</w:t>
            </w:r>
          </w:p>
        </w:tc>
      </w:tr>
      <w:tr>
        <w:tc>
          <w:tcPr>
            <w:tcW w:type="dxa" w:w="2180"/>
          </w:tcPr>
          <w:p>
            <w:pPr>
              <w:spacing w:after="0"/>
            </w:pPr>
            <w:r>
              <w:rPr>
                <w:rFonts w:ascii="Arial" w:hAnsi="Arial" w:eastAsia="Arial"/>
                <w:b w:val="0"/>
                <w:color w:val="000000"/>
                <w:sz w:val="24"/>
              </w:rPr>
              <w:t>Verificación sobre exportación limpia</w:t>
            </w:r>
          </w:p>
        </w:tc>
        <w:tc>
          <w:tcPr>
            <w:tcW w:type="dxa" w:w="3926"/>
          </w:tcPr>
          <w:p>
            <w:pPr>
              <w:spacing w:after="0"/>
            </w:pPr>
            <w:r>
              <w:rPr>
                <w:rFonts w:ascii="Arial" w:hAnsi="Arial" w:eastAsia="Arial"/>
                <w:b w:val="0"/>
                <w:color w:val="000000"/>
                <w:sz w:val="24"/>
              </w:rPr>
              <w:t>Desde la fase de andamiaje, cada pull request de la API se verificó sobre una exportación limpia de su propio commit (</w:t>
            </w:r>
            <w:r>
              <w:rPr>
                <w:rFonts w:ascii="Arial" w:hAnsi="Arial" w:eastAsia="Arial"/>
                <w:b w:val="0"/>
                <w:color w:val="000000"/>
                <w:sz w:val="24"/>
              </w:rPr>
              <w:t>git archive</w:t>
            </w:r>
            <w:r>
              <w:rPr>
                <w:rFonts w:ascii="Arial" w:hAnsi="Arial" w:eastAsia="Arial"/>
                <w:b w:val="0"/>
                <w:color w:val="000000"/>
                <w:sz w:val="24"/>
              </w:rPr>
              <w:t xml:space="preserve"> de la cabeza de la rama y luego </w:t>
            </w:r>
            <w:r>
              <w:rPr>
                <w:rFonts w:ascii="Arial" w:hAnsi="Arial" w:eastAsia="Arial"/>
                <w:b w:val="0"/>
                <w:color w:val="000000"/>
                <w:sz w:val="24"/>
              </w:rPr>
              <w:t>./mvnw verify</w:t>
            </w:r>
            <w:r>
              <w:rPr>
                <w:rFonts w:ascii="Arial" w:hAnsi="Arial" w:eastAsia="Arial"/>
                <w:b w:val="0"/>
                <w:color w:val="000000"/>
                <w:sz w:val="24"/>
              </w:rPr>
              <w:t xml:space="preserve">), así que cada commit en </w:t>
            </w:r>
            <w:r>
              <w:rPr>
                <w:rFonts w:ascii="Arial" w:hAnsi="Arial" w:eastAsia="Arial"/>
                <w:b w:val="0"/>
                <w:color w:val="000000"/>
                <w:sz w:val="24"/>
              </w:rPr>
              <w:t>dev</w:t>
            </w:r>
            <w:r>
              <w:rPr>
                <w:rFonts w:ascii="Arial" w:hAnsi="Arial" w:eastAsia="Arial"/>
                <w:b w:val="0"/>
                <w:color w:val="000000"/>
                <w:sz w:val="24"/>
              </w:rPr>
              <w:t xml:space="preserve"> compila por sí solo; el único pull request de solo documentación de la fase núcleo se verificó con </w:t>
            </w:r>
            <w:r>
              <w:rPr>
                <w:rFonts w:ascii="Arial" w:hAnsi="Arial" w:eastAsia="Arial"/>
                <w:b w:val="0"/>
                <w:color w:val="000000"/>
                <w:sz w:val="24"/>
              </w:rPr>
              <w:t>./mvnw verify</w:t>
            </w:r>
            <w:r>
              <w:rPr>
                <w:rFonts w:ascii="Arial" w:hAnsi="Arial" w:eastAsia="Arial"/>
                <w:b w:val="0"/>
                <w:color w:val="000000"/>
                <w:sz w:val="24"/>
              </w:rPr>
              <w:t xml:space="preserve"> sobre su commit. Cada pull request web corrió </w:t>
            </w:r>
            <w:r>
              <w:rPr>
                <w:rFonts w:ascii="Arial" w:hAnsi="Arial" w:eastAsia="Arial"/>
                <w:b w:val="0"/>
                <w:color w:val="000000"/>
                <w:sz w:val="24"/>
              </w:rPr>
              <w:t>docker build --no-cache-filter test --target test</w:t>
            </w:r>
            <w:r>
              <w:rPr>
                <w:rFonts w:ascii="Arial" w:hAnsi="Arial" w:eastAsia="Arial"/>
                <w:b w:val="0"/>
                <w:color w:val="000000"/>
                <w:sz w:val="24"/>
              </w:rPr>
              <w:t xml:space="preserve"> sobre una exportación limpia, y cada pull request de infra y tools corrió sus propias verificaciones</w:t>
            </w:r>
          </w:p>
        </w:tc>
        <w:tc>
          <w:tcPr>
            <w:tcW w:type="dxa" w:w="3533"/>
          </w:tcPr>
          <w:p>
            <w:pPr>
              <w:spacing w:after="0"/>
            </w:pPr>
            <w:r>
              <w:rPr>
                <w:rFonts w:ascii="Arial" w:hAnsi="Arial" w:eastAsia="Arial"/>
                <w:b w:val="0"/>
                <w:color w:val="000000"/>
                <w:sz w:val="24"/>
              </w:rPr>
              <w:t>HANDOFF §9 … §11</w:t>
            </w:r>
          </w:p>
        </w:tc>
      </w:tr>
      <w:tr>
        <w:tc>
          <w:tcPr>
            <w:tcW w:type="dxa" w:w="2180"/>
          </w:tcPr>
          <w:p>
            <w:pPr>
              <w:spacing w:after="0"/>
            </w:pPr>
            <w:r>
              <w:rPr>
                <w:rFonts w:ascii="Arial" w:hAnsi="Arial" w:eastAsia="Arial"/>
                <w:b w:val="0"/>
                <w:color w:val="000000"/>
                <w:sz w:val="24"/>
              </w:rPr>
              <w:t>Verificación del espacio de trabajo</w:t>
            </w:r>
          </w:p>
        </w:tc>
        <w:tc>
          <w:tcPr>
            <w:tcW w:type="dxa" w:w="3926"/>
          </w:tcPr>
          <w:p>
            <w:pPr>
              <w:spacing w:after="0"/>
            </w:pPr>
            <w:r>
              <w:rPr>
                <w:rFonts w:ascii="Arial" w:hAnsi="Arial" w:eastAsia="Arial"/>
                <w:b w:val="0"/>
                <w:color w:val="000000"/>
                <w:sz w:val="24"/>
              </w:rPr>
              <w:t xml:space="preserve">Desde la fase de andamiaje, </w:t>
            </w:r>
            <w:r>
              <w:rPr>
                <w:rFonts w:ascii="Arial" w:hAnsi="Arial" w:eastAsia="Arial"/>
                <w:b w:val="0"/>
                <w:color w:val="000000"/>
                <w:sz w:val="24"/>
              </w:rPr>
              <w:t>test-all</w:t>
            </w:r>
            <w:r>
              <w:rPr>
                <w:rFonts w:ascii="Arial" w:hAnsi="Arial" w:eastAsia="Arial"/>
                <w:b w:val="0"/>
                <w:color w:val="000000"/>
                <w:sz w:val="24"/>
              </w:rPr>
              <w:t xml:space="preserve"> pasó antes de cada cierre de fase. Antes de cerrar la fase web pasó sobre clones nuevos desde GitHub de </w:t>
            </w:r>
            <w:r>
              <w:rPr>
                <w:rFonts w:ascii="Arial" w:hAnsi="Arial" w:eastAsia="Arial"/>
                <w:b w:val="0"/>
                <w:color w:val="000000"/>
                <w:sz w:val="24"/>
              </w:rPr>
              <w:t>dev</w:t>
            </w:r>
            <w:r>
              <w:rPr>
                <w:rFonts w:ascii="Arial" w:hAnsi="Arial" w:eastAsia="Arial"/>
                <w:b w:val="0"/>
                <w:color w:val="000000"/>
                <w:sz w:val="24"/>
              </w:rPr>
              <w:t xml:space="preserve"> de cada repositorio de código y de </w:t>
            </w:r>
            <w:r>
              <w:rPr>
                <w:rFonts w:ascii="Arial" w:hAnsi="Arial" w:eastAsia="Arial"/>
                <w:b w:val="0"/>
                <w:color w:val="000000"/>
                <w:sz w:val="24"/>
              </w:rPr>
              <w:t>main</w:t>
            </w:r>
            <w:r>
              <w:rPr>
                <w:rFonts w:ascii="Arial" w:hAnsi="Arial" w:eastAsia="Arial"/>
                <w:b w:val="0"/>
                <w:color w:val="000000"/>
                <w:sz w:val="24"/>
              </w:rPr>
              <w:t xml:space="preserve"> del repositorio de documentación, el 2026-10-17</w:t>
            </w:r>
          </w:p>
        </w:tc>
        <w:tc>
          <w:tcPr>
            <w:tcW w:type="dxa" w:w="3533"/>
          </w:tcPr>
          <w:p>
            <w:pPr>
              <w:spacing w:after="0"/>
            </w:pPr>
            <w:r>
              <w:rPr>
                <w:rFonts w:ascii="Arial" w:hAnsi="Arial" w:eastAsia="Arial"/>
                <w:b w:val="0"/>
                <w:color w:val="000000"/>
                <w:sz w:val="24"/>
              </w:rPr>
              <w:t>test-all: OK (API verify, web tests, end-to-end, documentation check, integrity check)</w:t>
            </w:r>
          </w:p>
        </w:tc>
      </w:tr>
    </w:tbl>
    <w:p>
      <w:pPr>
        <w:spacing w:before="120"/>
      </w:pPr>
      <w:r>
        <w:rPr>
          <w:rFonts w:ascii="Arial" w:hAnsi="Arial" w:eastAsia="Arial"/>
          <w:b w:val="0"/>
          <w:color w:val="000000"/>
          <w:sz w:val="24"/>
        </w:rPr>
        <w:t>La batería de pruebas creció con el trabajo: 3 pruebas al cierre del andamiaje (las dos reglas de pureza del dominio y la verificación de salud), 310 unitarias y 287 de integración al cierre del núcleo, y 333 unitarias y 308 de integración al cierre de la fase web, según registran las versiones sucesivas del HANDOFF.</w:t>
      </w:r>
    </w:p>
    <w:p>
      <w:pPr>
        <w:pStyle w:val="Heading2"/>
        <w:keepNext/>
        <w:spacing w:before="160" w:after="80"/>
      </w:pPr>
      <w:r>
        <w:rPr>
          <w:rFonts w:ascii="Arial" w:hAnsi="Arial" w:eastAsia="Arial"/>
          <w:b/>
          <w:color w:val="000000"/>
          <w:sz w:val="24"/>
        </w:rPr>
        <w:t>11. El historial de git</w:t>
      </w:r>
    </w:p>
    <w:p>
      <w:pPr>
        <w:pStyle w:val="Heading3"/>
        <w:keepNext/>
        <w:spacing w:before="160" w:after="80"/>
      </w:pPr>
      <w:r>
        <w:rPr>
          <w:rFonts w:ascii="Arial" w:hAnsi="Arial" w:eastAsia="Arial"/>
          <w:b/>
          <w:color w:val="000000"/>
          <w:sz w:val="24"/>
        </w:rPr>
        <w:t>11.1 Repositorios y ramas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8"/>
        <w:gridCol w:w="3895"/>
        <w:gridCol w:w="2335"/>
      </w:tblGrid>
      <w:tr>
        <w:tc>
          <w:tcPr>
            <w:tcW w:type="dxa" w:w="3408"/>
          </w:tcPr>
          <w:p>
            <w:pPr>
              <w:spacing w:after="0"/>
            </w:pPr>
            <w:r>
              <w:rPr>
                <w:rFonts w:ascii="Arial" w:hAnsi="Arial" w:eastAsia="Arial"/>
                <w:b/>
                <w:color w:val="000000"/>
                <w:sz w:val="24"/>
              </w:rPr>
              <w:t>Repositorio</w:t>
            </w:r>
          </w:p>
        </w:tc>
        <w:tc>
          <w:tcPr>
            <w:tcW w:type="dxa" w:w="3895"/>
          </w:tcPr>
          <w:p>
            <w:pPr>
              <w:spacing w:after="0"/>
            </w:pPr>
            <w:r>
              <w:rPr>
                <w:rFonts w:ascii="Arial" w:hAnsi="Arial" w:eastAsia="Arial"/>
                <w:b/>
                <w:color w:val="000000"/>
                <w:sz w:val="24"/>
              </w:rPr>
              <w:t>Rol</w:t>
            </w:r>
          </w:p>
        </w:tc>
        <w:tc>
          <w:tcPr>
            <w:tcW w:type="dxa" w:w="2335"/>
          </w:tcPr>
          <w:p>
            <w:pPr>
              <w:spacing w:after="0"/>
            </w:pPr>
            <w:r>
              <w:rPr>
                <w:rFonts w:ascii="Arial" w:hAnsi="Arial" w:eastAsia="Arial"/>
                <w:b/>
                <w:color w:val="000000"/>
                <w:sz w:val="24"/>
              </w:rPr>
              <w:t>Ramas permanentes</w:t>
            </w:r>
          </w:p>
        </w:tc>
      </w:tr>
      <w:tr>
        <w:tc>
          <w:tcPr>
            <w:tcW w:type="dxa" w:w="3408"/>
          </w:tcPr>
          <w:p>
            <w:pPr>
              <w:spacing w:after="0"/>
            </w:pPr>
            <w:r>
              <w:rPr>
                <w:rFonts w:ascii="Arial" w:hAnsi="Arial" w:eastAsia="Arial"/>
                <w:b w:val="0"/>
                <w:color w:val="000000"/>
                <w:sz w:val="24"/>
              </w:rPr>
              <w:t>orderflow-engine-api</w:t>
            </w:r>
          </w:p>
        </w:tc>
        <w:tc>
          <w:tcPr>
            <w:tcW w:type="dxa" w:w="3895"/>
          </w:tcPr>
          <w:p>
            <w:pPr>
              <w:spacing w:after="0"/>
            </w:pPr>
            <w:r>
              <w:rPr>
                <w:rFonts w:ascii="Arial" w:hAnsi="Arial" w:eastAsia="Arial"/>
                <w:b/>
                <w:color w:val="000000"/>
                <w:sz w:val="24"/>
              </w:rPr>
              <w:t>El entregable</w:t>
            </w:r>
            <w:r>
              <w:rPr>
                <w:rFonts w:ascii="Arial" w:hAnsi="Arial" w:eastAsia="Arial"/>
                <w:b w:val="0"/>
                <w:color w:val="000000"/>
                <w:sz w:val="24"/>
              </w:rPr>
              <w:t>: servicio, pruebas, README, ADR</w:t>
            </w:r>
          </w:p>
        </w:tc>
        <w:tc>
          <w:tcPr>
            <w:tcW w:type="dxa" w:w="2335"/>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08"/>
          </w:tcPr>
          <w:p>
            <w:pPr>
              <w:spacing w:after="0"/>
            </w:pPr>
            <w:r>
              <w:rPr>
                <w:rFonts w:ascii="Arial" w:hAnsi="Arial" w:eastAsia="Arial"/>
                <w:b w:val="0"/>
                <w:color w:val="000000"/>
                <w:sz w:val="24"/>
              </w:rPr>
              <w:t>orderflow-engine-web</w:t>
            </w:r>
          </w:p>
        </w:tc>
        <w:tc>
          <w:tcPr>
            <w:tcW w:type="dxa" w:w="3895"/>
          </w:tcPr>
          <w:p>
            <w:pPr>
              <w:spacing w:after="0"/>
            </w:pPr>
            <w:r>
              <w:rPr>
                <w:rFonts w:ascii="Arial" w:hAnsi="Arial" w:eastAsia="Arial"/>
                <w:b w:val="0"/>
                <w:color w:val="000000"/>
                <w:sz w:val="24"/>
              </w:rPr>
              <w:t>El cliente Angular</w:t>
            </w:r>
          </w:p>
        </w:tc>
        <w:tc>
          <w:tcPr>
            <w:tcW w:type="dxa" w:w="2335"/>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08"/>
          </w:tcPr>
          <w:p>
            <w:pPr>
              <w:spacing w:after="0"/>
            </w:pPr>
            <w:r>
              <w:rPr>
                <w:rFonts w:ascii="Arial" w:hAnsi="Arial" w:eastAsia="Arial"/>
                <w:b w:val="0"/>
                <w:color w:val="000000"/>
                <w:sz w:val="24"/>
              </w:rPr>
              <w:t>orderflow-engine-infra</w:t>
            </w:r>
          </w:p>
        </w:tc>
        <w:tc>
          <w:tcPr>
            <w:tcW w:type="dxa" w:w="3895"/>
          </w:tcPr>
          <w:p>
            <w:pPr>
              <w:spacing w:after="0"/>
            </w:pPr>
            <w:r>
              <w:rPr>
                <w:rFonts w:ascii="Arial" w:hAnsi="Arial" w:eastAsia="Arial"/>
                <w:b w:val="0"/>
                <w:color w:val="000000"/>
                <w:sz w:val="24"/>
              </w:rPr>
              <w:t xml:space="preserve">Compose del stack completo y </w:t>
            </w:r>
            <w:r>
              <w:rPr>
                <w:rFonts w:ascii="Arial" w:hAnsi="Arial" w:eastAsia="Arial"/>
                <w:b w:val="0"/>
                <w:color w:val="000000"/>
                <w:sz w:val="24"/>
              </w:rPr>
              <w:t>test-all</w:t>
            </w:r>
            <w:r>
              <w:rPr>
                <w:rFonts w:ascii="Arial" w:hAnsi="Arial" w:eastAsia="Arial"/>
                <w:b w:val="0"/>
                <w:color w:val="000000"/>
                <w:sz w:val="24"/>
              </w:rPr>
              <w:t>, con la suite de extremo a extremo</w:t>
            </w:r>
          </w:p>
        </w:tc>
        <w:tc>
          <w:tcPr>
            <w:tcW w:type="dxa" w:w="2335"/>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08"/>
          </w:tcPr>
          <w:p>
            <w:pPr>
              <w:spacing w:after="0"/>
            </w:pPr>
            <w:r>
              <w:rPr>
                <w:rFonts w:ascii="Arial" w:hAnsi="Arial" w:eastAsia="Arial"/>
                <w:b w:val="0"/>
                <w:color w:val="000000"/>
                <w:sz w:val="24"/>
              </w:rPr>
              <w:t>orderflow-engine-tools</w:t>
            </w:r>
          </w:p>
        </w:tc>
        <w:tc>
          <w:tcPr>
            <w:tcW w:type="dxa" w:w="3895"/>
          </w:tcPr>
          <w:p>
            <w:pPr>
              <w:spacing w:after="0"/>
            </w:pPr>
            <w:r>
              <w:rPr>
                <w:rFonts w:ascii="Arial" w:hAnsi="Arial" w:eastAsia="Arial"/>
                <w:b w:val="0"/>
                <w:color w:val="000000"/>
                <w:sz w:val="24"/>
              </w:rPr>
              <w:t>Verificaciones y generadores para documentos y repositorios</w:t>
            </w:r>
          </w:p>
        </w:tc>
        <w:tc>
          <w:tcPr>
            <w:tcW w:type="dxa" w:w="2335"/>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08"/>
          </w:tcPr>
          <w:p>
            <w:pPr>
              <w:spacing w:after="0"/>
            </w:pPr>
            <w:r>
              <w:rPr>
                <w:rFonts w:ascii="Arial" w:hAnsi="Arial" w:eastAsia="Arial"/>
                <w:b w:val="0"/>
                <w:color w:val="000000"/>
                <w:sz w:val="24"/>
              </w:rPr>
              <w:t>orderflow-engine-app</w:t>
            </w:r>
          </w:p>
        </w:tc>
        <w:tc>
          <w:tcPr>
            <w:tcW w:type="dxa" w:w="3895"/>
          </w:tcPr>
          <w:p>
            <w:pPr>
              <w:spacing w:after="0"/>
            </w:pPr>
            <w:r>
              <w:rPr>
                <w:rFonts w:ascii="Arial" w:hAnsi="Arial" w:eastAsia="Arial"/>
                <w:b w:val="0"/>
                <w:color w:val="000000"/>
                <w:sz w:val="24"/>
              </w:rPr>
              <w:t>Reservado para una futura app móvil; no se construyó</w:t>
            </w:r>
          </w:p>
        </w:tc>
        <w:tc>
          <w:tcPr>
            <w:tcW w:type="dxa" w:w="2335"/>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408"/>
          </w:tcPr>
          <w:p>
            <w:pPr>
              <w:spacing w:after="0"/>
            </w:pPr>
            <w:r>
              <w:rPr>
                <w:rFonts w:ascii="Arial" w:hAnsi="Arial" w:eastAsia="Arial"/>
                <w:b w:val="0"/>
                <w:color w:val="000000"/>
                <w:sz w:val="24"/>
              </w:rPr>
              <w:t>orderflow-engine-docs</w:t>
            </w:r>
          </w:p>
        </w:tc>
        <w:tc>
          <w:tcPr>
            <w:tcW w:type="dxa" w:w="3895"/>
          </w:tcPr>
          <w:p>
            <w:pPr>
              <w:spacing w:after="0"/>
            </w:pPr>
            <w:r>
              <w:rPr>
                <w:rFonts w:ascii="Arial" w:hAnsi="Arial" w:eastAsia="Arial"/>
                <w:b w:val="0"/>
                <w:color w:val="000000"/>
                <w:sz w:val="24"/>
              </w:rPr>
              <w:t>Especificación, gobierno, handoff, diagramas, entregables</w:t>
            </w:r>
          </w:p>
        </w:tc>
        <w:tc>
          <w:tcPr>
            <w:tcW w:type="dxa" w:w="2335"/>
          </w:tcPr>
          <w:p>
            <w:pPr>
              <w:spacing w:after="0"/>
            </w:pPr>
            <w:r>
              <w:rPr>
                <w:rFonts w:ascii="Arial" w:hAnsi="Arial" w:eastAsia="Arial"/>
                <w:b w:val="0"/>
                <w:color w:val="000000"/>
                <w:sz w:val="24"/>
              </w:rPr>
              <w:t xml:space="preserve">Solo </w:t>
            </w:r>
            <w:r>
              <w:rPr>
                <w:rFonts w:ascii="Arial" w:hAnsi="Arial" w:eastAsia="Arial"/>
                <w:b w:val="0"/>
                <w:color w:val="000000"/>
                <w:sz w:val="24"/>
              </w:rPr>
              <w:t>main</w:t>
            </w:r>
          </w:p>
        </w:tc>
      </w:tr>
    </w:tbl>
    <w:p>
      <w:pPr>
        <w:spacing w:before="120"/>
      </w:pPr>
      <w:r>
        <w:rPr>
          <w:rFonts w:ascii="Arial" w:hAnsi="Arial" w:eastAsia="Arial"/>
          <w:b w:val="0"/>
          <w:color w:val="000000"/>
          <w:sz w:val="24"/>
        </w:rPr>
        <w:t>Los seis repositorios se crearon el 2026-10-14. La regla de oro (</w:t>
      </w:r>
      <w:r>
        <w:rPr>
          <w:rFonts w:ascii="Arial" w:hAnsi="Arial" w:eastAsia="Arial"/>
          <w:b w:val="0"/>
          <w:color w:val="000000"/>
          <w:sz w:val="24"/>
        </w:rPr>
        <w:t>orderflow-engine-docs/governance/golden-rule.md</w:t>
      </w:r>
      <w:r>
        <w:rPr>
          <w:rFonts w:ascii="Arial" w:hAnsi="Arial" w:eastAsia="Arial"/>
          <w:b w:val="0"/>
          <w:color w:val="000000"/>
          <w:sz w:val="24"/>
        </w:rPr>
        <w:t xml:space="preserve">) dice que nada llega a </w:t>
      </w:r>
      <w:r>
        <w:rPr>
          <w:rFonts w:ascii="Arial" w:hAnsi="Arial" w:eastAsia="Arial"/>
          <w:b w:val="0"/>
          <w:color w:val="000000"/>
          <w:sz w:val="24"/>
        </w:rPr>
        <w:t>main</w:t>
      </w:r>
      <w:r>
        <w:rPr>
          <w:rFonts w:ascii="Arial" w:hAnsi="Arial" w:eastAsia="Arial"/>
          <w:b w:val="0"/>
          <w:color w:val="000000"/>
          <w:sz w:val="24"/>
        </w:rPr>
        <w:t xml:space="preserve"> si no es por un pull request. En un repositorio de código, las ramas de tarea se integran a </w:t>
      </w:r>
      <w:r>
        <w:rPr>
          <w:rFonts w:ascii="Arial" w:hAnsi="Arial" w:eastAsia="Arial"/>
          <w:b w:val="0"/>
          <w:color w:val="000000"/>
          <w:sz w:val="24"/>
        </w:rPr>
        <w:t>dev</w:t>
      </w:r>
      <w:r>
        <w:rPr>
          <w:rFonts w:ascii="Arial" w:hAnsi="Arial" w:eastAsia="Arial"/>
          <w:b w:val="0"/>
          <w:color w:val="000000"/>
          <w:sz w:val="24"/>
        </w:rPr>
        <w:t xml:space="preserve"> con squash, y </w:t>
      </w:r>
      <w:r>
        <w:rPr>
          <w:rFonts w:ascii="Arial" w:hAnsi="Arial" w:eastAsia="Arial"/>
          <w:b w:val="0"/>
          <w:color w:val="000000"/>
          <w:sz w:val="24"/>
        </w:rPr>
        <w:t>main</w:t>
      </w:r>
      <w:r>
        <w:rPr>
          <w:rFonts w:ascii="Arial" w:hAnsi="Arial" w:eastAsia="Arial"/>
          <w:b w:val="0"/>
          <w:color w:val="000000"/>
          <w:sz w:val="24"/>
        </w:rPr>
        <w:t xml:space="preserve"> recibe </w:t>
      </w:r>
      <w:r>
        <w:rPr>
          <w:rFonts w:ascii="Arial" w:hAnsi="Arial" w:eastAsia="Arial"/>
          <w:b w:val="0"/>
          <w:color w:val="000000"/>
          <w:sz w:val="24"/>
        </w:rPr>
        <w:t>dev</w:t>
      </w:r>
      <w:r>
        <w:rPr>
          <w:rFonts w:ascii="Arial" w:hAnsi="Arial" w:eastAsia="Arial"/>
          <w:b w:val="0"/>
          <w:color w:val="000000"/>
          <w:sz w:val="24"/>
        </w:rPr>
        <w:t xml:space="preserve"> solo cuando se cierra una fase, con un merge commit, así que cada commit de tarea sigue alcanzable desde </w:t>
      </w:r>
      <w:r>
        <w:rPr>
          <w:rFonts w:ascii="Arial" w:hAnsi="Arial" w:eastAsia="Arial"/>
          <w:b w:val="0"/>
          <w:color w:val="000000"/>
          <w:sz w:val="24"/>
        </w:rPr>
        <w:t>main</w:t>
      </w:r>
      <w:r>
        <w:rPr>
          <w:rFonts w:ascii="Arial" w:hAnsi="Arial" w:eastAsia="Arial"/>
          <w:b w:val="0"/>
          <w:color w:val="000000"/>
          <w:sz w:val="24"/>
        </w:rPr>
        <w:t xml:space="preserve">. El repositorio de documentación solo tiene </w:t>
      </w:r>
      <w:r>
        <w:rPr>
          <w:rFonts w:ascii="Arial" w:hAnsi="Arial" w:eastAsia="Arial"/>
          <w:b w:val="0"/>
          <w:color w:val="000000"/>
          <w:sz w:val="24"/>
        </w:rPr>
        <w:t>main</w:t>
      </w:r>
      <w:r>
        <w:rPr>
          <w:rFonts w:ascii="Arial" w:hAnsi="Arial" w:eastAsia="Arial"/>
          <w:b w:val="0"/>
          <w:color w:val="000000"/>
          <w:sz w:val="24"/>
        </w:rPr>
        <w:t>, porque guarda documentación viva. GitHub rechaza los rulesets de ramas en repositorios privados de un plan gratuito (HTTP 403), así que las reglas de protección se cumplieron a mano mientras los repositorios son privados (trampa TR-06 del HANDOFF).</w:t>
      </w:r>
    </w:p>
    <w:p>
      <w:pPr>
        <w:pStyle w:val="Heading3"/>
        <w:keepNext/>
        <w:spacing w:before="160" w:after="80"/>
      </w:pPr>
      <w:r>
        <w:rPr>
          <w:rFonts w:ascii="Arial" w:hAnsi="Arial" w:eastAsia="Arial"/>
          <w:b/>
          <w:color w:val="000000"/>
          <w:sz w:val="24"/>
        </w:rPr>
        <w:t>11.2 Pull requests por fase</w:t>
      </w:r>
    </w:p>
    <w:p>
      <w:r>
        <w:rPr>
          <w:rFonts w:ascii="Arial" w:hAnsi="Arial" w:eastAsia="Arial"/>
          <w:b w:val="0"/>
          <w:color w:val="000000"/>
          <w:sz w:val="24"/>
        </w:rPr>
        <w:t xml:space="preserve">Según </w:t>
      </w:r>
      <w:r>
        <w:rPr>
          <w:rFonts w:ascii="Arial" w:hAnsi="Arial" w:eastAsia="Arial"/>
          <w:b w:val="0"/>
          <w:color w:val="000000"/>
          <w:sz w:val="24"/>
        </w:rPr>
        <w:t>gh pr list --state merged</w:t>
      </w:r>
      <w:r>
        <w:rPr>
          <w:rFonts w:ascii="Arial" w:hAnsi="Arial" w:eastAsia="Arial"/>
          <w:b w:val="0"/>
          <w:color w:val="000000"/>
          <w:sz w:val="24"/>
        </w:rPr>
        <w:t xml:space="preserve"> el 2026-10-17, se integraron 82 pull requests: 31 en la API, 10 en el cliente web, 12 en infra, 17 en docs, 10 en tools y 2 en app.</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87"/>
        <w:gridCol w:w="2773"/>
        <w:gridCol w:w="3478"/>
      </w:tblGrid>
      <w:tr>
        <w:tc>
          <w:tcPr>
            <w:tcW w:type="dxa" w:w="3387"/>
          </w:tcPr>
          <w:p>
            <w:pPr>
              <w:spacing w:after="0"/>
            </w:pPr>
            <w:r>
              <w:rPr>
                <w:rFonts w:ascii="Arial" w:hAnsi="Arial" w:eastAsia="Arial"/>
                <w:b/>
                <w:color w:val="000000"/>
                <w:sz w:val="24"/>
              </w:rPr>
              <w:t>Fase</w:t>
            </w:r>
          </w:p>
        </w:tc>
        <w:tc>
          <w:tcPr>
            <w:tcW w:type="dxa" w:w="2773"/>
          </w:tcPr>
          <w:p>
            <w:pPr>
              <w:spacing w:after="0"/>
            </w:pPr>
            <w:r>
              <w:rPr>
                <w:rFonts w:ascii="Arial" w:hAnsi="Arial" w:eastAsia="Arial"/>
                <w:b/>
                <w:color w:val="000000"/>
                <w:sz w:val="24"/>
              </w:rPr>
              <w:t>Pull requests de tarea</w:t>
            </w:r>
          </w:p>
        </w:tc>
        <w:tc>
          <w:tcPr>
            <w:tcW w:type="dxa" w:w="3478"/>
          </w:tcPr>
          <w:p>
            <w:pPr>
              <w:spacing w:after="0"/>
            </w:pPr>
            <w:r>
              <w:rPr>
                <w:rFonts w:ascii="Arial" w:hAnsi="Arial" w:eastAsia="Arial"/>
                <w:b/>
                <w:color w:val="000000"/>
                <w:sz w:val="24"/>
              </w:rPr>
              <w:t>Pull requests de cierre de fase</w:t>
            </w:r>
          </w:p>
        </w:tc>
      </w:tr>
      <w:tr>
        <w:tc>
          <w:tcPr>
            <w:tcW w:type="dxa" w:w="3387"/>
          </w:tcPr>
          <w:p>
            <w:pPr>
              <w:spacing w:after="0"/>
            </w:pPr>
            <w:r>
              <w:rPr>
                <w:rFonts w:ascii="Arial" w:hAnsi="Arial" w:eastAsia="Arial"/>
                <w:b w:val="0"/>
                <w:color w:val="000000"/>
                <w:sz w:val="24"/>
              </w:rPr>
              <w:t>1. Preparación (T-00)</w:t>
            </w:r>
          </w:p>
        </w:tc>
        <w:tc>
          <w:tcPr>
            <w:tcW w:type="dxa" w:w="2773"/>
          </w:tcPr>
          <w:p>
            <w:pPr>
              <w:spacing w:after="0"/>
            </w:pPr>
            <w:r>
              <w:rPr>
                <w:rFonts w:ascii="Arial" w:hAnsi="Arial" w:eastAsia="Arial"/>
                <w:b w:val="0"/>
                <w:color w:val="000000"/>
                <w:sz w:val="24"/>
              </w:rPr>
              <w:t>21</w:t>
            </w:r>
          </w:p>
        </w:tc>
        <w:tc>
          <w:tcPr>
            <w:tcW w:type="dxa" w:w="3478"/>
          </w:tcPr>
          <w:p>
            <w:pPr>
              <w:spacing w:after="0"/>
            </w:pPr>
            <w:r>
              <w:rPr>
                <w:rFonts w:ascii="Arial" w:hAnsi="Arial" w:eastAsia="Arial"/>
                <w:b w:val="0"/>
                <w:color w:val="000000"/>
                <w:sz w:val="24"/>
              </w:rPr>
              <w:t>5</w:t>
            </w:r>
          </w:p>
        </w:tc>
      </w:tr>
      <w:tr>
        <w:tc>
          <w:tcPr>
            <w:tcW w:type="dxa" w:w="3387"/>
          </w:tcPr>
          <w:p>
            <w:pPr>
              <w:spacing w:after="0"/>
            </w:pPr>
            <w:r>
              <w:rPr>
                <w:rFonts w:ascii="Arial" w:hAnsi="Arial" w:eastAsia="Arial"/>
                <w:b w:val="0"/>
                <w:color w:val="000000"/>
                <w:sz w:val="24"/>
              </w:rPr>
              <w:t>2. Andamiaje (T-01)</w:t>
            </w:r>
          </w:p>
        </w:tc>
        <w:tc>
          <w:tcPr>
            <w:tcW w:type="dxa" w:w="2773"/>
          </w:tcPr>
          <w:p>
            <w:pPr>
              <w:spacing w:after="0"/>
            </w:pPr>
            <w:r>
              <w:rPr>
                <w:rFonts w:ascii="Arial" w:hAnsi="Arial" w:eastAsia="Arial"/>
                <w:b w:val="0"/>
                <w:color w:val="000000"/>
                <w:sz w:val="24"/>
              </w:rPr>
              <w:t>9</w:t>
            </w:r>
          </w:p>
        </w:tc>
        <w:tc>
          <w:tcPr>
            <w:tcW w:type="dxa" w:w="3478"/>
          </w:tcPr>
          <w:p>
            <w:pPr>
              <w:spacing w:after="0"/>
            </w:pPr>
            <w:r>
              <w:rPr>
                <w:rFonts w:ascii="Arial" w:hAnsi="Arial" w:eastAsia="Arial"/>
                <w:b w:val="0"/>
                <w:color w:val="000000"/>
                <w:sz w:val="24"/>
              </w:rPr>
              <w:t>2</w:t>
            </w:r>
          </w:p>
        </w:tc>
      </w:tr>
      <w:tr>
        <w:tc>
          <w:tcPr>
            <w:tcW w:type="dxa" w:w="3387"/>
          </w:tcPr>
          <w:p>
            <w:pPr>
              <w:spacing w:after="0"/>
            </w:pPr>
            <w:r>
              <w:rPr>
                <w:rFonts w:ascii="Arial" w:hAnsi="Arial" w:eastAsia="Arial"/>
                <w:b w:val="0"/>
                <w:color w:val="000000"/>
                <w:sz w:val="24"/>
              </w:rPr>
              <w:t>3. Núcleo (T-02 … T-16, T-18)</w:t>
            </w:r>
          </w:p>
        </w:tc>
        <w:tc>
          <w:tcPr>
            <w:tcW w:type="dxa" w:w="2773"/>
          </w:tcPr>
          <w:p>
            <w:pPr>
              <w:spacing w:after="0"/>
            </w:pPr>
            <w:r>
              <w:rPr>
                <w:rFonts w:ascii="Arial" w:hAnsi="Arial" w:eastAsia="Arial"/>
                <w:b w:val="0"/>
                <w:color w:val="000000"/>
                <w:sz w:val="24"/>
              </w:rPr>
              <w:t>20</w:t>
            </w:r>
          </w:p>
        </w:tc>
        <w:tc>
          <w:tcPr>
            <w:tcW w:type="dxa" w:w="3478"/>
          </w:tcPr>
          <w:p>
            <w:pPr>
              <w:spacing w:after="0"/>
            </w:pPr>
            <w:r>
              <w:rPr>
                <w:rFonts w:ascii="Arial" w:hAnsi="Arial" w:eastAsia="Arial"/>
                <w:b w:val="0"/>
                <w:color w:val="000000"/>
                <w:sz w:val="24"/>
              </w:rPr>
              <w:t>3</w:t>
            </w:r>
          </w:p>
        </w:tc>
      </w:tr>
      <w:tr>
        <w:tc>
          <w:tcPr>
            <w:tcW w:type="dxa" w:w="3387"/>
          </w:tcPr>
          <w:p>
            <w:pPr>
              <w:spacing w:after="0"/>
            </w:pPr>
            <w:r>
              <w:rPr>
                <w:rFonts w:ascii="Arial" w:hAnsi="Arial" w:eastAsia="Arial"/>
                <w:b w:val="0"/>
                <w:color w:val="000000"/>
                <w:sz w:val="24"/>
              </w:rPr>
              <w:t>4. Web (T-17, T-19, T-20)</w:t>
            </w:r>
          </w:p>
        </w:tc>
        <w:tc>
          <w:tcPr>
            <w:tcW w:type="dxa" w:w="2773"/>
          </w:tcPr>
          <w:p>
            <w:pPr>
              <w:spacing w:after="0"/>
            </w:pPr>
            <w:r>
              <w:rPr>
                <w:rFonts w:ascii="Arial" w:hAnsi="Arial" w:eastAsia="Arial"/>
                <w:b w:val="0"/>
                <w:color w:val="000000"/>
                <w:sz w:val="24"/>
              </w:rPr>
              <w:t>18</w:t>
            </w:r>
          </w:p>
        </w:tc>
        <w:tc>
          <w:tcPr>
            <w:tcW w:type="dxa" w:w="3478"/>
          </w:tcPr>
          <w:p>
            <w:pPr>
              <w:spacing w:after="0"/>
            </w:pPr>
            <w:r>
              <w:rPr>
                <w:rFonts w:ascii="Arial" w:hAnsi="Arial" w:eastAsia="Arial"/>
                <w:b w:val="0"/>
                <w:color w:val="000000"/>
                <w:sz w:val="24"/>
              </w:rPr>
              <w:t>4</w:t>
            </w:r>
          </w:p>
        </w:tc>
      </w:tr>
    </w:tbl>
    <w:p>
      <w:pPr>
        <w:spacing w:before="120"/>
      </w:pPr>
      <w:r>
        <w:rPr>
          <w:rFonts w:ascii="Arial" w:hAnsi="Arial" w:eastAsia="Arial"/>
          <w:b w:val="0"/>
          <w:color w:val="000000"/>
          <w:sz w:val="24"/>
        </w:rPr>
        <w:t xml:space="preserve">La fila web cuenta lo que </w:t>
      </w:r>
      <w:r>
        <w:rPr>
          <w:rFonts w:ascii="Arial" w:hAnsi="Arial" w:eastAsia="Arial"/>
          <w:b w:val="0"/>
          <w:color w:val="000000"/>
          <w:sz w:val="24"/>
        </w:rPr>
        <w:t>gh</w:t>
      </w:r>
      <w:r>
        <w:rPr>
          <w:rFonts w:ascii="Arial" w:hAnsi="Arial" w:eastAsia="Arial"/>
          <w:b w:val="0"/>
          <w:color w:val="000000"/>
          <w:sz w:val="24"/>
        </w:rPr>
        <w:t xml:space="preserve"> listaba el 2026-10-17. El HANDOFF lista un pull request de tarea número 19 para esa fase: su propio registro del cierre de fase, en el repositorio de documentación.</w:t>
      </w:r>
    </w:p>
    <w:p>
      <w:r>
        <w:rPr>
          <w:rFonts w:ascii="Arial" w:hAnsi="Arial" w:eastAsia="Arial"/>
          <w:b w:val="0"/>
          <w:color w:val="000000"/>
          <w:sz w:val="24"/>
        </w:rPr>
        <w:t>El HANDOFF lista cada pull request con su número y su asunto en §8 … §11. Los pull requests de tarea de la fase núcleo en la API, en orden de integración, se leen como la historia de la construcción:</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feat(pricing): add money value object (T-02)</w:t>
      </w:r>
      <w:r>
        <w:rPr>
          <w:rFonts w:ascii="Arial" w:hAnsi="Arial" w:eastAsia="Arial"/>
          <w:b w:val="0"/>
          <w:color w:val="000000"/>
          <w:sz w:val="24"/>
        </w:rPr>
        <w:br/>
        <w:t>feat(pricing): add pricing pipeline and goldens (T-03)</w:t>
      </w:r>
      <w:r>
        <w:rPr>
          <w:rFonts w:ascii="Arial" w:hAnsi="Arial" w:eastAsia="Arial"/>
          <w:b w:val="0"/>
          <w:color w:val="000000"/>
          <w:sz w:val="24"/>
        </w:rPr>
        <w:br/>
        <w:t>feat(db): add normalized schema and seeds (T-08)</w:t>
      </w:r>
      <w:r>
        <w:rPr>
          <w:rFonts w:ascii="Arial" w:hAnsi="Arial" w:eastAsia="Arial"/>
          <w:b w:val="0"/>
          <w:color w:val="000000"/>
          <w:sz w:val="24"/>
        </w:rPr>
        <w:br/>
        <w:t>feat(api): add localized problem details (T-09)</w:t>
      </w:r>
      <w:r>
        <w:rPr>
          <w:rFonts w:ascii="Arial" w:hAnsi="Arial" w:eastAsia="Arial"/>
          <w:b w:val="0"/>
          <w:color w:val="000000"/>
          <w:sz w:val="24"/>
        </w:rPr>
        <w:br/>
        <w:t>feat(outbox): relay order events reliably (T-14)</w:t>
      </w:r>
      <w:r>
        <w:rPr>
          <w:rFonts w:ascii="Arial" w:hAnsi="Arial" w:eastAsia="Arial"/>
          <w:b w:val="0"/>
          <w:color w:val="000000"/>
          <w:sz w:val="24"/>
        </w:rPr>
        <w:br/>
        <w:t>feat(outbox): purge expired data by retention (T-15)</w:t>
      </w:r>
      <w:r>
        <w:rPr>
          <w:rFonts w:ascii="Arial" w:hAnsi="Arial" w:eastAsia="Arial"/>
          <w:b w:val="0"/>
          <w:color w:val="000000"/>
          <w:sz w:val="24"/>
        </w:rPr>
        <w:br/>
        <w:t>feat(quoting): add sealed quotes (T-10)</w:t>
      </w:r>
      <w:r>
        <w:rPr>
          <w:rFonts w:ascii="Arial" w:hAnsi="Arial" w:eastAsia="Arial"/>
          <w:b w:val="0"/>
          <w:color w:val="000000"/>
          <w:sz w:val="24"/>
        </w:rPr>
        <w:br/>
        <w:t>feat(ordering): confirm orders atomically (T-11)</w:t>
      </w:r>
      <w:r>
        <w:rPr>
          <w:rFonts w:ascii="Arial" w:hAnsi="Arial" w:eastAsia="Arial"/>
          <w:b w:val="0"/>
          <w:color w:val="000000"/>
          <w:sz w:val="24"/>
        </w:rPr>
        <w:br/>
        <w:t>test(ordering): prove confirmation invariants (T-12)</w:t>
      </w:r>
      <w:r>
        <w:rPr>
          <w:rFonts w:ascii="Arial" w:hAnsi="Arial" w:eastAsia="Arial"/>
          <w:b w:val="0"/>
          <w:color w:val="000000"/>
          <w:sz w:val="24"/>
        </w:rPr>
        <w:br/>
        <w:t>feat(ordering): add order history endpoints (T-13)</w:t>
      </w:r>
      <w:r>
        <w:rPr>
          <w:rFonts w:ascii="Arial" w:hAnsi="Arial" w:eastAsia="Arial"/>
          <w:b w:val="0"/>
          <w:color w:val="000000"/>
          <w:sz w:val="24"/>
        </w:rPr>
        <w:br/>
        <w:t>feat(pricing): apply marginal tier discounts (T-04)</w:t>
      </w:r>
      <w:r>
        <w:rPr>
          <w:rFonts w:ascii="Arial" w:hAnsi="Arial" w:eastAsia="Arial"/>
          <w:b w:val="0"/>
          <w:color w:val="000000"/>
          <w:sz w:val="24"/>
        </w:rPr>
        <w:br/>
        <w:t>feat(pricing): apply combos before tiers (T-05)</w:t>
      </w:r>
      <w:r>
        <w:rPr>
          <w:rFonts w:ascii="Arial" w:hAnsi="Arial" w:eastAsia="Arial"/>
          <w:b w:val="0"/>
          <w:color w:val="000000"/>
          <w:sz w:val="24"/>
        </w:rPr>
        <w:br/>
        <w:t>feat(pricing): add gifts with tax policy (T-06)</w:t>
      </w:r>
      <w:r>
        <w:rPr>
          <w:rFonts w:ascii="Arial" w:hAnsi="Arial" w:eastAsia="Arial"/>
          <w:b w:val="0"/>
          <w:color w:val="000000"/>
          <w:sz w:val="24"/>
        </w:rPr>
        <w:br/>
        <w:t>test(pricing): cover rounding and countries (T-07)</w:t>
      </w:r>
      <w:r>
        <w:rPr>
          <w:rFonts w:ascii="Arial" w:hAnsi="Arial" w:eastAsia="Arial"/>
          <w:b w:val="0"/>
          <w:color w:val="000000"/>
          <w:sz w:val="24"/>
        </w:rPr>
        <w:br/>
        <w:t>feat(quoting): price quotes with seeded levers (T-18)</w:t>
      </w:r>
      <w:r>
        <w:rPr>
          <w:rFonts w:ascii="Arial" w:hAnsi="Arial" w:eastAsia="Arial"/>
          <w:b w:val="0"/>
          <w:color w:val="000000"/>
          <w:sz w:val="24"/>
        </w:rPr>
        <w:br/>
        <w:t>docs: accept ADR and record evidence (T-16)</w:t>
      </w:r>
    </w:p>
    <w:p>
      <w:pPr>
        <w:pStyle w:val="Heading3"/>
        <w:keepNext/>
        <w:spacing w:before="160" w:after="80"/>
      </w:pPr>
      <w:r>
        <w:rPr>
          <w:rFonts w:ascii="Arial" w:hAnsi="Arial" w:eastAsia="Arial"/>
          <w:b/>
          <w:color w:val="000000"/>
          <w:sz w:val="24"/>
        </w:rPr>
        <w:t>11.3 Commits convencionales</w:t>
      </w:r>
    </w:p>
    <w:p>
      <w:r>
        <w:rPr>
          <w:rFonts w:ascii="Arial" w:hAnsi="Arial" w:eastAsia="Arial"/>
          <w:b w:val="0"/>
          <w:color w:val="000000"/>
          <w:sz w:val="24"/>
        </w:rPr>
        <w:t xml:space="preserve">Cada commit es una sola línea que sigue Conventional Commits 1.0.0 y termina con su tarea: </w:t>
      </w:r>
      <w:r>
        <w:rPr>
          <w:rFonts w:ascii="Arial" w:hAnsi="Arial" w:eastAsia="Arial"/>
          <w:b w:val="0"/>
          <w:color w:val="000000"/>
          <w:sz w:val="24"/>
        </w:rPr>
        <w:t>&lt;type&gt;(&lt;scope&gt;): &lt;imperative summary&gt; (T-NN)</w:t>
      </w:r>
      <w:r>
        <w:rPr>
          <w:rFonts w:ascii="Arial" w:hAnsi="Arial" w:eastAsia="Arial"/>
          <w:b w:val="0"/>
          <w:color w:val="000000"/>
          <w:sz w:val="24"/>
        </w:rPr>
        <w:t>, de 60 caracteres como máximo y en inglés (</w:t>
      </w:r>
      <w:r>
        <w:rPr>
          <w:rFonts w:ascii="Arial" w:hAnsi="Arial" w:eastAsia="Arial"/>
          <w:b w:val="0"/>
          <w:color w:val="000000"/>
          <w:sz w:val="24"/>
        </w:rPr>
        <w:t>orderflow-engine-docs/governance/commit-conventions.md</w:t>
      </w:r>
      <w:r>
        <w:rPr>
          <w:rFonts w:ascii="Arial" w:hAnsi="Arial" w:eastAsia="Arial"/>
          <w:b w:val="0"/>
          <w:color w:val="000000"/>
          <w:sz w:val="24"/>
        </w:rPr>
        <w:t xml:space="preserve">). Los pull requests de tarea se integran con squash, así que el título del pull request es el commit, y la razón y la salida de la verificación quedan en el cuerpo del pull request (tarea, criterios cubiertos, verificación, notas). Un cierre de fase conserva su etiqueta de tarea, como </w:t>
      </w:r>
      <w:r>
        <w:rPr>
          <w:rFonts w:ascii="Arial" w:hAnsi="Arial" w:eastAsia="Arial"/>
          <w:b w:val="0"/>
          <w:color w:val="000000"/>
          <w:sz w:val="24"/>
        </w:rPr>
        <w:t>chore: close core phase (T-16)</w:t>
      </w:r>
      <w:r>
        <w:rPr>
          <w:rFonts w:ascii="Arial" w:hAnsi="Arial" w:eastAsia="Arial"/>
          <w:b w:val="0"/>
          <w:color w:val="000000"/>
          <w:sz w:val="24"/>
        </w:rPr>
        <w:t xml:space="preserve">. </w:t>
      </w:r>
      <w:r>
        <w:rPr>
          <w:rFonts w:ascii="Arial" w:hAnsi="Arial" w:eastAsia="Arial"/>
          <w:b w:val="0"/>
          <w:color w:val="000000"/>
          <w:sz w:val="24"/>
        </w:rPr>
        <w:t>check-docs</w:t>
      </w:r>
      <w:r>
        <w:rPr>
          <w:rFonts w:ascii="Arial" w:hAnsi="Arial" w:eastAsia="Arial"/>
          <w:b w:val="0"/>
          <w:color w:val="000000"/>
          <w:sz w:val="24"/>
        </w:rPr>
        <w:t xml:space="preserve"> falla si una línea de commit planeada en TASKS rompe estas reglas.</w:t>
      </w:r>
    </w:p>
    <w:p>
      <w:pPr>
        <w:pStyle w:val="Heading2"/>
        <w:keepNext/>
        <w:spacing w:before="160" w:after="80"/>
      </w:pPr>
      <w:r>
        <w:rPr>
          <w:rFonts w:ascii="Arial" w:hAnsi="Arial" w:eastAsia="Arial"/>
          <w:b/>
          <w:color w:val="000000"/>
          <w:sz w:val="24"/>
        </w:rPr>
        <w:t>12. Qué no se hizo y por qué</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60"/>
        <w:gridCol w:w="5978"/>
      </w:tblGrid>
      <w:tr>
        <w:tc>
          <w:tcPr>
            <w:tcW w:type="dxa" w:w="3660"/>
          </w:tcPr>
          <w:p>
            <w:pPr>
              <w:spacing w:after="0"/>
            </w:pPr>
            <w:r>
              <w:rPr>
                <w:rFonts w:ascii="Arial" w:hAnsi="Arial" w:eastAsia="Arial"/>
                <w:b/>
                <w:color w:val="000000"/>
                <w:sz w:val="24"/>
              </w:rPr>
              <w:t>Elemento</w:t>
            </w:r>
          </w:p>
        </w:tc>
        <w:tc>
          <w:tcPr>
            <w:tcW w:type="dxa" w:w="5978"/>
          </w:tcPr>
          <w:p>
            <w:pPr>
              <w:spacing w:after="0"/>
            </w:pPr>
            <w:r>
              <w:rPr>
                <w:rFonts w:ascii="Arial" w:hAnsi="Arial" w:eastAsia="Arial"/>
                <w:b/>
                <w:color w:val="000000"/>
                <w:sz w:val="24"/>
              </w:rPr>
              <w:t>Por qué</w:t>
            </w:r>
          </w:p>
        </w:tc>
      </w:tr>
      <w:tr>
        <w:tc>
          <w:tcPr>
            <w:tcW w:type="dxa" w:w="3660"/>
          </w:tcPr>
          <w:p>
            <w:pPr>
              <w:spacing w:after="0"/>
            </w:pPr>
            <w:r>
              <w:rPr>
                <w:rFonts w:ascii="Arial" w:hAnsi="Arial" w:eastAsia="Arial"/>
                <w:b w:val="0"/>
                <w:color w:val="000000"/>
                <w:sz w:val="24"/>
              </w:rPr>
              <w:t>Autenticación</w:t>
            </w:r>
          </w:p>
        </w:tc>
        <w:tc>
          <w:tcPr>
            <w:tcW w:type="dxa" w:w="5978"/>
          </w:tcPr>
          <w:p>
            <w:pPr>
              <w:spacing w:after="0"/>
            </w:pPr>
            <w:r>
              <w:rPr>
                <w:rFonts w:ascii="Arial" w:hAnsi="Arial" w:eastAsia="Arial"/>
                <w:b w:val="0"/>
                <w:color w:val="000000"/>
                <w:sz w:val="24"/>
              </w:rPr>
              <w:t>Fuera del alcance. Tenant y cliente llegan en encabezados, y un gateway los inyectaría</w:t>
            </w:r>
          </w:p>
        </w:tc>
      </w:tr>
      <w:tr>
        <w:tc>
          <w:tcPr>
            <w:tcW w:type="dxa" w:w="3660"/>
          </w:tcPr>
          <w:p>
            <w:pPr>
              <w:spacing w:after="0"/>
            </w:pPr>
            <w:r>
              <w:rPr>
                <w:rFonts w:ascii="Arial" w:hAnsi="Arial" w:eastAsia="Arial"/>
                <w:b w:val="0"/>
                <w:color w:val="000000"/>
                <w:sz w:val="24"/>
              </w:rPr>
              <w:t>Captura de pagos, cancelación y liberación de cupo</w:t>
            </w:r>
          </w:p>
        </w:tc>
        <w:tc>
          <w:tcPr>
            <w:tcW w:type="dxa" w:w="5978"/>
          </w:tcPr>
          <w:p>
            <w:pPr>
              <w:spacing w:after="0"/>
            </w:pPr>
            <w:r>
              <w:rPr>
                <w:rFonts w:ascii="Arial" w:hAnsi="Arial" w:eastAsia="Arial"/>
                <w:b w:val="0"/>
                <w:color w:val="000000"/>
                <w:sz w:val="24"/>
              </w:rPr>
              <w:t>No se pidieron</w:t>
            </w:r>
          </w:p>
        </w:tc>
      </w:tr>
      <w:tr>
        <w:tc>
          <w:tcPr>
            <w:tcW w:type="dxa" w:w="3660"/>
          </w:tcPr>
          <w:p>
            <w:pPr>
              <w:spacing w:after="0"/>
            </w:pPr>
            <w:r>
              <w:rPr>
                <w:rFonts w:ascii="Arial" w:hAnsi="Arial" w:eastAsia="Arial"/>
                <w:b w:val="0"/>
                <w:color w:val="000000"/>
                <w:sz w:val="24"/>
              </w:rPr>
              <w:t>Persistencia del carrito en el servidor</w:t>
            </w:r>
          </w:p>
        </w:tc>
        <w:tc>
          <w:tcPr>
            <w:tcW w:type="dxa" w:w="5978"/>
          </w:tcPr>
          <w:p>
            <w:pPr>
              <w:spacing w:after="0"/>
            </w:pPr>
            <w:r>
              <w:rPr>
                <w:rFonts w:ascii="Arial" w:hAnsi="Arial" w:eastAsia="Arial"/>
                <w:b w:val="0"/>
                <w:color w:val="000000"/>
                <w:sz w:val="24"/>
              </w:rPr>
              <w:t>No se pidió. El carrito viaja en la solicitud de cotización, y el cliente web lo guarda en el navegador</w:t>
            </w:r>
          </w:p>
        </w:tc>
      </w:tr>
      <w:tr>
        <w:tc>
          <w:tcPr>
            <w:tcW w:type="dxa" w:w="3660"/>
          </w:tcPr>
          <w:p>
            <w:pPr>
              <w:spacing w:after="0"/>
            </w:pPr>
            <w:r>
              <w:rPr>
                <w:rFonts w:ascii="Arial" w:hAnsi="Arial" w:eastAsia="Arial"/>
                <w:b w:val="0"/>
                <w:color w:val="000000"/>
                <w:sz w:val="24"/>
              </w:rPr>
              <w:t>Revocación de cotizaciones</w:t>
            </w:r>
          </w:p>
        </w:tc>
        <w:tc>
          <w:tcPr>
            <w:tcW w:type="dxa" w:w="5978"/>
          </w:tcPr>
          <w:p>
            <w:pPr>
              <w:spacing w:after="0"/>
            </w:pPr>
            <w:r>
              <w:rPr>
                <w:rFonts w:ascii="Arial" w:hAnsi="Arial" w:eastAsia="Arial"/>
                <w:b w:val="0"/>
                <w:color w:val="000000"/>
                <w:sz w:val="24"/>
              </w:rPr>
              <w:t>No se pidió. Es el siguiente paso de la mitigación del riesgo del ADR</w:t>
            </w:r>
          </w:p>
        </w:tc>
      </w:tr>
      <w:tr>
        <w:tc>
          <w:tcPr>
            <w:tcW w:type="dxa" w:w="3660"/>
          </w:tcPr>
          <w:p>
            <w:pPr>
              <w:spacing w:after="0"/>
            </w:pPr>
            <w:r>
              <w:rPr>
                <w:rFonts w:ascii="Arial" w:hAnsi="Arial" w:eastAsia="Arial"/>
                <w:b w:val="0"/>
                <w:color w:val="000000"/>
                <w:sz w:val="24"/>
              </w:rPr>
              <w:t>Administración de catálogo y palancas</w:t>
            </w:r>
          </w:p>
        </w:tc>
        <w:tc>
          <w:tcPr>
            <w:tcW w:type="dxa" w:w="5978"/>
          </w:tcPr>
          <w:p>
            <w:pPr>
              <w:spacing w:after="0"/>
            </w:pPr>
            <w:r>
              <w:rPr>
                <w:rFonts w:ascii="Arial" w:hAnsi="Arial" w:eastAsia="Arial"/>
                <w:b w:val="0"/>
                <w:color w:val="000000"/>
                <w:sz w:val="24"/>
              </w:rPr>
              <w:t>No se pidió. Las migraciones siembran los datos. La única operación de catálogo es la lista de productos de solo lectura (E-07)</w:t>
            </w:r>
          </w:p>
        </w:tc>
      </w:tr>
      <w:tr>
        <w:tc>
          <w:tcPr>
            <w:tcW w:type="dxa" w:w="3660"/>
          </w:tcPr>
          <w:p>
            <w:pPr>
              <w:spacing w:after="0"/>
            </w:pPr>
            <w:r>
              <w:rPr>
                <w:rFonts w:ascii="Arial" w:hAnsi="Arial" w:eastAsia="Arial"/>
                <w:b w:val="0"/>
                <w:color w:val="000000"/>
                <w:sz w:val="24"/>
              </w:rPr>
              <w:t>Categorías tributarias e historial de precios</w:t>
            </w:r>
          </w:p>
        </w:tc>
        <w:tc>
          <w:tcPr>
            <w:tcW w:type="dxa" w:w="5978"/>
          </w:tcPr>
          <w:p>
            <w:pPr>
              <w:spacing w:after="0"/>
            </w:pPr>
            <w:r>
              <w:rPr>
                <w:rFonts w:ascii="Arial" w:hAnsi="Arial" w:eastAsia="Arial"/>
                <w:b w:val="0"/>
                <w:color w:val="000000"/>
                <w:sz w:val="24"/>
              </w:rPr>
              <w:t>No se pidieron. Cada SKU lleva su tasa, y cada línea de cotización guarda el precio y la tasa vigentes al cotizar</w:t>
            </w:r>
          </w:p>
        </w:tc>
      </w:tr>
      <w:tr>
        <w:tc>
          <w:tcPr>
            <w:tcW w:type="dxa" w:w="3660"/>
          </w:tcPr>
          <w:p>
            <w:pPr>
              <w:spacing w:after="0"/>
            </w:pPr>
            <w:r>
              <w:rPr>
                <w:rFonts w:ascii="Arial" w:hAnsi="Arial" w:eastAsia="Arial"/>
                <w:b w:val="0"/>
                <w:color w:val="000000"/>
                <w:sz w:val="24"/>
              </w:rPr>
              <w:t>Clientes reales de push y ERP</w:t>
            </w:r>
          </w:p>
        </w:tc>
        <w:tc>
          <w:tcPr>
            <w:tcW w:type="dxa" w:w="5978"/>
          </w:tcPr>
          <w:p>
            <w:pPr>
              <w:spacing w:after="0"/>
            </w:pPr>
            <w:r>
              <w:rPr>
                <w:rFonts w:ascii="Arial" w:hAnsi="Arial" w:eastAsia="Arial"/>
                <w:b w:val="0"/>
                <w:color w:val="000000"/>
                <w:sz w:val="24"/>
              </w:rPr>
              <w:t>Gateways falsos detrás de puertos demuestran las garantías de entrega</w:t>
            </w:r>
          </w:p>
        </w:tc>
      </w:tr>
      <w:tr>
        <w:tc>
          <w:tcPr>
            <w:tcW w:type="dxa" w:w="3660"/>
          </w:tcPr>
          <w:p>
            <w:pPr>
              <w:spacing w:after="0"/>
            </w:pPr>
            <w:r>
              <w:rPr>
                <w:rFonts w:ascii="Arial" w:hAnsi="Arial" w:eastAsia="Arial"/>
                <w:b w:val="0"/>
                <w:color w:val="000000"/>
                <w:sz w:val="24"/>
              </w:rPr>
              <w:t>Archivo OpenAPI y despliegue</w:t>
            </w:r>
          </w:p>
        </w:tc>
        <w:tc>
          <w:tcPr>
            <w:tcW w:type="dxa" w:w="5978"/>
          </w:tcPr>
          <w:p>
            <w:pPr>
              <w:spacing w:after="0"/>
            </w:pPr>
            <w:r>
              <w:rPr>
                <w:rFonts w:ascii="Arial" w:hAnsi="Arial" w:eastAsia="Arial"/>
                <w:b w:val="0"/>
                <w:color w:val="000000"/>
                <w:sz w:val="24"/>
              </w:rPr>
              <w:t xml:space="preserve">No se pidieron. El contrato es </w:t>
            </w:r>
            <w:r>
              <w:rPr>
                <w:rFonts w:ascii="Arial" w:hAnsi="Arial" w:eastAsia="Arial"/>
                <w:b w:val="0"/>
                <w:color w:val="000000"/>
                <w:sz w:val="24"/>
              </w:rPr>
              <w:t>orderflow-engine-docs/spec/api-contract.md</w:t>
            </w:r>
          </w:p>
        </w:tc>
      </w:tr>
      <w:tr>
        <w:tc>
          <w:tcPr>
            <w:tcW w:type="dxa" w:w="3660"/>
          </w:tcPr>
          <w:p>
            <w:pPr>
              <w:spacing w:after="0"/>
            </w:pPr>
            <w:r>
              <w:rPr>
                <w:rFonts w:ascii="Arial" w:hAnsi="Arial" w:eastAsia="Arial"/>
                <w:b w:val="0"/>
                <w:color w:val="000000"/>
                <w:sz w:val="24"/>
              </w:rPr>
              <w:t>Configuración de CORS</w:t>
            </w:r>
          </w:p>
        </w:tc>
        <w:tc>
          <w:tcPr>
            <w:tcW w:type="dxa" w:w="5978"/>
          </w:tcPr>
          <w:p>
            <w:pPr>
              <w:spacing w:after="0"/>
            </w:pPr>
            <w:r>
              <w:rPr>
                <w:rFonts w:ascii="Arial" w:hAnsi="Arial" w:eastAsia="Arial"/>
                <w:b w:val="0"/>
                <w:color w:val="000000"/>
                <w:sz w:val="24"/>
              </w:rPr>
              <w:t xml:space="preserve">No hace falta: el nginx del cliente web reenvía </w:t>
            </w:r>
            <w:r>
              <w:rPr>
                <w:rFonts w:ascii="Arial" w:hAnsi="Arial" w:eastAsia="Arial"/>
                <w:b w:val="0"/>
                <w:color w:val="000000"/>
                <w:sz w:val="24"/>
              </w:rPr>
              <w:t>/api/</w:t>
            </w:r>
            <w:r>
              <w:rPr>
                <w:rFonts w:ascii="Arial" w:hAnsi="Arial" w:eastAsia="Arial"/>
                <w:b w:val="0"/>
                <w:color w:val="000000"/>
                <w:sz w:val="24"/>
              </w:rPr>
              <w:t>, así que el navegador ve un solo origen</w:t>
            </w:r>
          </w:p>
        </w:tc>
      </w:tr>
      <w:tr>
        <w:tc>
          <w:tcPr>
            <w:tcW w:type="dxa" w:w="3660"/>
          </w:tcPr>
          <w:p>
            <w:pPr>
              <w:spacing w:after="0"/>
            </w:pPr>
            <w:r>
              <w:rPr>
                <w:rFonts w:ascii="Arial" w:hAnsi="Arial" w:eastAsia="Arial"/>
                <w:b w:val="0"/>
                <w:color w:val="000000"/>
                <w:sz w:val="24"/>
              </w:rPr>
              <w:t>SonarQube o SonarCloud, un pipeline de CI, pruebas de mutación en CI</w:t>
            </w:r>
          </w:p>
        </w:tc>
        <w:tc>
          <w:tcPr>
            <w:tcW w:type="dxa" w:w="5978"/>
          </w:tcPr>
          <w:p>
            <w:pPr>
              <w:spacing w:after="0"/>
            </w:pPr>
            <w:r>
              <w:rPr>
                <w:rFonts w:ascii="Arial" w:hAnsi="Arial" w:eastAsia="Arial"/>
                <w:b w:val="0"/>
                <w:color w:val="000000"/>
                <w:sz w:val="24"/>
              </w:rPr>
              <w:t>Necesitan un servidor o configuración de CI. El proyecto ya produce lo que cada uno consume (el reporte XML de JaCoCo, los comandos)</w:t>
            </w:r>
          </w:p>
        </w:tc>
      </w:tr>
      <w:tr>
        <w:tc>
          <w:tcPr>
            <w:tcW w:type="dxa" w:w="3660"/>
          </w:tcPr>
          <w:p>
            <w:pPr>
              <w:spacing w:after="0"/>
            </w:pPr>
            <w:r>
              <w:rPr>
                <w:rFonts w:ascii="Arial" w:hAnsi="Arial" w:eastAsia="Arial"/>
                <w:b w:val="0"/>
                <w:color w:val="000000"/>
                <w:sz w:val="24"/>
              </w:rPr>
              <w:t>Un job de migración aparte con roles de mínimo privilegio, un repositorio de esquema aparte</w:t>
            </w:r>
          </w:p>
        </w:tc>
        <w:tc>
          <w:tcPr>
            <w:tcW w:type="dxa" w:w="5978"/>
          </w:tcPr>
          <w:p>
            <w:pPr>
              <w:spacing w:after="0"/>
            </w:pPr>
            <w:r>
              <w:rPr>
                <w:rFonts w:ascii="Arial" w:hAnsi="Arial" w:eastAsia="Arial"/>
                <w:b w:val="0"/>
                <w:color w:val="000000"/>
                <w:sz w:val="24"/>
              </w:rPr>
              <w:t xml:space="preserve">Liquibase corre al arrancar con la credencial del dueño, y los changelogs viven con su único dueño; cada changelog tiene un </w:t>
            </w:r>
            <w:r>
              <w:rPr>
                <w:rFonts w:ascii="Arial" w:hAnsi="Arial" w:eastAsia="Arial"/>
                <w:b w:val="0"/>
                <w:color w:val="000000"/>
                <w:sz w:val="24"/>
              </w:rPr>
              <w:t>logicalFilePath</w:t>
            </w:r>
            <w:r>
              <w:rPr>
                <w:rFonts w:ascii="Arial" w:hAnsi="Arial" w:eastAsia="Arial"/>
                <w:b w:val="0"/>
                <w:color w:val="000000"/>
                <w:sz w:val="24"/>
              </w:rPr>
              <w:t>, así que puede moverse sin volver a aplicarse</w:t>
            </w:r>
          </w:p>
        </w:tc>
      </w:tr>
      <w:tr>
        <w:tc>
          <w:tcPr>
            <w:tcW w:type="dxa" w:w="3660"/>
          </w:tcPr>
          <w:p>
            <w:pPr>
              <w:spacing w:after="0"/>
            </w:pPr>
            <w:r>
              <w:rPr>
                <w:rFonts w:ascii="Arial" w:hAnsi="Arial" w:eastAsia="Arial"/>
                <w:b w:val="0"/>
                <w:color w:val="000000"/>
                <w:sz w:val="24"/>
              </w:rPr>
              <w:t>Catálogo en varios idiomas</w:t>
            </w:r>
          </w:p>
        </w:tc>
        <w:tc>
          <w:tcPr>
            <w:tcW w:type="dxa" w:w="5978"/>
          </w:tcPr>
          <w:p>
            <w:pPr>
              <w:spacing w:after="0"/>
            </w:pPr>
            <w:r>
              <w:rPr>
                <w:rFonts w:ascii="Arial" w:hAnsi="Arial" w:eastAsia="Arial"/>
                <w:b w:val="0"/>
                <w:color w:val="000000"/>
                <w:sz w:val="24"/>
              </w:rPr>
              <w:t>Los nombres de producto son datos del tenant en su idioma; el selector ES/EN traduce la interfaz</w:t>
            </w:r>
          </w:p>
        </w:tc>
      </w:tr>
      <w:tr>
        <w:tc>
          <w:tcPr>
            <w:tcW w:type="dxa" w:w="3660"/>
          </w:tcPr>
          <w:p>
            <w:pPr>
              <w:spacing w:after="0"/>
            </w:pPr>
            <w:r>
              <w:rPr>
                <w:rFonts w:ascii="Arial" w:hAnsi="Arial" w:eastAsia="Arial"/>
                <w:b w:val="0"/>
                <w:color w:val="000000"/>
                <w:sz w:val="24"/>
              </w:rPr>
              <w:t>App móvil</w:t>
            </w:r>
          </w:p>
        </w:tc>
        <w:tc>
          <w:tcPr>
            <w:tcW w:type="dxa" w:w="5978"/>
          </w:tcPr>
          <w:p>
            <w:pPr>
              <w:spacing w:after="0"/>
            </w:pPr>
            <w:r>
              <w:rPr>
                <w:rFonts w:ascii="Arial" w:hAnsi="Arial" w:eastAsia="Arial"/>
                <w:b w:val="0"/>
                <w:color w:val="000000"/>
                <w:sz w:val="24"/>
              </w:rPr>
              <w:t>orderflow-engine-app</w:t>
            </w:r>
            <w:r>
              <w:rPr>
                <w:rFonts w:ascii="Arial" w:hAnsi="Arial" w:eastAsia="Arial"/>
                <w:b w:val="0"/>
                <w:color w:val="000000"/>
                <w:sz w:val="24"/>
              </w:rPr>
              <w:t xml:space="preserve"> está reservado y vacío</w:t>
            </w:r>
          </w:p>
        </w:tc>
      </w:tr>
    </w:tbl>
    <w:p>
      <w:pPr>
        <w:spacing w:before="120"/>
      </w:pPr>
      <w:r>
        <w:rPr>
          <w:rFonts w:ascii="Arial" w:hAnsi="Arial" w:eastAsia="Arial"/>
          <w:b w:val="0"/>
          <w:color w:val="000000"/>
          <w:sz w:val="24"/>
        </w:rPr>
        <w:t xml:space="preserve">Cada elemento que un equipo podría adoptar después tiene un camino de adopción escrito, con el estado actual, el cambio que requiere y su disparador, en </w:t>
      </w:r>
      <w:r>
        <w:rPr>
          <w:rFonts w:ascii="Arial" w:hAnsi="Arial" w:eastAsia="Arial"/>
          <w:b w:val="0"/>
          <w:color w:val="000000"/>
          <w:sz w:val="24"/>
        </w:rPr>
        <w:t>orderflow-engine-docs/spec/plan.md</w:t>
      </w:r>
      <w:r>
        <w:rPr>
          <w:rFonts w:ascii="Arial" w:hAnsi="Arial" w:eastAsia="Arial"/>
          <w:b w:val="0"/>
          <w:color w:val="000000"/>
          <w:sz w:val="24"/>
        </w:rPr>
        <w:t xml:space="preserve"> §3.</w:t>
      </w:r>
    </w:p>
    <w:p>
      <w:pPr>
        <w:pStyle w:val="Heading2"/>
        <w:keepNext/>
        <w:spacing w:before="160" w:after="80"/>
      </w:pPr>
      <w:r>
        <w:rPr>
          <w:rFonts w:ascii="Arial" w:hAnsi="Arial" w:eastAsia="Arial"/>
          <w:b/>
          <w:color w:val="000000"/>
          <w:sz w:val="24"/>
        </w:rPr>
        <w:t>13. Tiempo invertido</w:t>
      </w:r>
    </w:p>
    <w:p>
      <w:r>
        <w:rPr>
          <w:rFonts w:ascii="Arial" w:hAnsi="Arial" w:eastAsia="Arial"/>
          <w:b w:val="0"/>
          <w:color w:val="000000"/>
          <w:sz w:val="24"/>
        </w:rPr>
        <w:t>Los tiempos medidos salen de la tabla "Tiempo invertido" del README de la API: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27"/>
        <w:gridCol w:w="3011"/>
      </w:tblGrid>
      <w:tr>
        <w:tc>
          <w:tcPr>
            <w:tcW w:type="dxa" w:w="6627"/>
          </w:tcPr>
          <w:p>
            <w:pPr>
              <w:spacing w:after="0"/>
            </w:pPr>
            <w:r>
              <w:rPr>
                <w:rFonts w:ascii="Arial" w:hAnsi="Arial" w:eastAsia="Arial"/>
                <w:b/>
                <w:color w:val="000000"/>
                <w:sz w:val="24"/>
              </w:rPr>
              <w:t>Parte</w:t>
            </w:r>
          </w:p>
        </w:tc>
        <w:tc>
          <w:tcPr>
            <w:tcW w:type="dxa" w:w="3011"/>
          </w:tcPr>
          <w:p>
            <w:pPr>
              <w:spacing w:after="0"/>
            </w:pPr>
            <w:r>
              <w:rPr>
                <w:rFonts w:ascii="Arial" w:hAnsi="Arial" w:eastAsia="Arial"/>
                <w:b/>
                <w:color w:val="000000"/>
                <w:sz w:val="24"/>
              </w:rPr>
              <w:t>Tiempo medido</w:t>
            </w:r>
          </w:p>
        </w:tc>
      </w:tr>
      <w:tr>
        <w:tc>
          <w:tcPr>
            <w:tcW w:type="dxa" w:w="6627"/>
          </w:tcPr>
          <w:p>
            <w:pPr>
              <w:spacing w:after="0"/>
            </w:pPr>
            <w:r>
              <w:rPr>
                <w:rFonts w:ascii="Arial" w:hAnsi="Arial" w:eastAsia="Arial"/>
                <w:b w:val="0"/>
                <w:color w:val="000000"/>
                <w:sz w:val="24"/>
              </w:rPr>
              <w:t>La prueba (A1, A2, A3), incluida la especificación</w:t>
            </w:r>
          </w:p>
        </w:tc>
        <w:tc>
          <w:tcPr>
            <w:tcW w:type="dxa" w:w="3011"/>
          </w:tcPr>
          <w:p>
            <w:pPr>
              <w:spacing w:after="0"/>
            </w:pPr>
            <w:r>
              <w:rPr>
                <w:rFonts w:ascii="Arial" w:hAnsi="Arial" w:eastAsia="Arial"/>
                <w:b w:val="0"/>
                <w:color w:val="000000"/>
                <w:sz w:val="24"/>
              </w:rPr>
              <w:t>Tres días de trabajo, del 2026-10-13 al 2026-10-15</w:t>
            </w:r>
          </w:p>
        </w:tc>
      </w:tr>
      <w:tr>
        <w:tc>
          <w:tcPr>
            <w:tcW w:type="dxa" w:w="6627"/>
          </w:tcPr>
          <w:p>
            <w:pPr>
              <w:spacing w:after="0"/>
            </w:pPr>
            <w:r>
              <w:rPr>
                <w:rFonts w:ascii="Arial" w:hAnsi="Arial" w:eastAsia="Arial"/>
                <w:b w:val="0"/>
                <w:color w:val="000000"/>
                <w:sz w:val="24"/>
              </w:rPr>
              <w:t>La pantalla opcional del enunciado: el resumen del pedido</w:t>
            </w:r>
          </w:p>
        </w:tc>
        <w:tc>
          <w:tcPr>
            <w:tcW w:type="dxa" w:w="3011"/>
          </w:tcPr>
          <w:p>
            <w:pPr>
              <w:spacing w:after="0"/>
            </w:pPr>
            <w:r>
              <w:rPr>
                <w:rFonts w:ascii="Arial" w:hAnsi="Arial" w:eastAsia="Arial"/>
                <w:b w:val="0"/>
                <w:color w:val="000000"/>
                <w:sz w:val="24"/>
              </w:rPr>
              <w:t>68 min</w:t>
            </w:r>
          </w:p>
        </w:tc>
      </w:tr>
      <w:tr>
        <w:tc>
          <w:tcPr>
            <w:tcW w:type="dxa" w:w="6627"/>
          </w:tcPr>
          <w:p>
            <w:pPr>
              <w:spacing w:after="0"/>
            </w:pPr>
            <w:r>
              <w:rPr>
                <w:rFonts w:ascii="Arial" w:hAnsi="Arial" w:eastAsia="Arial"/>
                <w:b w:val="0"/>
                <w:color w:val="000000"/>
                <w:sz w:val="24"/>
              </w:rPr>
              <w:t xml:space="preserve">Su contenedor, el cliente web en el stack completo y el paso web de </w:t>
            </w:r>
            <w:r>
              <w:rPr>
                <w:rFonts w:ascii="Arial" w:hAnsi="Arial" w:eastAsia="Arial"/>
                <w:b w:val="0"/>
                <w:color w:val="000000"/>
                <w:sz w:val="24"/>
              </w:rPr>
              <w:t>test-all</w:t>
            </w:r>
          </w:p>
        </w:tc>
        <w:tc>
          <w:tcPr>
            <w:tcW w:type="dxa" w:w="3011"/>
          </w:tcPr>
          <w:p>
            <w:pPr>
              <w:spacing w:after="0"/>
            </w:pPr>
            <w:r>
              <w:rPr>
                <w:rFonts w:ascii="Arial" w:hAnsi="Arial" w:eastAsia="Arial"/>
                <w:b w:val="0"/>
                <w:color w:val="000000"/>
                <w:sz w:val="24"/>
              </w:rPr>
              <w:t>55 min</w:t>
            </w:r>
          </w:p>
        </w:tc>
      </w:tr>
      <w:tr>
        <w:tc>
          <w:tcPr>
            <w:tcW w:type="dxa" w:w="6627"/>
          </w:tcPr>
          <w:p>
            <w:pPr>
              <w:spacing w:after="0"/>
            </w:pPr>
            <w:r>
              <w:rPr>
                <w:rFonts w:ascii="Arial" w:hAnsi="Arial" w:eastAsia="Arial"/>
                <w:b w:val="0"/>
                <w:color w:val="000000"/>
                <w:sz w:val="24"/>
              </w:rPr>
              <w:t>La ampliación más allá del enunciado: la lista de productos (E-07), el carrito, la confirmación idempotente, el pedido, el selector de tienda y Mis pedidos</w:t>
            </w:r>
          </w:p>
        </w:tc>
        <w:tc>
          <w:tcPr>
            <w:tcW w:type="dxa" w:w="3011"/>
          </w:tcPr>
          <w:p>
            <w:pPr>
              <w:spacing w:after="0"/>
            </w:pPr>
            <w:r>
              <w:rPr>
                <w:rFonts w:ascii="Arial" w:hAnsi="Arial" w:eastAsia="Arial"/>
                <w:b w:val="0"/>
                <w:color w:val="000000"/>
                <w:sz w:val="24"/>
              </w:rPr>
              <w:t>3 h 1 min</w:t>
            </w:r>
          </w:p>
        </w:tc>
      </w:tr>
    </w:tbl>
    <w:p>
      <w:pPr>
        <w:spacing w:before="120"/>
      </w:pPr>
      <w:r>
        <w:rPr>
          <w:rFonts w:ascii="Arial" w:hAnsi="Arial" w:eastAsia="Arial"/>
          <w:b w:val="0"/>
          <w:color w:val="000000"/>
          <w:sz w:val="24"/>
        </w:rPr>
        <w:t>Los tiempos web son tiempo de trabajo por parte, construyéndola y corrigiéndola, tomados de marcas de tiempo registradas en cada paso; no incluyen el tiempo de revisión. Las partes se construyeron entre el 2026-10-15 22:05 y el 2026-10-16 06:15 (UTC-5), varias de ellas en paralelo. El enunciado da cinco días; la última fase se cerró el 2026-10-17.</w:t>
      </w:r>
    </w:p>
    <w:p>
      <w:pPr>
        <w:pStyle w:val="Heading2"/>
        <w:keepNext/>
        <w:spacing w:before="160" w:after="80"/>
      </w:pPr>
      <w:r>
        <w:rPr>
          <w:rFonts w:ascii="Arial" w:hAnsi="Arial" w:eastAsia="Arial"/>
          <w:b/>
          <w:color w:val="000000"/>
          <w:sz w:val="24"/>
        </w:rPr>
        <w:t>14. Cómo verificarlo uno mismo en 5 comandos</w:t>
      </w:r>
    </w:p>
    <w:p>
      <w:r>
        <w:rPr>
          <w:rFonts w:ascii="Arial" w:hAnsi="Arial" w:eastAsia="Arial"/>
          <w:b w:val="0"/>
          <w:color w:val="000000"/>
          <w:sz w:val="24"/>
        </w:rPr>
        <w:t>Desde una carpeta vacía, con Git, la CLI de GitHub, JDK 21, Node 18 o posterior y Docker corriendo (mientras los repositorios sean privados, hace falta acceso de lectura):</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for r in api web infra docs tools app; do gh repo clone ariel5253/orderflow-engine-$r; done</w:t>
      </w:r>
      <w:r>
        <w:rPr>
          <w:rFonts w:ascii="Arial" w:hAnsi="Arial" w:eastAsia="Arial"/>
          <w:b w:val="0"/>
          <w:color w:val="000000"/>
          <w:sz w:val="24"/>
        </w:rPr>
        <w:br/>
        <w:t>(cd orderflow-engine-api &amp;&amp; ./mvnw verify)</w:t>
      </w:r>
      <w:r>
        <w:rPr>
          <w:rFonts w:ascii="Arial" w:hAnsi="Arial" w:eastAsia="Arial"/>
          <w:b w:val="0"/>
          <w:color w:val="000000"/>
          <w:sz w:val="24"/>
        </w:rPr>
        <w:br/>
        <w:t>(cd orderflow-engine-api &amp;&amp; ./mvnw -Pmutation verify)</w:t>
      </w:r>
      <w:r>
        <w:rPr>
          <w:rFonts w:ascii="Arial" w:hAnsi="Arial" w:eastAsia="Arial"/>
          <w:b w:val="0"/>
          <w:color w:val="000000"/>
          <w:sz w:val="24"/>
        </w:rPr>
        <w:br/>
        <w:t>bash orderflow-engine-infra/scripts/test-all.sh</w:t>
      </w:r>
      <w:r>
        <w:rPr>
          <w:rFonts w:ascii="Arial" w:hAnsi="Arial" w:eastAsia="Arial"/>
          <w:b w:val="0"/>
          <w:color w:val="000000"/>
          <w:sz w:val="24"/>
        </w:rPr>
        <w:br/>
        <w:t>(cd orderflow-engine-infra &amp;&amp; docker compose up --build)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7"/>
        <w:gridCol w:w="3841"/>
        <w:gridCol w:w="5339"/>
      </w:tblGrid>
      <w:tr>
        <w:tc>
          <w:tcPr>
            <w:tcW w:type="dxa" w:w="457"/>
          </w:tcPr>
          <w:p>
            <w:pPr>
              <w:spacing w:after="0"/>
            </w:pPr>
            <w:r>
              <w:rPr>
                <w:rFonts w:ascii="Arial" w:hAnsi="Arial" w:eastAsia="Arial"/>
                <w:b/>
                <w:color w:val="000000"/>
                <w:sz w:val="24"/>
              </w:rPr>
              <w:t>#</w:t>
            </w:r>
          </w:p>
        </w:tc>
        <w:tc>
          <w:tcPr>
            <w:tcW w:type="dxa" w:w="3841"/>
          </w:tcPr>
          <w:p>
            <w:pPr>
              <w:spacing w:after="0"/>
            </w:pPr>
            <w:r>
              <w:rPr>
                <w:rFonts w:ascii="Arial" w:hAnsi="Arial" w:eastAsia="Arial"/>
                <w:b/>
                <w:color w:val="000000"/>
                <w:sz w:val="24"/>
              </w:rPr>
              <w:t>Comando</w:t>
            </w:r>
          </w:p>
        </w:tc>
        <w:tc>
          <w:tcPr>
            <w:tcW w:type="dxa" w:w="5339"/>
          </w:tcPr>
          <w:p>
            <w:pPr>
              <w:spacing w:after="0"/>
            </w:pPr>
            <w:r>
              <w:rPr>
                <w:rFonts w:ascii="Arial" w:hAnsi="Arial" w:eastAsia="Arial"/>
                <w:b/>
                <w:color w:val="000000"/>
                <w:sz w:val="24"/>
              </w:rPr>
              <w:t>Qué demuestra</w:t>
            </w:r>
          </w:p>
        </w:tc>
      </w:tr>
      <w:tr>
        <w:tc>
          <w:tcPr>
            <w:tcW w:type="dxa" w:w="457"/>
          </w:tcPr>
          <w:p>
            <w:pPr>
              <w:spacing w:after="0"/>
            </w:pPr>
            <w:r>
              <w:rPr>
                <w:rFonts w:ascii="Arial" w:hAnsi="Arial" w:eastAsia="Arial"/>
                <w:b w:val="0"/>
                <w:color w:val="000000"/>
                <w:sz w:val="24"/>
              </w:rPr>
              <w:t>1</w:t>
            </w:r>
          </w:p>
        </w:tc>
        <w:tc>
          <w:tcPr>
            <w:tcW w:type="dxa" w:w="3841"/>
          </w:tcPr>
          <w:p>
            <w:pPr>
              <w:spacing w:after="0"/>
            </w:pPr>
            <w:r>
              <w:rPr>
                <w:rFonts w:ascii="Arial" w:hAnsi="Arial" w:eastAsia="Arial"/>
                <w:b w:val="0"/>
                <w:color w:val="000000"/>
                <w:sz w:val="24"/>
              </w:rPr>
              <w:t>Clonar los seis repositorios uno al lado del otro</w:t>
            </w:r>
          </w:p>
        </w:tc>
        <w:tc>
          <w:tcPr>
            <w:tcW w:type="dxa" w:w="5339"/>
          </w:tcPr>
          <w:p>
            <w:pPr>
              <w:spacing w:after="0"/>
            </w:pPr>
            <w:r>
              <w:rPr>
                <w:rFonts w:ascii="Arial" w:hAnsi="Arial" w:eastAsia="Arial"/>
                <w:b w:val="0"/>
                <w:color w:val="000000"/>
                <w:sz w:val="24"/>
              </w:rPr>
              <w:t xml:space="preserve">La disposición del espacio de trabajo que esperan </w:t>
            </w:r>
            <w:r>
              <w:rPr>
                <w:rFonts w:ascii="Arial" w:hAnsi="Arial" w:eastAsia="Arial"/>
                <w:b w:val="0"/>
                <w:color w:val="000000"/>
                <w:sz w:val="24"/>
              </w:rPr>
              <w:t>test-all</w:t>
            </w:r>
            <w:r>
              <w:rPr>
                <w:rFonts w:ascii="Arial" w:hAnsi="Arial" w:eastAsia="Arial"/>
                <w:b w:val="0"/>
                <w:color w:val="000000"/>
                <w:sz w:val="24"/>
              </w:rPr>
              <w:t xml:space="preserve"> y el compose del stack completo</w:t>
            </w:r>
          </w:p>
        </w:tc>
      </w:tr>
      <w:tr>
        <w:tc>
          <w:tcPr>
            <w:tcW w:type="dxa" w:w="457"/>
          </w:tcPr>
          <w:p>
            <w:pPr>
              <w:spacing w:after="0"/>
            </w:pPr>
            <w:r>
              <w:rPr>
                <w:rFonts w:ascii="Arial" w:hAnsi="Arial" w:eastAsia="Arial"/>
                <w:b w:val="0"/>
                <w:color w:val="000000"/>
                <w:sz w:val="24"/>
              </w:rPr>
              <w:t>2</w:t>
            </w:r>
          </w:p>
        </w:tc>
        <w:tc>
          <w:tcPr>
            <w:tcW w:type="dxa" w:w="3841"/>
          </w:tcPr>
          <w:p>
            <w:pPr>
              <w:spacing w:after="0"/>
            </w:pPr>
            <w:r>
              <w:rPr>
                <w:rFonts w:ascii="Arial" w:hAnsi="Arial" w:eastAsia="Arial"/>
                <w:b w:val="0"/>
                <w:color w:val="000000"/>
                <w:sz w:val="24"/>
              </w:rPr>
              <w:t>./mvnw verify</w:t>
            </w:r>
            <w:r>
              <w:rPr>
                <w:rFonts w:ascii="Arial" w:hAnsi="Arial" w:eastAsia="Arial"/>
                <w:b w:val="0"/>
                <w:color w:val="000000"/>
                <w:sz w:val="24"/>
              </w:rPr>
              <w:t xml:space="preserve"> en </w:t>
            </w:r>
            <w:r>
              <w:rPr>
                <w:rFonts w:ascii="Arial" w:hAnsi="Arial" w:eastAsia="Arial"/>
                <w:b w:val="0"/>
                <w:color w:val="000000"/>
                <w:sz w:val="24"/>
              </w:rPr>
              <w:t>orderflow-engine-api</w:t>
            </w:r>
          </w:p>
        </w:tc>
        <w:tc>
          <w:tcPr>
            <w:tcW w:type="dxa" w:w="5339"/>
          </w:tcPr>
          <w:p>
            <w:pPr>
              <w:spacing w:after="0"/>
            </w:pPr>
            <w:r>
              <w:rPr>
                <w:rFonts w:ascii="Arial" w:hAnsi="Arial" w:eastAsia="Arial"/>
                <w:b w:val="0"/>
                <w:color w:val="000000"/>
                <w:sz w:val="24"/>
              </w:rPr>
              <w:t>El comando único del enunciado: pruebas unitarias, golden, de contrato, de arquitectura y de integración contra PostgreSQL, y el umbral de cobertura</w:t>
            </w:r>
          </w:p>
        </w:tc>
      </w:tr>
      <w:tr>
        <w:tc>
          <w:tcPr>
            <w:tcW w:type="dxa" w:w="457"/>
          </w:tcPr>
          <w:p>
            <w:pPr>
              <w:spacing w:after="0"/>
            </w:pPr>
            <w:r>
              <w:rPr>
                <w:rFonts w:ascii="Arial" w:hAnsi="Arial" w:eastAsia="Arial"/>
                <w:b w:val="0"/>
                <w:color w:val="000000"/>
                <w:sz w:val="24"/>
              </w:rPr>
              <w:t>3</w:t>
            </w:r>
          </w:p>
        </w:tc>
        <w:tc>
          <w:tcPr>
            <w:tcW w:type="dxa" w:w="3841"/>
          </w:tcPr>
          <w:p>
            <w:pPr>
              <w:spacing w:after="0"/>
            </w:pPr>
            <w:r>
              <w:rPr>
                <w:rFonts w:ascii="Arial" w:hAnsi="Arial" w:eastAsia="Arial"/>
                <w:b w:val="0"/>
                <w:color w:val="000000"/>
                <w:sz w:val="24"/>
              </w:rPr>
              <w:t>./mvnw -Pmutation verify</w:t>
            </w:r>
            <w:r>
              <w:rPr>
                <w:rFonts w:ascii="Arial" w:hAnsi="Arial" w:eastAsia="Arial"/>
                <w:b w:val="0"/>
                <w:color w:val="000000"/>
                <w:sz w:val="24"/>
              </w:rPr>
              <w:t xml:space="preserve"> en </w:t>
            </w:r>
            <w:r>
              <w:rPr>
                <w:rFonts w:ascii="Arial" w:hAnsi="Arial" w:eastAsia="Arial"/>
                <w:b w:val="0"/>
                <w:color w:val="000000"/>
                <w:sz w:val="24"/>
              </w:rPr>
              <w:t>orderflow-engine-api</w:t>
            </w:r>
          </w:p>
        </w:tc>
        <w:tc>
          <w:tcPr>
            <w:tcW w:type="dxa" w:w="5339"/>
          </w:tcPr>
          <w:p>
            <w:pPr>
              <w:spacing w:after="0"/>
            </w:pPr>
            <w:r>
              <w:rPr>
                <w:rFonts w:ascii="Arial" w:hAnsi="Arial" w:eastAsia="Arial"/>
                <w:b w:val="0"/>
                <w:color w:val="000000"/>
                <w:sz w:val="24"/>
              </w:rPr>
              <w:t>PIT sobre el dominio de precios, umbral de 80%</w:t>
            </w:r>
          </w:p>
        </w:tc>
      </w:tr>
      <w:tr>
        <w:tc>
          <w:tcPr>
            <w:tcW w:type="dxa" w:w="457"/>
          </w:tcPr>
          <w:p>
            <w:pPr>
              <w:spacing w:after="0"/>
            </w:pPr>
            <w:r>
              <w:rPr>
                <w:rFonts w:ascii="Arial" w:hAnsi="Arial" w:eastAsia="Arial"/>
                <w:b w:val="0"/>
                <w:color w:val="000000"/>
                <w:sz w:val="24"/>
              </w:rPr>
              <w:t>4</w:t>
            </w:r>
          </w:p>
        </w:tc>
        <w:tc>
          <w:tcPr>
            <w:tcW w:type="dxa" w:w="3841"/>
          </w:tcPr>
          <w:p>
            <w:pPr>
              <w:spacing w:after="0"/>
            </w:pPr>
            <w:r>
              <w:rPr>
                <w:rFonts w:ascii="Arial" w:hAnsi="Arial" w:eastAsia="Arial"/>
                <w:b w:val="0"/>
                <w:color w:val="000000"/>
                <w:sz w:val="24"/>
              </w:rPr>
              <w:t>bash orderflow-engine-infra/scripts/test-all.sh</w:t>
            </w:r>
          </w:p>
        </w:tc>
        <w:tc>
          <w:tcPr>
            <w:tcW w:type="dxa" w:w="5339"/>
          </w:tcPr>
          <w:p>
            <w:pPr>
              <w:spacing w:after="0"/>
            </w:pPr>
            <w:r>
              <w:rPr>
                <w:rFonts w:ascii="Arial" w:hAnsi="Arial" w:eastAsia="Arial"/>
                <w:b w:val="0"/>
                <w:color w:val="000000"/>
                <w:sz w:val="24"/>
              </w:rPr>
              <w:t xml:space="preserve">Todo: termina con </w:t>
            </w:r>
            <w:r>
              <w:rPr>
                <w:rFonts w:ascii="Arial" w:hAnsi="Arial" w:eastAsia="Arial"/>
                <w:b w:val="0"/>
                <w:color w:val="000000"/>
                <w:sz w:val="24"/>
              </w:rPr>
              <w:t>test-all: OK (API verify, web tests, end-to-end, documentation check, integrity check)</w:t>
            </w:r>
          </w:p>
        </w:tc>
      </w:tr>
      <w:tr>
        <w:tc>
          <w:tcPr>
            <w:tcW w:type="dxa" w:w="457"/>
          </w:tcPr>
          <w:p>
            <w:pPr>
              <w:spacing w:after="0"/>
            </w:pPr>
            <w:r>
              <w:rPr>
                <w:rFonts w:ascii="Arial" w:hAnsi="Arial" w:eastAsia="Arial"/>
                <w:b w:val="0"/>
                <w:color w:val="000000"/>
                <w:sz w:val="24"/>
              </w:rPr>
              <w:t>5</w:t>
            </w:r>
          </w:p>
        </w:tc>
        <w:tc>
          <w:tcPr>
            <w:tcW w:type="dxa" w:w="3841"/>
          </w:tcPr>
          <w:p>
            <w:pPr>
              <w:spacing w:after="0"/>
            </w:pPr>
            <w:r>
              <w:rPr>
                <w:rFonts w:ascii="Arial" w:hAnsi="Arial" w:eastAsia="Arial"/>
                <w:b w:val="0"/>
                <w:color w:val="000000"/>
                <w:sz w:val="24"/>
              </w:rPr>
              <w:t>docker compose up --build</w:t>
            </w:r>
            <w:r>
              <w:rPr>
                <w:rFonts w:ascii="Arial" w:hAnsi="Arial" w:eastAsia="Arial"/>
                <w:b w:val="0"/>
                <w:color w:val="000000"/>
                <w:sz w:val="24"/>
              </w:rPr>
              <w:t xml:space="preserve"> en </w:t>
            </w:r>
            <w:r>
              <w:rPr>
                <w:rFonts w:ascii="Arial" w:hAnsi="Arial" w:eastAsia="Arial"/>
                <w:b w:val="0"/>
                <w:color w:val="000000"/>
                <w:sz w:val="24"/>
              </w:rPr>
              <w:t>orderflow-engine-infra</w:t>
            </w:r>
          </w:p>
        </w:tc>
        <w:tc>
          <w:tcPr>
            <w:tcW w:type="dxa" w:w="5339"/>
          </w:tcPr>
          <w:p>
            <w:pPr>
              <w:spacing w:after="0"/>
            </w:pPr>
            <w:r>
              <w:rPr>
                <w:rFonts w:ascii="Arial" w:hAnsi="Arial" w:eastAsia="Arial"/>
                <w:b w:val="0"/>
                <w:color w:val="000000"/>
                <w:sz w:val="24"/>
              </w:rPr>
              <w:t xml:space="preserve">El stack en marcha: el cliente web en </w:t>
            </w:r>
            <w:r>
              <w:rPr>
                <w:rFonts w:ascii="Arial" w:hAnsi="Arial" w:eastAsia="Arial"/>
                <w:b w:val="0"/>
                <w:color w:val="000000"/>
                <w:sz w:val="24"/>
              </w:rPr>
              <w:t>http://localhost:8081</w:t>
            </w:r>
            <w:r>
              <w:rPr>
                <w:rFonts w:ascii="Arial" w:hAnsi="Arial" w:eastAsia="Arial"/>
                <w:b w:val="0"/>
                <w:color w:val="000000"/>
                <w:sz w:val="24"/>
              </w:rPr>
              <w:t xml:space="preserve"> y la API en </w:t>
            </w:r>
            <w:r>
              <w:rPr>
                <w:rFonts w:ascii="Arial" w:hAnsi="Arial" w:eastAsia="Arial"/>
                <w:b w:val="0"/>
                <w:color w:val="000000"/>
                <w:sz w:val="24"/>
              </w:rPr>
              <w:t>http://localhost:8080</w:t>
            </w:r>
          </w:p>
        </w:tc>
      </w:tr>
    </w:tbl>
    <w:p>
      <w:pPr>
        <w:spacing w:before="120"/>
      </w:pPr>
      <w:r>
        <w:rPr>
          <w:rFonts w:ascii="Arial" w:hAnsi="Arial" w:eastAsia="Arial"/>
          <w:b w:val="0"/>
          <w:color w:val="000000"/>
          <w:sz w:val="24"/>
        </w:rPr>
        <w:t xml:space="preserve">Con el stack corriendo, elige la tienda "Tienda Norte", agrega 25 unidades de "Gaseosa cola 350 ml", elige "Crédito" y presiona "Cotizar": el resumen muestra el golden test 1, un descuento por escala de 2,750, 11,353 de impuesto y un total de 71,103 COP. Presiona "Confirmar pedido", y el pedido aparece primero en "Mis pedidos" con el mismo total. En Windows, </w:t>
      </w:r>
      <w:r>
        <w:rPr>
          <w:rFonts w:ascii="Arial" w:hAnsi="Arial" w:eastAsia="Arial"/>
          <w:b w:val="0"/>
          <w:color w:val="000000"/>
          <w:sz w:val="24"/>
        </w:rPr>
        <w:t>pwsh -File orderflow-engine-infra/scripts/test-all.ps1</w:t>
      </w:r>
      <w:r>
        <w:rPr>
          <w:rFonts w:ascii="Arial" w:hAnsi="Arial" w:eastAsia="Arial"/>
          <w:b w:val="0"/>
          <w:color w:val="000000"/>
          <w:sz w:val="24"/>
        </w:rPr>
        <w:t xml:space="preserve"> reemplaza el paso 4.</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color w:val="000000"/>
        <w:sz w:val="24"/>
      </w:rPr>
      <w:t xml:space="preserve">Fuente: orderflow-engine-docs/delivery/solution-walkthrough.es.md · pág. </w:t>
    </w:r>
    <w:r>
      <w:rPr>
        <w:rFonts w:ascii="Arial" w:hAnsi="Arial" w:eastAsia="Arial"/>
        <w:b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Engine — Recorrido de la solución</dc:title>
  <dc:subject/>
  <dc:creator>Jesús Ariel González Bonilla</dc:creator>
  <cp:keywords/>
  <dc:description/>
  <cp:lastModifiedBy>Jesús Ariel González Bonilla</cp:lastModifiedBy>
  <cp:revision>1</cp:revision>
  <dcterms:created xsi:type="dcterms:W3CDTF">2013-12-23T23:15:00Z</dcterms:created>
  <dcterms:modified xsi:type="dcterms:W3CDTF">2013-12-23T23:15:00Z</dcterms:modified>
  <cp:category/>
</cp:coreProperties>
</file>