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60" w:after="280"/>
        <w:jc w:val="center"/>
      </w:pPr>
      <w:r>
        <w:rPr>
          <w:rFonts w:ascii="Calibri" w:hAnsi="Calibri"/>
          <w:b/>
          <w:color w:val="00BFCB"/>
          <w:sz w:val="26"/>
        </w:rPr>
        <w:t>HAXIOM EDGE</w:t>
      </w:r>
    </w:p>
    <w:p>
      <w:pPr>
        <w:spacing w:after="40"/>
        <w:jc w:val="center"/>
      </w:pPr>
      <w:r>
        <w:rPr>
          <w:rFonts w:ascii="Calibri" w:hAnsi="Calibri"/>
          <w:b/>
          <w:color w:val="071A2B"/>
          <w:sz w:val="68"/>
        </w:rPr>
        <w:t>SOCCER</w:t>
      </w:r>
    </w:p>
    <w:p>
      <w:pPr>
        <w:spacing w:after="200"/>
        <w:jc w:val="center"/>
      </w:pPr>
      <w:r>
        <w:rPr>
          <w:rFonts w:ascii="Calibri" w:hAnsi="Calibri"/>
          <w:b/>
          <w:color w:val="246BFD"/>
          <w:sz w:val="52"/>
        </w:rPr>
        <w:t>PROP OF THE DAY</w:t>
      </w:r>
    </w:p>
    <w:p>
      <w:pPr>
        <w:spacing w:after="640"/>
        <w:jc w:val="center"/>
      </w:pPr>
      <w:r>
        <w:rPr>
          <w:rFonts w:ascii="Calibri" w:hAnsi="Calibri"/>
          <w:b/>
          <w:color w:val="17324D"/>
          <w:sz w:val="32"/>
        </w:rPr>
        <w:t>SELECTION PROTOCOL</w:t>
      </w:r>
    </w:p>
    <w:p>
      <w:pPr>
        <w:spacing w:after="760"/>
        <w:jc w:val="center"/>
      </w:pPr>
      <w:r>
        <w:rPr>
          <w:rFonts w:ascii="Calibri" w:hAnsi="Calibri"/>
          <w:i/>
          <w:color w:val="66788A"/>
          <w:sz w:val="23"/>
        </w:rPr>
        <w:t>Deterministic player-prop qualification, ranking, and release standard</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shd w:fill="E9FAFB"/>
            <w:tcBorders>
              <w:top w:val="single" w:sz="10" w:color="00BFCB"/>
              <w:left w:val="single" w:sz="10" w:color="00BFCB"/>
              <w:bottom w:val="single" w:sz="10" w:color="00BFCB"/>
              <w:right w:val="single" w:sz="10" w:color="00BFCB"/>
              <w:insideH w:val="single" w:sz="10" w:color="00BFCB"/>
              <w:insideV w:val="single" w:sz="10" w:color="00BFCB"/>
            </w:tcBorders>
          </w:tcPr>
          <w:p>
            <w:pPr>
              <w:spacing w:after="0"/>
              <w:jc w:val="center"/>
            </w:pPr>
            <w:r>
              <w:rPr>
                <w:rFonts w:ascii="Calibri" w:hAnsi="Calibri"/>
                <w:b/>
                <w:color w:val="071A2B"/>
                <w:sz w:val="23"/>
              </w:rPr>
              <w:t>ONE OFFICIAL PROP - OR A DOCUMENTED NO-SELECTION</w:t>
            </w:r>
          </w:p>
        </w:tc>
      </w:tr>
    </w:tbl>
    <w:p>
      <w:pPr>
        <w:spacing w:before="840" w:after="80"/>
        <w:jc w:val="center"/>
      </w:pPr>
      <w:r>
        <w:rPr>
          <w:rFonts w:ascii="Calibri" w:hAnsi="Calibri"/>
          <w:b/>
          <w:color w:val="66788A"/>
          <w:sz w:val="20"/>
        </w:rPr>
        <w:t>Criteria version 1.0  |  September 3, 2026</w:t>
      </w:r>
    </w:p>
    <w:p>
      <w:pPr>
        <w:jc w:val="center"/>
      </w:pPr>
      <w:r>
        <w:rPr>
          <w:rFonts w:ascii="Calibri" w:hAnsi="Calibri"/>
          <w:color w:val="66788A"/>
          <w:sz w:val="19"/>
        </w:rPr>
        <w:t>Prepared for the HAXIOM EDGE signal engine</w:t>
      </w:r>
    </w:p>
    <w:p>
      <w:r>
        <w:br w:type="page"/>
      </w:r>
    </w:p>
    <w:p>
      <w:pPr>
        <w:pStyle w:val="Heading1"/>
        <w:keepNext/>
      </w:pPr>
      <w:r>
        <w:t>1. Primary Objective</w:t>
      </w:r>
    </w:p>
    <w:p>
      <w:r>
        <w:rPr>
          <w:rFonts w:ascii="Calibri" w:hAnsi="Calibri"/>
          <w:color w:val="17324D"/>
        </w:rPr>
        <w:t>The SOCCER Prop of the Day engine must identify one single player prop offering the strongest dependable combination of calibrated probability, measurable no-vig edge, formula-driven confidence, market reliability, role/workload stability, and an executable price across the complete slate.</w:t>
      </w:r>
    </w:p>
    <w:p>
      <w:r>
        <w:rPr>
          <w:rFonts w:ascii="Calibri" w:hAnsi="Calibri"/>
          <w:color w:val="17324D"/>
        </w:rPr>
        <w:t>The objective is not to select the largest theoretical edge. It is to select the most reliable and actionable edge that survives every hard gate, uncertainty adjustment, market check, and final validation.</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shd w:fill="FFF7E6"/>
            <w:tcBorders>
              <w:top w:val="single" w:sz="8" w:color="8B6508"/>
              <w:left w:val="single" w:sz="8" w:color="8B6508"/>
              <w:bottom w:val="single" w:sz="8" w:color="8B6508"/>
              <w:right w:val="single" w:sz="8" w:color="8B6508"/>
              <w:insideH w:val="single" w:sz="8" w:color="8B6508"/>
              <w:insideV w:val="single" w:sz="8" w:color="8B6508"/>
            </w:tcBorders>
          </w:tcPr>
          <w:p>
            <w:pPr>
              <w:spacing w:after="0"/>
            </w:pPr>
            <w:r>
              <w:rPr>
                <w:rFonts w:ascii="Calibri" w:hAnsi="Calibri"/>
                <w:b/>
                <w:color w:val="071A2B"/>
                <w:sz w:val="21"/>
              </w:rPr>
              <w:t xml:space="preserve">Required no-selection response: </w:t>
            </w:r>
            <w:r>
              <w:rPr>
                <w:rFonts w:ascii="Calibri" w:hAnsi="Calibri"/>
                <w:color w:val="17324D"/>
                <w:sz w:val="21"/>
              </w:rPr>
              <w:t>NO QUALIFYING SOCCER PROP OF THE DAY - The current slate does not contain a sufficiently strong and reliable opportunity.</w:t>
            </w:r>
          </w:p>
        </w:tc>
      </w:tr>
    </w:tbl>
    <w:p>
      <w:pPr>
        <w:spacing w:after="0"/>
      </w:pPr>
    </w:p>
    <w:p>
      <w:pPr>
        <w:pStyle w:val="Heading1"/>
        <w:keepNext/>
      </w:pPr>
      <w:r>
        <w:t>2. Scope and Candidate Universe</w:t>
      </w:r>
    </w:p>
    <w:p>
      <w:pPr>
        <w:pStyle w:val="ListBullet"/>
      </w:pPr>
      <w:r>
        <w:rPr>
          <w:rFonts w:ascii="Calibri" w:hAnsi="Calibri"/>
          <w:color w:val="17324D"/>
        </w:rPr>
        <w:t>Evaluate the complete eligible player-prop slate, not a hand-selected subset.</w:t>
      </w:r>
    </w:p>
    <w:p>
      <w:pPr>
        <w:pStyle w:val="ListBullet"/>
      </w:pPr>
      <w:r>
        <w:rPr>
          <w:rFonts w:ascii="Calibri" w:hAnsi="Calibri"/>
          <w:color w:val="17324D"/>
        </w:rPr>
        <w:t>Use only standard, two-sided, widely available markets with compatible settlement rules.</w:t>
      </w:r>
    </w:p>
    <w:p>
      <w:pPr>
        <w:pStyle w:val="ListBullet"/>
      </w:pPr>
      <w:r>
        <w:rPr>
          <w:rFonts w:ascii="Calibri" w:hAnsi="Calibri"/>
          <w:color w:val="17324D"/>
        </w:rPr>
        <w:t>Evaluate both Over and Under. A missing or unreliable opposite side is a hard block.</w:t>
      </w:r>
    </w:p>
    <w:p>
      <w:pPr>
        <w:pStyle w:val="ListBullet"/>
      </w:pPr>
      <w:r>
        <w:rPr>
          <w:rFonts w:ascii="Calibri" w:hAnsi="Calibri"/>
          <w:color w:val="17324D"/>
        </w:rPr>
        <w:t>One player/market/line/side combination is one candidate. Alternate lines are not separate candidates.</w:t>
      </w:r>
    </w:p>
    <w:p>
      <w:pPr>
        <w:pStyle w:val="ListBullet"/>
      </w:pPr>
      <w:r>
        <w:rPr>
          <w:rFonts w:ascii="Calibri" w:hAnsi="Calibri"/>
          <w:color w:val="17324D"/>
        </w:rPr>
        <w:t>The final output is one Official selection or a deterministic no-selection result.</w:t>
      </w:r>
    </w:p>
    <w:p>
      <w:pPr>
        <w:pStyle w:val="Heading1"/>
        <w:keepNext/>
      </w:pPr>
      <w:r>
        <w:t>3. Eligible Player-Prop Markets</w:t>
      </w:r>
    </w:p>
    <w:p>
      <w:pPr>
        <w:pStyle w:val="Heading2"/>
        <w:keepNext/>
      </w:pPr>
      <w:r>
        <w:t>Attacking volume</w:t>
      </w:r>
    </w:p>
    <w:p>
      <w:pPr>
        <w:pStyle w:val="ListBullet"/>
      </w:pPr>
      <w:r>
        <w:rPr>
          <w:rFonts w:ascii="Calibri" w:hAnsi="Calibri"/>
          <w:color w:val="17324D"/>
        </w:rPr>
        <w:t>Shots</w:t>
      </w:r>
    </w:p>
    <w:p>
      <w:pPr>
        <w:pStyle w:val="ListBullet"/>
      </w:pPr>
      <w:r>
        <w:rPr>
          <w:rFonts w:ascii="Calibri" w:hAnsi="Calibri"/>
          <w:color w:val="17324D"/>
        </w:rPr>
        <w:t>Shots on target</w:t>
      </w:r>
    </w:p>
    <w:p>
      <w:pPr>
        <w:pStyle w:val="Heading2"/>
        <w:keepNext/>
      </w:pPr>
      <w:r>
        <w:t>Distribution</w:t>
      </w:r>
    </w:p>
    <w:p>
      <w:pPr>
        <w:pStyle w:val="ListBullet"/>
      </w:pPr>
      <w:r>
        <w:rPr>
          <w:rFonts w:ascii="Calibri" w:hAnsi="Calibri"/>
          <w:color w:val="17324D"/>
        </w:rPr>
        <w:t>Passes attempted</w:t>
      </w:r>
    </w:p>
    <w:p>
      <w:pPr>
        <w:pStyle w:val="ListBullet"/>
      </w:pPr>
      <w:r>
        <w:rPr>
          <w:rFonts w:ascii="Calibri" w:hAnsi="Calibri"/>
          <w:color w:val="17324D"/>
        </w:rPr>
        <w:t>Passes completed</w:t>
      </w:r>
    </w:p>
    <w:p>
      <w:pPr>
        <w:pStyle w:val="Heading2"/>
        <w:keepNext/>
      </w:pPr>
      <w:r>
        <w:t>Defensive and duel events</w:t>
      </w:r>
    </w:p>
    <w:p>
      <w:pPr>
        <w:pStyle w:val="ListBullet"/>
      </w:pPr>
      <w:r>
        <w:rPr>
          <w:rFonts w:ascii="Calibri" w:hAnsi="Calibri"/>
          <w:color w:val="17324D"/>
        </w:rPr>
        <w:t>Tackles</w:t>
      </w:r>
    </w:p>
    <w:p>
      <w:pPr>
        <w:pStyle w:val="ListBullet"/>
      </w:pPr>
      <w:r>
        <w:rPr>
          <w:rFonts w:ascii="Calibri" w:hAnsi="Calibri"/>
          <w:color w:val="17324D"/>
        </w:rPr>
        <w:t>Interceptions</w:t>
      </w:r>
    </w:p>
    <w:p>
      <w:pPr>
        <w:pStyle w:val="ListBullet"/>
      </w:pPr>
      <w:r>
        <w:rPr>
          <w:rFonts w:ascii="Calibri" w:hAnsi="Calibri"/>
          <w:color w:val="17324D"/>
        </w:rPr>
        <w:t>Fouls committed</w:t>
      </w:r>
    </w:p>
    <w:p>
      <w:pPr>
        <w:pStyle w:val="ListBullet"/>
      </w:pPr>
      <w:r>
        <w:rPr>
          <w:rFonts w:ascii="Calibri" w:hAnsi="Calibri"/>
          <w:color w:val="17324D"/>
        </w:rPr>
        <w:t>Fouls drawn</w:t>
      </w:r>
    </w:p>
    <w:p>
      <w:pPr>
        <w:pStyle w:val="Heading2"/>
        <w:keepNext/>
      </w:pPr>
      <w:r>
        <w:t>Goalkeeper</w:t>
      </w:r>
    </w:p>
    <w:p>
      <w:pPr>
        <w:pStyle w:val="ListBullet"/>
      </w:pPr>
      <w:r>
        <w:rPr>
          <w:rFonts w:ascii="Calibri" w:hAnsi="Calibri"/>
          <w:color w:val="17324D"/>
        </w:rPr>
        <w:t>Saves</w:t>
      </w:r>
    </w:p>
    <w:p>
      <w:r>
        <w:rPr>
          <w:rFonts w:ascii="Calibri" w:hAnsi="Calibri"/>
          <w:color w:val="17324D"/>
        </w:rPr>
        <w:t>An otherwise eligible market becomes ineligible when it fails availability, settlement, price, participation, data, or reliability requirements.</w:t>
      </w:r>
    </w:p>
    <w:p>
      <w:pPr>
        <w:pStyle w:val="Heading1"/>
        <w:keepNext/>
      </w:pPr>
      <w:r>
        <w:t>4. Ineligible Markets and Candidates</w:t>
      </w:r>
    </w:p>
    <w:p>
      <w:pPr>
        <w:pStyle w:val="ListBullet"/>
      </w:pPr>
      <w:r>
        <w:rPr>
          <w:rFonts w:ascii="Calibri" w:hAnsi="Calibri"/>
          <w:color w:val="17324D"/>
        </w:rPr>
        <w:t>Anytime, first, last, or multiple goalscorer</w:t>
      </w:r>
    </w:p>
    <w:p>
      <w:pPr>
        <w:pStyle w:val="ListBullet"/>
      </w:pPr>
      <w:r>
        <w:rPr>
          <w:rFonts w:ascii="Calibri" w:hAnsi="Calibri"/>
          <w:color w:val="17324D"/>
        </w:rPr>
        <w:t>Player assists and goal contributions</w:t>
      </w:r>
    </w:p>
    <w:p>
      <w:pPr>
        <w:pStyle w:val="ListBullet"/>
      </w:pPr>
      <w:r>
        <w:rPr>
          <w:rFonts w:ascii="Calibri" w:hAnsi="Calibri"/>
          <w:color w:val="17324D"/>
        </w:rPr>
        <w:t>Player cards and exact card outcomes</w:t>
      </w:r>
    </w:p>
    <w:p>
      <w:pPr>
        <w:pStyle w:val="ListBullet"/>
      </w:pPr>
      <w:r>
        <w:rPr>
          <w:rFonts w:ascii="Calibri" w:hAnsi="Calibri"/>
          <w:color w:val="17324D"/>
        </w:rPr>
        <w:t>Player offsides</w:t>
      </w:r>
    </w:p>
    <w:p>
      <w:pPr>
        <w:pStyle w:val="ListBullet"/>
      </w:pPr>
      <w:r>
        <w:rPr>
          <w:rFonts w:ascii="Calibri" w:hAnsi="Calibri"/>
          <w:color w:val="17324D"/>
        </w:rPr>
        <w:t>First-half and first-event player props</w:t>
      </w:r>
    </w:p>
    <w:p>
      <w:pPr>
        <w:pStyle w:val="ListBullet"/>
      </w:pPr>
      <w:r>
        <w:rPr>
          <w:rFonts w:ascii="Calibri" w:hAnsi="Calibri"/>
          <w:color w:val="17324D"/>
        </w:rPr>
        <w:t>Alternate ladders, exact totals, and milestones</w:t>
      </w:r>
    </w:p>
    <w:p>
      <w:pPr>
        <w:pStyle w:val="ListBullet"/>
      </w:pPr>
      <w:r>
        <w:rPr>
          <w:rFonts w:ascii="Calibri" w:hAnsi="Calibri"/>
          <w:color w:val="17324D"/>
        </w:rPr>
        <w:t>Props whose books use incompatible stat providers or settlement definitions</w:t>
      </w:r>
    </w:p>
    <w:p>
      <w:pPr>
        <w:pStyle w:val="ListBullet"/>
      </w:pPr>
      <w:r>
        <w:rPr>
          <w:rFonts w:ascii="Calibri" w:hAnsi="Calibri"/>
          <w:color w:val="17324D"/>
        </w:rPr>
        <w:t>Extra-time-inclusive markets when other books grade regulation only</w:t>
      </w:r>
    </w:p>
    <w:p>
      <w:pPr>
        <w:pStyle w:val="ListBullet"/>
      </w:pPr>
      <w:r>
        <w:rPr>
          <w:rFonts w:ascii="Calibri" w:hAnsi="Calibri"/>
          <w:color w:val="17324D"/>
        </w:rPr>
        <w:t>Boosted, promotional, and same-game-parlay-only markets</w:t>
      </w:r>
    </w:p>
    <w:p>
      <w:pPr>
        <w:pStyle w:val="ListBullet"/>
      </w:pPr>
      <w:r>
        <w:rPr>
          <w:rFonts w:ascii="Calibri" w:hAnsi="Calibri"/>
          <w:color w:val="17324D"/>
        </w:rPr>
        <w:t>Props for substitutes or players not confirmed in the starting XI</w:t>
      </w:r>
    </w:p>
    <w:p>
      <w:pPr>
        <w:pStyle w:val="ListBullet"/>
      </w:pPr>
      <w:r>
        <w:rPr>
          <w:rFonts w:ascii="Calibri" w:hAnsi="Calibri"/>
          <w:color w:val="17324D"/>
        </w:rPr>
        <w:t>Markets offered by fewer than three independent sportsbooks</w:t>
      </w:r>
    </w:p>
    <w:p>
      <w:pPr>
        <w:pStyle w:val="ListBullet"/>
      </w:pPr>
      <w:r>
        <w:rPr>
          <w:rFonts w:ascii="Calibri" w:hAnsi="Calibri"/>
          <w:color w:val="17324D"/>
        </w:rPr>
        <w:t>Props with incomplete or unreliable opposite-side pricing</w:t>
      </w:r>
    </w:p>
    <w:p>
      <w:pPr>
        <w:pStyle w:val="ListBullet"/>
      </w:pPr>
      <w:r>
        <w:rPr>
          <w:rFonts w:ascii="Calibri" w:hAnsi="Calibri"/>
          <w:color w:val="17324D"/>
        </w:rPr>
        <w:t>Props driven primarily by a low-frequency event, one-book error, or stale line</w:t>
      </w:r>
    </w:p>
    <w:p>
      <w:pPr>
        <w:pStyle w:val="ListBullet"/>
      </w:pPr>
      <w:r>
        <w:rPr>
          <w:rFonts w:ascii="Calibri" w:hAnsi="Calibri"/>
          <w:color w:val="17324D"/>
        </w:rPr>
        <w:t>Props whose current line cannot be reproduced from the registered snapshot</w:t>
      </w:r>
    </w:p>
    <w:p>
      <w:pPr>
        <w:pStyle w:val="Heading1"/>
        <w:keepNext/>
      </w:pPr>
      <w:r>
        <w:t>5. Required Registered Data Snapshot</w:t>
      </w:r>
    </w:p>
    <w:p>
      <w:r>
        <w:rPr>
          <w:rFonts w:ascii="Calibri" w:hAnsi="Calibri"/>
          <w:color w:val="17324D"/>
        </w:rPr>
        <w:t>Every run must register a complete, immutable snapshot before filtering or scoring. It must contain:</w:t>
      </w:r>
    </w:p>
    <w:p>
      <w:pPr>
        <w:pStyle w:val="ListBullet"/>
      </w:pPr>
      <w:r>
        <w:rPr>
          <w:rFonts w:ascii="Calibri" w:hAnsi="Calibri"/>
          <w:color w:val="17324D"/>
        </w:rPr>
        <w:t>Snapshot ID</w:t>
      </w:r>
    </w:p>
    <w:p>
      <w:pPr>
        <w:pStyle w:val="ListBullet"/>
      </w:pPr>
      <w:r>
        <w:rPr>
          <w:rFonts w:ascii="Calibri" w:hAnsi="Calibri"/>
          <w:color w:val="17324D"/>
        </w:rPr>
        <w:t>Sport, league/competition, slate date, event time, exact analysis time, and time zone</w:t>
      </w:r>
    </w:p>
    <w:p>
      <w:pPr>
        <w:pStyle w:val="ListBullet"/>
      </w:pPr>
      <w:r>
        <w:rPr>
          <w:rFonts w:ascii="Calibri" w:hAnsi="Calibri"/>
          <w:color w:val="17324D"/>
        </w:rPr>
        <w:t>Criteria, feature, model, and calibration versions plus rounding rules</w:t>
      </w:r>
    </w:p>
    <w:p>
      <w:pPr>
        <w:pStyle w:val="ListBullet"/>
      </w:pPr>
      <w:r>
        <w:rPr>
          <w:rFonts w:ascii="Calibri" w:hAnsi="Calibri"/>
          <w:color w:val="17324D"/>
        </w:rPr>
        <w:t>Player, team, opponent, home/away designation, and event identifiers</w:t>
      </w:r>
    </w:p>
    <w:p>
      <w:pPr>
        <w:pStyle w:val="ListBullet"/>
      </w:pPr>
      <w:r>
        <w:rPr>
          <w:rFonts w:ascii="Calibri" w:hAnsi="Calibri"/>
          <w:color w:val="17324D"/>
        </w:rPr>
        <w:t>Exact line and both-side odds from every available sportsbook</w:t>
      </w:r>
    </w:p>
    <w:p>
      <w:pPr>
        <w:pStyle w:val="ListBullet"/>
      </w:pPr>
      <w:r>
        <w:rPr>
          <w:rFonts w:ascii="Calibri" w:hAnsi="Calibri"/>
          <w:color w:val="17324D"/>
        </w:rPr>
        <w:t>Sportsbook, quote timestamp, market ID, line source, and settlement-rule ID</w:t>
      </w:r>
    </w:p>
    <w:p>
      <w:pPr>
        <w:pStyle w:val="ListBullet"/>
      </w:pPr>
      <w:r>
        <w:rPr>
          <w:rFonts w:ascii="Calibri" w:hAnsi="Calibri"/>
          <w:color w:val="17324D"/>
        </w:rPr>
        <w:t>Market-consensus price and every valid book-level no-vig probability</w:t>
      </w:r>
    </w:p>
    <w:p>
      <w:pPr>
        <w:pStyle w:val="ListBullet"/>
      </w:pPr>
      <w:r>
        <w:rPr>
          <w:rFonts w:ascii="Calibri" w:hAnsi="Calibri"/>
          <w:color w:val="17324D"/>
        </w:rPr>
        <w:t>Availability, role, workload, injury, and participation status</w:t>
      </w:r>
    </w:p>
    <w:p>
      <w:pPr>
        <w:pStyle w:val="ListBullet"/>
      </w:pPr>
      <w:r>
        <w:rPr>
          <w:rFonts w:ascii="Calibri" w:hAnsi="Calibri"/>
          <w:color w:val="17324D"/>
        </w:rPr>
        <w:t>Relevant player, teammate, opponent, and environment metrics</w:t>
      </w:r>
    </w:p>
    <w:p>
      <w:pPr>
        <w:pStyle w:val="ListBullet"/>
      </w:pPr>
      <w:r>
        <w:rPr>
          <w:rFonts w:ascii="Calibri" w:hAnsi="Calibri"/>
          <w:color w:val="17324D"/>
        </w:rPr>
        <w:t>Data-completeness map and missing-field reason codes</w:t>
      </w:r>
    </w:p>
    <w:p>
      <w:pPr>
        <w:pStyle w:val="ListBullet"/>
      </w:pPr>
      <w:r>
        <w:rPr>
          <w:rFonts w:ascii="Calibri" w:hAnsi="Calibri"/>
          <w:color w:val="17324D"/>
        </w:rPr>
        <w:t>Competition, fixture, kickoff, venue, and regulation/extra-time scope</w:t>
      </w:r>
    </w:p>
    <w:p>
      <w:pPr>
        <w:pStyle w:val="ListBullet"/>
      </w:pPr>
      <w:r>
        <w:rPr>
          <w:rFonts w:ascii="Calibri" w:hAnsi="Calibri"/>
          <w:color w:val="17324D"/>
        </w:rPr>
        <w:t>Official starting XI, formation, player position, captaincy, and set-piece role</w:t>
      </w:r>
    </w:p>
    <w:p>
      <w:pPr>
        <w:pStyle w:val="ListBullet"/>
      </w:pPr>
      <w:r>
        <w:rPr>
          <w:rFonts w:ascii="Calibri" w:hAnsi="Calibri"/>
          <w:color w:val="17324D"/>
        </w:rPr>
        <w:t>Expected minutes, substitution pattern, fitness, rotation, congestion, and importance</w:t>
      </w:r>
    </w:p>
    <w:p>
      <w:pPr>
        <w:pStyle w:val="ListBullet"/>
      </w:pPr>
      <w:r>
        <w:rPr>
          <w:rFonts w:ascii="Calibri" w:hAnsi="Calibri"/>
          <w:color w:val="17324D"/>
        </w:rPr>
        <w:t>Competition-specific stat provider and sportsbook settlement definitions</w:t>
      </w:r>
    </w:p>
    <w:p>
      <w:pPr>
        <w:pStyle w:val="ListBullet"/>
      </w:pPr>
      <w:r>
        <w:rPr>
          <w:rFonts w:ascii="Calibri" w:hAnsi="Calibri"/>
          <w:color w:val="17324D"/>
        </w:rPr>
        <w:t>Team possession, field tilt, tempo, pressing, and game-state distribution</w:t>
      </w:r>
    </w:p>
    <w:p>
      <w:pPr>
        <w:pStyle w:val="ListBullet"/>
      </w:pPr>
      <w:r>
        <w:rPr>
          <w:rFonts w:ascii="Calibri" w:hAnsi="Calibri"/>
          <w:color w:val="17324D"/>
        </w:rPr>
        <w:t>Opponent formation, direct matchup, defensive block, press, and transition style</w:t>
      </w:r>
    </w:p>
    <w:p>
      <w:pPr>
        <w:pStyle w:val="ListBullet"/>
      </w:pPr>
      <w:r>
        <w:rPr>
          <w:rFonts w:ascii="Calibri" w:hAnsi="Calibri"/>
          <w:color w:val="17324D"/>
        </w:rPr>
        <w:t>Weather, pitch, referee, and home/away context</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shd w:fill="EDF3FF"/>
            <w:tcBorders>
              <w:top w:val="single" w:sz="8" w:color="246BFD"/>
              <w:left w:val="single" w:sz="8" w:color="246BFD"/>
              <w:bottom w:val="single" w:sz="8" w:color="246BFD"/>
              <w:right w:val="single" w:sz="8" w:color="246BFD"/>
              <w:insideH w:val="single" w:sz="8" w:color="246BFD"/>
              <w:insideV w:val="single" w:sz="8" w:color="246BFD"/>
            </w:tcBorders>
          </w:tcPr>
          <w:p>
            <w:pPr>
              <w:spacing w:after="0"/>
            </w:pPr>
            <w:r>
              <w:rPr>
                <w:rFonts w:ascii="Calibri" w:hAnsi="Calibri"/>
                <w:b/>
                <w:color w:val="071A2B"/>
                <w:sz w:val="21"/>
              </w:rPr>
              <w:t xml:space="preserve">Determinism: </w:t>
            </w:r>
            <w:r>
              <w:rPr>
                <w:rFonts w:ascii="Calibri" w:hAnsi="Calibri"/>
                <w:color w:val="17324D"/>
                <w:sz w:val="21"/>
              </w:rPr>
              <w:t>The same Snapshot ID, criteria version, feature version, model version, calibration version, and rounding rules must always return the same ranking and status.</w:t>
            </w:r>
          </w:p>
        </w:tc>
      </w:tr>
    </w:tbl>
    <w:p>
      <w:pPr>
        <w:spacing w:after="0"/>
      </w:pPr>
    </w:p>
    <w:p>
      <w:pPr>
        <w:pStyle w:val="Heading1"/>
        <w:keepNext/>
      </w:pPr>
      <w:r>
        <w:t>6. Data Completeness and Missing-Input Policy</w:t>
      </w:r>
    </w:p>
    <w:p>
      <w:pPr>
        <w:pStyle w:val="ListBullet"/>
      </w:pPr>
      <w:r>
        <w:rPr>
          <w:rFonts w:ascii="Calibri" w:hAnsi="Calibri"/>
          <w:color w:val="17324D"/>
        </w:rPr>
        <w:t>Missing inputs cannot be invented, estimated through narrative judgment, or silently replaced by league averages.</w:t>
      </w:r>
    </w:p>
    <w:p>
      <w:pPr>
        <w:pStyle w:val="ListBullet"/>
      </w:pPr>
      <w:r>
        <w:rPr>
          <w:rFonts w:ascii="Calibri" w:hAnsi="Calibri"/>
          <w:color w:val="17324D"/>
        </w:rPr>
        <w:t>A fallback is allowed only when pre-registered in the criteria version and included in completeness scoring.</w:t>
      </w:r>
    </w:p>
    <w:p>
      <w:pPr>
        <w:pStyle w:val="ListBullet"/>
      </w:pPr>
      <w:r>
        <w:rPr>
          <w:rFonts w:ascii="Calibri" w:hAnsi="Calibri"/>
          <w:color w:val="17324D"/>
        </w:rPr>
        <w:t>Participation, role, settlement, opposite-price, and timestamp fields are hard fields.</w:t>
      </w:r>
    </w:p>
    <w:p>
      <w:pPr>
        <w:pStyle w:val="ListBullet"/>
      </w:pPr>
      <w:r>
        <w:rPr>
          <w:rFonts w:ascii="Calibri" w:hAnsi="Calibri"/>
          <w:color w:val="17324D"/>
        </w:rPr>
        <w:t>Data completeness = valid required fields / total required fields x 100.</w:t>
      </w:r>
    </w:p>
    <w:p>
      <w:pPr>
        <w:pStyle w:val="ListBullet"/>
      </w:pPr>
      <w:r>
        <w:rPr>
          <w:rFonts w:ascii="Calibri" w:hAnsi="Calibri"/>
          <w:color w:val="17324D"/>
        </w:rPr>
        <w:t>Minimum completeness is 95%, but any missing hard field still eliminates the candidate.</w:t>
      </w:r>
    </w:p>
    <w:p>
      <w:pPr>
        <w:pStyle w:val="Heading1"/>
        <w:keepNext/>
      </w:pPr>
      <w:r>
        <w:t>7. Market and Price Requirements</w:t>
      </w:r>
    </w:p>
    <w:p>
      <w:pPr>
        <w:pStyle w:val="ListBullet"/>
      </w:pPr>
      <w:r>
        <w:rPr>
          <w:rFonts w:ascii="Calibri" w:hAnsi="Calibri"/>
          <w:color w:val="17324D"/>
        </w:rPr>
        <w:t>The exact line must be offered by at least three independent sportsbooks.</w:t>
      </w:r>
    </w:p>
    <w:p>
      <w:pPr>
        <w:pStyle w:val="ListBullet"/>
      </w:pPr>
      <w:r>
        <w:rPr>
          <w:rFonts w:ascii="Calibri" w:hAnsi="Calibri"/>
          <w:color w:val="17324D"/>
        </w:rPr>
        <w:t>Both sides at the identical line and settlement definition must be available.</w:t>
      </w:r>
    </w:p>
    <w:p>
      <w:pPr>
        <w:pStyle w:val="ListBullet"/>
      </w:pPr>
      <w:r>
        <w:rPr>
          <w:rFonts w:ascii="Calibri" w:hAnsi="Calibri"/>
          <w:color w:val="17324D"/>
        </w:rPr>
        <w:t>The selected American price must be between -175 and +125, inclusive.</w:t>
      </w:r>
    </w:p>
    <w:p>
      <w:pPr>
        <w:pStyle w:val="ListBullet"/>
      </w:pPr>
      <w:r>
        <w:rPr>
          <w:rFonts w:ascii="Calibri" w:hAnsi="Calibri"/>
          <w:color w:val="17324D"/>
        </w:rPr>
        <w:t>The selected price must be within 15 cents of the median consensus and cannot be a stale outlier.</w:t>
      </w:r>
    </w:p>
    <w:p>
      <w:pPr>
        <w:pStyle w:val="ListBullet"/>
      </w:pPr>
      <w:r>
        <w:rPr>
          <w:rFonts w:ascii="Calibri" w:hAnsi="Calibri"/>
          <w:color w:val="17324D"/>
        </w:rPr>
        <w:t>Use the median of valid book-level fair probabilities; do not manufacture edge from one book.</w:t>
      </w:r>
    </w:p>
    <w:p>
      <w:pPr>
        <w:pStyle w:val="ListBullet"/>
      </w:pPr>
      <w:r>
        <w:rPr>
          <w:rFonts w:ascii="Calibri" w:hAnsi="Calibri"/>
          <w:color w:val="17324D"/>
        </w:rPr>
        <w:t>Standard lines only: no ladders, alternate thresholds, boosts, or promotional prices.</w:t>
      </w:r>
    </w:p>
    <w:p>
      <w:pPr>
        <w:pStyle w:val="ListBullet"/>
      </w:pPr>
      <w:r>
        <w:rPr>
          <w:rFonts w:ascii="Calibri" w:hAnsi="Calibri"/>
          <w:color w:val="17324D"/>
        </w:rPr>
        <w:t>Every final quote must be timestamped within five minutes of final validation.</w:t>
      </w:r>
    </w:p>
    <w:p>
      <w:pPr>
        <w:pStyle w:val="ListBullet"/>
      </w:pPr>
      <w:r>
        <w:rPr>
          <w:rFonts w:ascii="Calibri" w:hAnsi="Calibri"/>
          <w:color w:val="17324D"/>
        </w:rPr>
        <w:t>Recheck line, price, and book count immediately before Official release.</w:t>
      </w:r>
    </w:p>
    <w:p>
      <w:pPr>
        <w:pStyle w:val="Heading1"/>
        <w:keepNext/>
      </w:pPr>
      <w:r>
        <w:t>8. Calibrated Probability Calculation</w:t>
      </w:r>
    </w:p>
    <w:p>
      <w:r>
        <w:rPr>
          <w:rFonts w:ascii="Calibri" w:hAnsi="Calibri"/>
          <w:color w:val="17324D"/>
        </w:rPr>
        <w:t>Estimate the probability of the exact side and line using fixed features, weights, distributions, calibration, and rounding rules. Narrative reasoning cannot alter the output.</w:t>
      </w:r>
    </w:p>
    <w:p>
      <w:pPr>
        <w:pStyle w:val="ListBullet"/>
      </w:pPr>
      <w:r>
        <w:rPr>
          <w:rFonts w:ascii="Calibri" w:hAnsi="Calibri"/>
          <w:color w:val="17324D"/>
        </w:rPr>
        <w:t>Expected minutes conditional on starting position and game state</w:t>
      </w:r>
    </w:p>
    <w:p>
      <w:pPr>
        <w:pStyle w:val="ListBullet"/>
      </w:pPr>
      <w:r>
        <w:rPr>
          <w:rFonts w:ascii="Calibri" w:hAnsi="Calibri"/>
          <w:color w:val="17324D"/>
        </w:rPr>
        <w:t>Player role, zone, set-piece duty, and formation</w:t>
      </w:r>
    </w:p>
    <w:p>
      <w:pPr>
        <w:pStyle w:val="ListBullet"/>
      </w:pPr>
      <w:r>
        <w:rPr>
          <w:rFonts w:ascii="Calibri" w:hAnsi="Calibri"/>
          <w:color w:val="17324D"/>
        </w:rPr>
        <w:t>Team possession, field tilt, tempo, and attack share</w:t>
      </w:r>
    </w:p>
    <w:p>
      <w:pPr>
        <w:pStyle w:val="ListBullet"/>
      </w:pPr>
      <w:r>
        <w:rPr>
          <w:rFonts w:ascii="Calibri" w:hAnsi="Calibri"/>
          <w:color w:val="17324D"/>
        </w:rPr>
        <w:t>Opponent press, block height, matchup zone, and transition profile</w:t>
      </w:r>
    </w:p>
    <w:p>
      <w:pPr>
        <w:pStyle w:val="ListBullet"/>
      </w:pPr>
      <w:r>
        <w:rPr>
          <w:rFonts w:ascii="Calibri" w:hAnsi="Calibri"/>
          <w:color w:val="17324D"/>
        </w:rPr>
        <w:t>Competition and team-strength adjustment</w:t>
      </w:r>
    </w:p>
    <w:p>
      <w:pPr>
        <w:pStyle w:val="ListBullet"/>
      </w:pPr>
      <w:r>
        <w:rPr>
          <w:rFonts w:ascii="Calibri" w:hAnsi="Calibri"/>
          <w:color w:val="17324D"/>
        </w:rPr>
        <w:t>Score-state, red-card, and substitution scenarios</w:t>
      </w:r>
    </w:p>
    <w:p>
      <w:pPr>
        <w:pStyle w:val="ListBullet"/>
      </w:pPr>
      <w:r>
        <w:rPr>
          <w:rFonts w:ascii="Calibri" w:hAnsi="Calibri"/>
          <w:color w:val="17324D"/>
        </w:rPr>
        <w:t>Event-definition compatibility across provider and sportsbooks</w:t>
      </w:r>
    </w:p>
    <w:p>
      <w:pPr>
        <w:pStyle w:val="ListBullet"/>
      </w:pPr>
      <w:r>
        <w:rPr>
          <w:rFonts w:ascii="Calibri" w:hAnsi="Calibri"/>
          <w:color w:val="17324D"/>
        </w:rPr>
        <w:t>Market-specific count distribution with zero inflation or overdispersion</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shd w:fill="E9FAFB"/>
            <w:tcBorders>
              <w:top w:val="single" w:sz="8" w:color="00BFCB"/>
              <w:left w:val="single" w:sz="8" w:color="00BFCB"/>
              <w:bottom w:val="single" w:sz="8" w:color="00BFCB"/>
              <w:right w:val="single" w:sz="8" w:color="00BFCB"/>
              <w:insideH w:val="single" w:sz="8" w:color="00BFCB"/>
              <w:insideV w:val="single" w:sz="8" w:color="00BFCB"/>
            </w:tcBorders>
          </w:tcPr>
          <w:p>
            <w:pPr>
              <w:spacing w:after="60"/>
              <w:jc w:val="center"/>
            </w:pPr>
            <w:r>
              <w:rPr>
                <w:rFonts w:ascii="Consolas" w:hAnsi="Consolas"/>
                <w:b/>
                <w:color w:val="071A2B"/>
                <w:sz w:val="21"/>
              </w:rPr>
              <w:t>P_cal = clamp(P_ensemble - U_role - U_data - U_context, 0, 100)</w:t>
            </w:r>
          </w:p>
          <w:p>
            <w:pPr>
              <w:spacing w:after="0"/>
              <w:jc w:val="center"/>
            </w:pPr>
            <w:r>
              <w:rPr>
                <w:rFonts w:ascii="Calibri" w:hAnsi="Calibri"/>
                <w:color w:val="66788A"/>
                <w:sz w:val="19"/>
              </w:rPr>
              <w:t>All terms are percentage points. Uncertainty deductions are rule-based, versioned, and applied before ranking.</w:t>
            </w:r>
          </w:p>
        </w:tc>
      </w:tr>
    </w:tbl>
    <w:p>
      <w:pPr>
        <w:spacing w:after="0"/>
      </w:pPr>
    </w:p>
    <w:p>
      <w:pPr>
        <w:pStyle w:val="ListBullet"/>
      </w:pPr>
      <w:r>
        <w:rPr>
          <w:rFonts w:ascii="Calibri" w:hAnsi="Calibri"/>
          <w:color w:val="17324D"/>
        </w:rPr>
        <w:t>Use at least two independently specified model families when required data exists.</w:t>
      </w:r>
    </w:p>
    <w:p>
      <w:pPr>
        <w:pStyle w:val="ListBullet"/>
      </w:pPr>
      <w:r>
        <w:rPr>
          <w:rFonts w:ascii="Calibri" w:hAnsi="Calibri"/>
          <w:color w:val="17324D"/>
        </w:rPr>
        <w:t>If model probabilities differ by more than 6.0 points, apply MODEL_DISAGREEMENT and eliminate the candidate.</w:t>
      </w:r>
    </w:p>
    <w:p>
      <w:pPr>
        <w:pStyle w:val="ListBullet"/>
      </w:pPr>
      <w:r>
        <w:rPr>
          <w:rFonts w:ascii="Calibri" w:hAnsi="Calibri"/>
          <w:color w:val="17324D"/>
        </w:rPr>
        <w:t>Probability must reflect the complete outcome distribution, including zero/minimum-volume scenarios.</w:t>
      </w:r>
    </w:p>
    <w:p>
      <w:pPr>
        <w:pStyle w:val="ListBullet"/>
      </w:pPr>
      <w:r>
        <w:rPr>
          <w:rFonts w:ascii="Calibri" w:hAnsi="Calibri"/>
          <w:color w:val="17324D"/>
        </w:rPr>
        <w:t>Evaluate calibration out of sample by market family.</w:t>
      </w:r>
    </w:p>
    <w:p>
      <w:pPr>
        <w:pStyle w:val="ListBullet"/>
      </w:pPr>
      <w:r>
        <w:rPr>
          <w:rFonts w:ascii="Calibri" w:hAnsi="Calibri"/>
          <w:color w:val="17324D"/>
        </w:rPr>
        <w:t>Minimum calibrated probability is 62.0% after uncertainty deductions.</w:t>
      </w:r>
    </w:p>
    <w:p>
      <w:pPr>
        <w:pStyle w:val="Heading1"/>
        <w:keepNext/>
      </w:pPr>
      <w:r>
        <w:t>9. No-Vig Market Probability</w:t>
      </w:r>
    </w:p>
    <w:p>
      <w:pPr>
        <w:pStyle w:val="ListNumber"/>
        <w:numPr>
          <w:ilvl w:val="0"/>
          <w:numId w:val="10"/>
        </w:numPr>
      </w:pPr>
      <w:r>
        <w:rPr>
          <w:rFonts w:ascii="Calibri" w:hAnsi="Calibri"/>
          <w:color w:val="17324D"/>
        </w:rPr>
        <w:t>At each valid sportsbook, collect the Over and Under prices at the identical line and settlement definition.</w:t>
      </w:r>
    </w:p>
    <w:p>
      <w:pPr>
        <w:pStyle w:val="ListNumber"/>
        <w:numPr>
          <w:ilvl w:val="0"/>
          <w:numId w:val="10"/>
        </w:numPr>
      </w:pPr>
      <w:r>
        <w:rPr>
          <w:rFonts w:ascii="Calibri" w:hAnsi="Calibri"/>
          <w:color w:val="17324D"/>
        </w:rPr>
        <w:t>Convert each American price to raw implied probability.</w:t>
      </w:r>
    </w:p>
    <w:p>
      <w:pPr>
        <w:pStyle w:val="ListNumber"/>
        <w:numPr>
          <w:ilvl w:val="0"/>
          <w:numId w:val="10"/>
        </w:numPr>
      </w:pPr>
      <w:r>
        <w:rPr>
          <w:rFonts w:ascii="Calibri" w:hAnsi="Calibri"/>
          <w:color w:val="17324D"/>
        </w:rPr>
        <w:t>Normalize the two raw probabilities so their sum equals 100%.</w:t>
      </w:r>
    </w:p>
    <w:p>
      <w:pPr>
        <w:pStyle w:val="ListNumber"/>
        <w:numPr>
          <w:ilvl w:val="0"/>
          <w:numId w:val="10"/>
        </w:numPr>
      </w:pPr>
      <w:r>
        <w:rPr>
          <w:rFonts w:ascii="Calibri" w:hAnsi="Calibri"/>
          <w:color w:val="17324D"/>
        </w:rPr>
        <w:t>Retain the selected side's book-level no-vig probability.</w:t>
      </w:r>
    </w:p>
    <w:p>
      <w:pPr>
        <w:pStyle w:val="ListNumber"/>
        <w:numPr>
          <w:ilvl w:val="0"/>
          <w:numId w:val="10"/>
        </w:numPr>
      </w:pPr>
      <w:r>
        <w:rPr>
          <w:rFonts w:ascii="Calibri" w:hAnsi="Calibri"/>
          <w:color w:val="17324D"/>
        </w:rPr>
        <w:t>Use the median selected-side no-vig probability across valid books as P_market.</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shd w:fill="E9FAFB"/>
            <w:tcBorders>
              <w:top w:val="single" w:sz="8" w:color="00BFCB"/>
              <w:left w:val="single" w:sz="8" w:color="00BFCB"/>
              <w:bottom w:val="single" w:sz="8" w:color="00BFCB"/>
              <w:right w:val="single" w:sz="8" w:color="00BFCB"/>
              <w:insideH w:val="single" w:sz="8" w:color="00BFCB"/>
              <w:insideV w:val="single" w:sz="8" w:color="00BFCB"/>
            </w:tcBorders>
          </w:tcPr>
          <w:p>
            <w:pPr>
              <w:spacing w:after="60"/>
              <w:jc w:val="center"/>
            </w:pPr>
            <w:r>
              <w:rPr>
                <w:rFonts w:ascii="Consolas" w:hAnsi="Consolas"/>
                <w:b/>
                <w:color w:val="071A2B"/>
                <w:sz w:val="21"/>
              </w:rPr>
              <w:t>q(a) = |a| / (|a| + 100) if a &lt; 0;  q(a) = 100 / (a + 100) if a &gt; 0</w:t>
            </w:r>
          </w:p>
          <w:p>
            <w:pPr>
              <w:spacing w:after="0"/>
              <w:jc w:val="center"/>
            </w:pPr>
            <w:r>
              <w:rPr>
                <w:rFonts w:ascii="Calibri" w:hAnsi="Calibri"/>
                <w:color w:val="66788A"/>
                <w:sz w:val="19"/>
              </w:rPr>
              <w:t>Convert American odds a to raw implied probability q.</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shd w:fill="E9FAFB"/>
            <w:tcBorders>
              <w:top w:val="single" w:sz="8" w:color="00BFCB"/>
              <w:left w:val="single" w:sz="8" w:color="00BFCB"/>
              <w:bottom w:val="single" w:sz="8" w:color="00BFCB"/>
              <w:right w:val="single" w:sz="8" w:color="00BFCB"/>
              <w:insideH w:val="single" w:sz="8" w:color="00BFCB"/>
              <w:insideV w:val="single" w:sz="8" w:color="00BFCB"/>
            </w:tcBorders>
          </w:tcPr>
          <w:p>
            <w:pPr>
              <w:spacing w:after="60"/>
              <w:jc w:val="center"/>
            </w:pPr>
            <w:r>
              <w:rPr>
                <w:rFonts w:ascii="Consolas" w:hAnsi="Consolas"/>
                <w:b/>
                <w:color w:val="071A2B"/>
                <w:sz w:val="21"/>
              </w:rPr>
              <w:t>P_market = median[ q_selected / (q_over + q_under) ] x 100</w:t>
            </w:r>
          </w:p>
          <w:p>
            <w:pPr>
              <w:spacing w:after="0"/>
              <w:jc w:val="center"/>
            </w:pPr>
            <w:r>
              <w:rPr>
                <w:rFonts w:ascii="Calibri" w:hAnsi="Calibri"/>
                <w:color w:val="66788A"/>
                <w:sz w:val="19"/>
              </w:rPr>
              <w:t>Compute within each sportsbook first. Never de-vig mismatched lines or incompatible settlement rules.</w:t>
            </w:r>
          </w:p>
        </w:tc>
      </w:tr>
    </w:tbl>
    <w:p>
      <w:pPr>
        <w:spacing w:after="0"/>
      </w:pPr>
    </w:p>
    <w:p>
      <w:pPr>
        <w:pStyle w:val="Heading1"/>
        <w:keepNext/>
      </w:pPr>
      <w:r>
        <w:t>10. Edge Gap and Expected Value</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shd w:fill="E9FAFB"/>
            <w:tcBorders>
              <w:top w:val="single" w:sz="8" w:color="00BFCB"/>
              <w:left w:val="single" w:sz="8" w:color="00BFCB"/>
              <w:bottom w:val="single" w:sz="8" w:color="00BFCB"/>
              <w:right w:val="single" w:sz="8" w:color="00BFCB"/>
              <w:insideH w:val="single" w:sz="8" w:color="00BFCB"/>
              <w:insideV w:val="single" w:sz="8" w:color="00BFCB"/>
            </w:tcBorders>
          </w:tcPr>
          <w:p>
            <w:pPr>
              <w:spacing w:after="60"/>
              <w:jc w:val="center"/>
            </w:pPr>
            <w:r>
              <w:rPr>
                <w:rFonts w:ascii="Consolas" w:hAnsi="Consolas"/>
                <w:b/>
                <w:color w:val="071A2B"/>
                <w:sz w:val="21"/>
              </w:rPr>
              <w:t>Edge_gap = P_cal - P_market</w:t>
            </w:r>
          </w:p>
          <w:p>
            <w:pPr>
              <w:spacing w:after="0"/>
              <w:jc w:val="center"/>
            </w:pPr>
            <w:r>
              <w:rPr>
                <w:rFonts w:ascii="Calibri" w:hAnsi="Calibri"/>
                <w:color w:val="66788A"/>
                <w:sz w:val="19"/>
              </w:rPr>
              <w:t>All values are percentage points for the exact side and line.</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shd w:fill="E9FAFB"/>
            <w:tcBorders>
              <w:top w:val="single" w:sz="8" w:color="00BFCB"/>
              <w:left w:val="single" w:sz="8" w:color="00BFCB"/>
              <w:bottom w:val="single" w:sz="8" w:color="00BFCB"/>
              <w:right w:val="single" w:sz="8" w:color="00BFCB"/>
              <w:insideH w:val="single" w:sz="8" w:color="00BFCB"/>
              <w:insideV w:val="single" w:sz="8" w:color="00BFCB"/>
            </w:tcBorders>
          </w:tcPr>
          <w:p>
            <w:pPr>
              <w:spacing w:after="60"/>
              <w:jc w:val="center"/>
            </w:pPr>
            <w:r>
              <w:rPr>
                <w:rFonts w:ascii="Consolas" w:hAnsi="Consolas"/>
                <w:b/>
                <w:color w:val="071A2B"/>
                <w:sz w:val="21"/>
              </w:rPr>
              <w:t>EV_per_unit = p x b - (1 - p)</w:t>
            </w:r>
          </w:p>
          <w:p>
            <w:pPr>
              <w:spacing w:after="0"/>
              <w:jc w:val="center"/>
            </w:pPr>
            <w:r>
              <w:rPr>
                <w:rFonts w:ascii="Calibri" w:hAnsi="Calibri"/>
                <w:color w:val="66788A"/>
                <w:sz w:val="19"/>
              </w:rPr>
              <w:t>p = P_cal / 100; b = net profit per unit at the selected American price.</w:t>
            </w:r>
          </w:p>
        </w:tc>
      </w:tr>
    </w:tbl>
    <w:p>
      <w:pPr>
        <w:spacing w:after="0"/>
      </w:pPr>
    </w:p>
    <w:p>
      <w:pPr>
        <w:pStyle w:val="ListBullet"/>
      </w:pPr>
      <w:r>
        <w:rPr>
          <w:rFonts w:ascii="Calibri" w:hAnsi="Calibri"/>
          <w:color w:val="17324D"/>
        </w:rPr>
        <w:t>Minimum raw edge gap is 5.5 percentage points.</w:t>
      </w:r>
    </w:p>
    <w:p>
      <w:pPr>
        <w:pStyle w:val="ListBullet"/>
      </w:pPr>
      <w:r>
        <w:rPr>
          <w:rFonts w:ascii="Calibri" w:hAnsi="Calibri"/>
          <w:color w:val="17324D"/>
        </w:rPr>
        <w:t>Expected value must be positive at the selected executable price.</w:t>
      </w:r>
    </w:p>
    <w:p>
      <w:pPr>
        <w:pStyle w:val="ListBullet"/>
      </w:pPr>
      <w:r>
        <w:rPr>
          <w:rFonts w:ascii="Calibri" w:hAnsi="Calibri"/>
          <w:color w:val="17324D"/>
        </w:rPr>
        <w:t>Edge cannot be based on a stale quote, small sample, unconfirmed role, or unusually optimistic projection.</w:t>
      </w:r>
    </w:p>
    <w:p>
      <w:pPr>
        <w:pStyle w:val="ListBullet"/>
      </w:pPr>
      <w:r>
        <w:rPr>
          <w:rFonts w:ascii="Calibri" w:hAnsi="Calibri"/>
          <w:color w:val="17324D"/>
        </w:rPr>
        <w:t>After any price update, recompute the complete candidate rather than adjusting edge in isolation.</w:t>
      </w:r>
    </w:p>
    <w:p>
      <w:pPr>
        <w:pStyle w:val="Heading1"/>
        <w:keepNext/>
      </w:pPr>
      <w:r>
        <w:t>11. Formula-Driven Confidence</w:t>
      </w:r>
    </w:p>
    <w:p>
      <w:r>
        <w:rPr>
          <w:rFonts w:ascii="Calibri" w:hAnsi="Calibri"/>
          <w:color w:val="17324D"/>
        </w:rPr>
        <w:t>Score every component from 0 to 100 using fixed grading anchors stored in the criteria version. A hard block makes the candidate ineligible rather than merely lowering confidence.</w:t>
      </w:r>
    </w:p>
    <w:tbl>
      <w:tblPr>
        <w:tblStyle w:val="TableGrid"/>
        <w:tblW w:type="dxa" w:w="9360"/>
        <w:jc w:val="left"/>
        <w:tblLayout w:type="fixed"/>
        <w:tblLook w:firstColumn="1" w:firstRow="1" w:lastColumn="0" w:lastRow="0" w:noHBand="0" w:noVBand="1" w:val="04A0"/>
        <w:tblInd w:w="120" w:type="dxa"/>
      </w:tblPr>
      <w:tblGrid>
        <w:gridCol w:w="1050"/>
        <w:gridCol w:w="2600"/>
        <w:gridCol w:w="5710"/>
      </w:tblGrid>
      <w:tr>
        <w:trPr>
          <w:tblHeader w:val="true"/>
          <w:cantSplit/>
        </w:trPr>
        <w:tc>
          <w:tcPr>
            <w:tcW w:type="dxa" w:w="1050"/>
            <w:shd w:fill="071A2B"/>
            <w:vAlign w:val="center"/>
            <w:tcMar>
              <w:top w:w="80" w:type="dxa"/>
              <w:start w:w="120" w:type="dxa"/>
              <w:bottom w:w="80" w:type="dxa"/>
              <w:end w:w="120" w:type="dxa"/>
            </w:tcMar>
            <w:tcBorders>
              <w:top w:val="single" w:sz="6" w:color="CBD6DF"/>
              <w:left w:val="single" w:sz="6" w:color="CBD6DF"/>
              <w:bottom w:val="single" w:sz="6" w:color="CBD6DF"/>
              <w:right w:val="single" w:sz="6" w:color="CBD6DF"/>
              <w:insideH w:val="single" w:sz="6" w:color="CBD6DF"/>
              <w:insideV w:val="single" w:sz="6" w:color="CBD6DF"/>
            </w:tcBorders>
          </w:tcPr>
          <w:p>
            <w:pPr>
              <w:spacing w:after="0"/>
            </w:pPr>
            <w:r>
              <w:rPr>
                <w:rFonts w:ascii="Calibri" w:hAnsi="Calibri"/>
                <w:b/>
                <w:color w:val="FFFFFF"/>
                <w:sz w:val="19"/>
              </w:rPr>
              <w:t>Weight</w:t>
            </w:r>
          </w:p>
        </w:tc>
        <w:tc>
          <w:tcPr>
            <w:tcW w:type="dxa" w:w="2600"/>
            <w:shd w:fill="071A2B"/>
            <w:vAlign w:val="center"/>
            <w:tcMar>
              <w:top w:w="80" w:type="dxa"/>
              <w:start w:w="120" w:type="dxa"/>
              <w:bottom w:w="80" w:type="dxa"/>
              <w:end w:w="120" w:type="dxa"/>
            </w:tcMar>
            <w:tcBorders>
              <w:top w:val="single" w:sz="6" w:color="CBD6DF"/>
              <w:left w:val="single" w:sz="6" w:color="CBD6DF"/>
              <w:bottom w:val="single" w:sz="6" w:color="CBD6DF"/>
              <w:right w:val="single" w:sz="6" w:color="CBD6DF"/>
              <w:insideH w:val="single" w:sz="6" w:color="CBD6DF"/>
              <w:insideV w:val="single" w:sz="6" w:color="CBD6DF"/>
            </w:tcBorders>
          </w:tcPr>
          <w:p>
            <w:pPr>
              <w:spacing w:after="0"/>
            </w:pPr>
            <w:r>
              <w:rPr>
                <w:rFonts w:ascii="Calibri" w:hAnsi="Calibri"/>
                <w:b/>
                <w:color w:val="FFFFFF"/>
                <w:sz w:val="19"/>
              </w:rPr>
              <w:t>Component</w:t>
            </w:r>
          </w:p>
        </w:tc>
        <w:tc>
          <w:tcPr>
            <w:tcW w:type="dxa" w:w="5710"/>
            <w:shd w:fill="071A2B"/>
            <w:vAlign w:val="center"/>
            <w:tcMar>
              <w:top w:w="80" w:type="dxa"/>
              <w:start w:w="120" w:type="dxa"/>
              <w:bottom w:w="80" w:type="dxa"/>
              <w:end w:w="120" w:type="dxa"/>
            </w:tcMar>
            <w:tcBorders>
              <w:top w:val="single" w:sz="6" w:color="CBD6DF"/>
              <w:left w:val="single" w:sz="6" w:color="CBD6DF"/>
              <w:bottom w:val="single" w:sz="6" w:color="CBD6DF"/>
              <w:right w:val="single" w:sz="6" w:color="CBD6DF"/>
              <w:insideH w:val="single" w:sz="6" w:color="CBD6DF"/>
              <w:insideV w:val="single" w:sz="6" w:color="CBD6DF"/>
            </w:tcBorders>
          </w:tcPr>
          <w:p>
            <w:pPr>
              <w:spacing w:after="0"/>
            </w:pPr>
            <w:r>
              <w:rPr>
                <w:rFonts w:ascii="Calibri" w:hAnsi="Calibri"/>
                <w:b/>
                <w:color w:val="FFFFFF"/>
                <w:sz w:val="19"/>
              </w:rPr>
              <w:t>Fixed-rule contents</w:t>
            </w:r>
          </w:p>
        </w:tc>
      </w:tr>
      <w:tr>
        <w:trPr>
          <w:cantSplit/>
        </w:trPr>
        <w:tc>
          <w:tcPr>
            <w:tcW w:type="dxa" w:w="1050"/>
            <w:vAlign w:val="center"/>
            <w:tcMar>
              <w:top w:w="80" w:type="dxa"/>
              <w:start w:w="120" w:type="dxa"/>
              <w:bottom w:w="80" w:type="dxa"/>
              <w:end w:w="120" w:type="dxa"/>
            </w:tcMar>
            <w:tcBorders>
              <w:top w:val="single" w:sz="6" w:color="CBD6DF"/>
              <w:left w:val="single" w:sz="6" w:color="CBD6DF"/>
              <w:bottom w:val="single" w:sz="6" w:color="CBD6DF"/>
              <w:right w:val="single" w:sz="6" w:color="CBD6DF"/>
              <w:insideH w:val="single" w:sz="6" w:color="CBD6DF"/>
              <w:insideV w:val="single" w:sz="6" w:color="CBD6DF"/>
            </w:tcBorders>
          </w:tcPr>
          <w:p>
            <w:pPr>
              <w:spacing w:after="0"/>
              <w:jc w:val="center"/>
            </w:pPr>
            <w:r>
              <w:rPr>
                <w:rFonts w:ascii="Calibri" w:hAnsi="Calibri"/>
                <w:b w:val="0"/>
                <w:color w:val="17324D"/>
                <w:sz w:val="18"/>
              </w:rPr>
              <w:t>25%</w:t>
            </w:r>
          </w:p>
        </w:tc>
        <w:tc>
          <w:tcPr>
            <w:tcW w:type="dxa" w:w="2600"/>
            <w:vAlign w:val="center"/>
            <w:tcMar>
              <w:top w:w="80" w:type="dxa"/>
              <w:start w:w="120" w:type="dxa"/>
              <w:bottom w:w="80" w:type="dxa"/>
              <w:end w:w="120" w:type="dxa"/>
            </w:tcMar>
            <w:tcBorders>
              <w:top w:val="single" w:sz="6" w:color="CBD6DF"/>
              <w:left w:val="single" w:sz="6" w:color="CBD6DF"/>
              <w:bottom w:val="single" w:sz="6" w:color="CBD6DF"/>
              <w:right w:val="single" w:sz="6" w:color="CBD6DF"/>
              <w:insideH w:val="single" w:sz="6" w:color="CBD6DF"/>
              <w:insideV w:val="single" w:sz="6" w:color="CBD6DF"/>
            </w:tcBorders>
          </w:tcPr>
          <w:p>
            <w:pPr>
              <w:spacing w:after="0"/>
            </w:pPr>
            <w:r>
              <w:rPr>
                <w:rFonts w:ascii="Calibri" w:hAnsi="Calibri"/>
                <w:b/>
                <w:color w:val="17324D"/>
                <w:sz w:val="18"/>
              </w:rPr>
              <w:t>Lineup and minutes certainty</w:t>
            </w:r>
          </w:p>
        </w:tc>
        <w:tc>
          <w:tcPr>
            <w:tcW w:type="dxa" w:w="5710"/>
            <w:vAlign w:val="center"/>
            <w:tcMar>
              <w:top w:w="80" w:type="dxa"/>
              <w:start w:w="120" w:type="dxa"/>
              <w:bottom w:w="80" w:type="dxa"/>
              <w:end w:w="120" w:type="dxa"/>
            </w:tcMar>
            <w:tcBorders>
              <w:top w:val="single" w:sz="6" w:color="CBD6DF"/>
              <w:left w:val="single" w:sz="6" w:color="CBD6DF"/>
              <w:bottom w:val="single" w:sz="6" w:color="CBD6DF"/>
              <w:right w:val="single" w:sz="6" w:color="CBD6DF"/>
              <w:insideH w:val="single" w:sz="6" w:color="CBD6DF"/>
              <w:insideV w:val="single" w:sz="6" w:color="CBD6DF"/>
            </w:tcBorders>
          </w:tcPr>
          <w:p>
            <w:pPr>
              <w:spacing w:after="0"/>
            </w:pPr>
            <w:r>
              <w:rPr>
                <w:rFonts w:ascii="Calibri" w:hAnsi="Calibri"/>
                <w:b w:val="0"/>
                <w:color w:val="17324D"/>
                <w:sz w:val="18"/>
              </w:rPr>
              <w:t>official XI, fitness, substitution pattern, minute floor</w:t>
            </w:r>
          </w:p>
        </w:tc>
      </w:tr>
      <w:tr>
        <w:trPr>
          <w:cantSplit/>
        </w:trPr>
        <w:tc>
          <w:tcPr>
            <w:tcW w:type="dxa" w:w="1050"/>
            <w:shd w:fill="F3F6F8"/>
            <w:vAlign w:val="center"/>
            <w:tcMar>
              <w:top w:w="80" w:type="dxa"/>
              <w:start w:w="120" w:type="dxa"/>
              <w:bottom w:w="80" w:type="dxa"/>
              <w:end w:w="120" w:type="dxa"/>
            </w:tcMar>
            <w:tcBorders>
              <w:top w:val="single" w:sz="6" w:color="CBD6DF"/>
              <w:left w:val="single" w:sz="6" w:color="CBD6DF"/>
              <w:bottom w:val="single" w:sz="6" w:color="CBD6DF"/>
              <w:right w:val="single" w:sz="6" w:color="CBD6DF"/>
              <w:insideH w:val="single" w:sz="6" w:color="CBD6DF"/>
              <w:insideV w:val="single" w:sz="6" w:color="CBD6DF"/>
            </w:tcBorders>
          </w:tcPr>
          <w:p>
            <w:pPr>
              <w:spacing w:after="0"/>
              <w:jc w:val="center"/>
            </w:pPr>
            <w:r>
              <w:rPr>
                <w:rFonts w:ascii="Calibri" w:hAnsi="Calibri"/>
                <w:b w:val="0"/>
                <w:color w:val="17324D"/>
                <w:sz w:val="18"/>
              </w:rPr>
              <w:t>20%</w:t>
            </w:r>
          </w:p>
        </w:tc>
        <w:tc>
          <w:tcPr>
            <w:tcW w:type="dxa" w:w="2600"/>
            <w:shd w:fill="F3F6F8"/>
            <w:vAlign w:val="center"/>
            <w:tcMar>
              <w:top w:w="80" w:type="dxa"/>
              <w:start w:w="120" w:type="dxa"/>
              <w:bottom w:w="80" w:type="dxa"/>
              <w:end w:w="120" w:type="dxa"/>
            </w:tcMar>
            <w:tcBorders>
              <w:top w:val="single" w:sz="6" w:color="CBD6DF"/>
              <w:left w:val="single" w:sz="6" w:color="CBD6DF"/>
              <w:bottom w:val="single" w:sz="6" w:color="CBD6DF"/>
              <w:right w:val="single" w:sz="6" w:color="CBD6DF"/>
              <w:insideH w:val="single" w:sz="6" w:color="CBD6DF"/>
              <w:insideV w:val="single" w:sz="6" w:color="CBD6DF"/>
            </w:tcBorders>
          </w:tcPr>
          <w:p>
            <w:pPr>
              <w:spacing w:after="0"/>
            </w:pPr>
            <w:r>
              <w:rPr>
                <w:rFonts w:ascii="Calibri" w:hAnsi="Calibri"/>
                <w:b/>
                <w:color w:val="17324D"/>
                <w:sz w:val="18"/>
              </w:rPr>
              <w:t>Matchup support</w:t>
            </w:r>
          </w:p>
        </w:tc>
        <w:tc>
          <w:tcPr>
            <w:tcW w:type="dxa" w:w="5710"/>
            <w:shd w:fill="F3F6F8"/>
            <w:vAlign w:val="center"/>
            <w:tcMar>
              <w:top w:w="80" w:type="dxa"/>
              <w:start w:w="120" w:type="dxa"/>
              <w:bottom w:w="80" w:type="dxa"/>
              <w:end w:w="120" w:type="dxa"/>
            </w:tcMar>
            <w:tcBorders>
              <w:top w:val="single" w:sz="6" w:color="CBD6DF"/>
              <w:left w:val="single" w:sz="6" w:color="CBD6DF"/>
              <w:bottom w:val="single" w:sz="6" w:color="CBD6DF"/>
              <w:right w:val="single" w:sz="6" w:color="CBD6DF"/>
              <w:insideH w:val="single" w:sz="6" w:color="CBD6DF"/>
              <w:insideV w:val="single" w:sz="6" w:color="CBD6DF"/>
            </w:tcBorders>
          </w:tcPr>
          <w:p>
            <w:pPr>
              <w:spacing w:after="0"/>
            </w:pPr>
            <w:r>
              <w:rPr>
                <w:rFonts w:ascii="Calibri" w:hAnsi="Calibri"/>
                <w:b w:val="0"/>
                <w:color w:val="17324D"/>
                <w:sz w:val="18"/>
              </w:rPr>
              <w:t>formation, role zone, possession, opponent press/block</w:t>
            </w:r>
          </w:p>
        </w:tc>
      </w:tr>
      <w:tr>
        <w:trPr>
          <w:cantSplit/>
        </w:trPr>
        <w:tc>
          <w:tcPr>
            <w:tcW w:type="dxa" w:w="1050"/>
            <w:vAlign w:val="center"/>
            <w:tcMar>
              <w:top w:w="80" w:type="dxa"/>
              <w:start w:w="120" w:type="dxa"/>
              <w:bottom w:w="80" w:type="dxa"/>
              <w:end w:w="120" w:type="dxa"/>
            </w:tcMar>
            <w:tcBorders>
              <w:top w:val="single" w:sz="6" w:color="CBD6DF"/>
              <w:left w:val="single" w:sz="6" w:color="CBD6DF"/>
              <w:bottom w:val="single" w:sz="6" w:color="CBD6DF"/>
              <w:right w:val="single" w:sz="6" w:color="CBD6DF"/>
              <w:insideH w:val="single" w:sz="6" w:color="CBD6DF"/>
              <w:insideV w:val="single" w:sz="6" w:color="CBD6DF"/>
            </w:tcBorders>
          </w:tcPr>
          <w:p>
            <w:pPr>
              <w:spacing w:after="0"/>
              <w:jc w:val="center"/>
            </w:pPr>
            <w:r>
              <w:rPr>
                <w:rFonts w:ascii="Calibri" w:hAnsi="Calibri"/>
                <w:b w:val="0"/>
                <w:color w:val="17324D"/>
                <w:sz w:val="18"/>
              </w:rPr>
              <w:t>15%</w:t>
            </w:r>
          </w:p>
        </w:tc>
        <w:tc>
          <w:tcPr>
            <w:tcW w:type="dxa" w:w="2600"/>
            <w:vAlign w:val="center"/>
            <w:tcMar>
              <w:top w:w="80" w:type="dxa"/>
              <w:start w:w="120" w:type="dxa"/>
              <w:bottom w:w="80" w:type="dxa"/>
              <w:end w:w="120" w:type="dxa"/>
            </w:tcMar>
            <w:tcBorders>
              <w:top w:val="single" w:sz="6" w:color="CBD6DF"/>
              <w:left w:val="single" w:sz="6" w:color="CBD6DF"/>
              <w:bottom w:val="single" w:sz="6" w:color="CBD6DF"/>
              <w:right w:val="single" w:sz="6" w:color="CBD6DF"/>
              <w:insideH w:val="single" w:sz="6" w:color="CBD6DF"/>
              <w:insideV w:val="single" w:sz="6" w:color="CBD6DF"/>
            </w:tcBorders>
          </w:tcPr>
          <w:p>
            <w:pPr>
              <w:spacing w:after="0"/>
            </w:pPr>
            <w:r>
              <w:rPr>
                <w:rFonts w:ascii="Calibri" w:hAnsi="Calibri"/>
                <w:b/>
                <w:color w:val="17324D"/>
                <w:sz w:val="18"/>
              </w:rPr>
              <w:t>Position and duty certainty</w:t>
            </w:r>
          </w:p>
        </w:tc>
        <w:tc>
          <w:tcPr>
            <w:tcW w:type="dxa" w:w="5710"/>
            <w:vAlign w:val="center"/>
            <w:tcMar>
              <w:top w:w="80" w:type="dxa"/>
              <w:start w:w="120" w:type="dxa"/>
              <w:bottom w:w="80" w:type="dxa"/>
              <w:end w:w="120" w:type="dxa"/>
            </w:tcMar>
            <w:tcBorders>
              <w:top w:val="single" w:sz="6" w:color="CBD6DF"/>
              <w:left w:val="single" w:sz="6" w:color="CBD6DF"/>
              <w:bottom w:val="single" w:sz="6" w:color="CBD6DF"/>
              <w:right w:val="single" w:sz="6" w:color="CBD6DF"/>
              <w:insideH w:val="single" w:sz="6" w:color="CBD6DF"/>
              <w:insideV w:val="single" w:sz="6" w:color="CBD6DF"/>
            </w:tcBorders>
          </w:tcPr>
          <w:p>
            <w:pPr>
              <w:spacing w:after="0"/>
            </w:pPr>
            <w:r>
              <w:rPr>
                <w:rFonts w:ascii="Calibri" w:hAnsi="Calibri"/>
                <w:b w:val="0"/>
                <w:color w:val="17324D"/>
                <w:sz w:val="18"/>
              </w:rPr>
              <w:t>actual position, set pieces, tactical task</w:t>
            </w:r>
          </w:p>
        </w:tc>
      </w:tr>
      <w:tr>
        <w:trPr>
          <w:cantSplit/>
        </w:trPr>
        <w:tc>
          <w:tcPr>
            <w:tcW w:type="dxa" w:w="1050"/>
            <w:shd w:fill="F3F6F8"/>
            <w:vAlign w:val="center"/>
            <w:tcMar>
              <w:top w:w="80" w:type="dxa"/>
              <w:start w:w="120" w:type="dxa"/>
              <w:bottom w:w="80" w:type="dxa"/>
              <w:end w:w="120" w:type="dxa"/>
            </w:tcMar>
            <w:tcBorders>
              <w:top w:val="single" w:sz="6" w:color="CBD6DF"/>
              <w:left w:val="single" w:sz="6" w:color="CBD6DF"/>
              <w:bottom w:val="single" w:sz="6" w:color="CBD6DF"/>
              <w:right w:val="single" w:sz="6" w:color="CBD6DF"/>
              <w:insideH w:val="single" w:sz="6" w:color="CBD6DF"/>
              <w:insideV w:val="single" w:sz="6" w:color="CBD6DF"/>
            </w:tcBorders>
          </w:tcPr>
          <w:p>
            <w:pPr>
              <w:spacing w:after="0"/>
              <w:jc w:val="center"/>
            </w:pPr>
            <w:r>
              <w:rPr>
                <w:rFonts w:ascii="Calibri" w:hAnsi="Calibri"/>
                <w:b w:val="0"/>
                <w:color w:val="17324D"/>
                <w:sz w:val="18"/>
              </w:rPr>
              <w:t>15%</w:t>
            </w:r>
          </w:p>
        </w:tc>
        <w:tc>
          <w:tcPr>
            <w:tcW w:type="dxa" w:w="2600"/>
            <w:shd w:fill="F3F6F8"/>
            <w:vAlign w:val="center"/>
            <w:tcMar>
              <w:top w:w="80" w:type="dxa"/>
              <w:start w:w="120" w:type="dxa"/>
              <w:bottom w:w="80" w:type="dxa"/>
              <w:end w:w="120" w:type="dxa"/>
            </w:tcMar>
            <w:tcBorders>
              <w:top w:val="single" w:sz="6" w:color="CBD6DF"/>
              <w:left w:val="single" w:sz="6" w:color="CBD6DF"/>
              <w:bottom w:val="single" w:sz="6" w:color="CBD6DF"/>
              <w:right w:val="single" w:sz="6" w:color="CBD6DF"/>
              <w:insideH w:val="single" w:sz="6" w:color="CBD6DF"/>
              <w:insideV w:val="single" w:sz="6" w:color="CBD6DF"/>
            </w:tcBorders>
          </w:tcPr>
          <w:p>
            <w:pPr>
              <w:spacing w:after="0"/>
            </w:pPr>
            <w:r>
              <w:rPr>
                <w:rFonts w:ascii="Calibri" w:hAnsi="Calibri"/>
                <w:b/>
                <w:color w:val="17324D"/>
                <w:sz w:val="18"/>
              </w:rPr>
              <w:t>Model stability</w:t>
            </w:r>
          </w:p>
        </w:tc>
        <w:tc>
          <w:tcPr>
            <w:tcW w:type="dxa" w:w="5710"/>
            <w:shd w:fill="F3F6F8"/>
            <w:vAlign w:val="center"/>
            <w:tcMar>
              <w:top w:w="80" w:type="dxa"/>
              <w:start w:w="120" w:type="dxa"/>
              <w:bottom w:w="80" w:type="dxa"/>
              <w:end w:w="120" w:type="dxa"/>
            </w:tcMar>
            <w:tcBorders>
              <w:top w:val="single" w:sz="6" w:color="CBD6DF"/>
              <w:left w:val="single" w:sz="6" w:color="CBD6DF"/>
              <w:bottom w:val="single" w:sz="6" w:color="CBD6DF"/>
              <w:right w:val="single" w:sz="6" w:color="CBD6DF"/>
              <w:insideH w:val="single" w:sz="6" w:color="CBD6DF"/>
              <w:insideV w:val="single" w:sz="6" w:color="CBD6DF"/>
            </w:tcBorders>
          </w:tcPr>
          <w:p>
            <w:pPr>
              <w:spacing w:after="0"/>
            </w:pPr>
            <w:r>
              <w:rPr>
                <w:rFonts w:ascii="Calibri" w:hAnsi="Calibri"/>
                <w:b w:val="0"/>
                <w:color w:val="17324D"/>
                <w:sz w:val="18"/>
              </w:rPr>
              <w:t>calibration, league sample, ensemble agreement, count variance</w:t>
            </w:r>
          </w:p>
        </w:tc>
      </w:tr>
      <w:tr>
        <w:trPr>
          <w:cantSplit/>
        </w:trPr>
        <w:tc>
          <w:tcPr>
            <w:tcW w:type="dxa" w:w="1050"/>
            <w:vAlign w:val="center"/>
            <w:tcMar>
              <w:top w:w="80" w:type="dxa"/>
              <w:start w:w="120" w:type="dxa"/>
              <w:bottom w:w="80" w:type="dxa"/>
              <w:end w:w="120" w:type="dxa"/>
            </w:tcMar>
            <w:tcBorders>
              <w:top w:val="single" w:sz="6" w:color="CBD6DF"/>
              <w:left w:val="single" w:sz="6" w:color="CBD6DF"/>
              <w:bottom w:val="single" w:sz="6" w:color="CBD6DF"/>
              <w:right w:val="single" w:sz="6" w:color="CBD6DF"/>
              <w:insideH w:val="single" w:sz="6" w:color="CBD6DF"/>
              <w:insideV w:val="single" w:sz="6" w:color="CBD6DF"/>
            </w:tcBorders>
          </w:tcPr>
          <w:p>
            <w:pPr>
              <w:spacing w:after="0"/>
              <w:jc w:val="center"/>
            </w:pPr>
            <w:r>
              <w:rPr>
                <w:rFonts w:ascii="Calibri" w:hAnsi="Calibri"/>
                <w:b w:val="0"/>
                <w:color w:val="17324D"/>
                <w:sz w:val="18"/>
              </w:rPr>
              <w:t>15%</w:t>
            </w:r>
          </w:p>
        </w:tc>
        <w:tc>
          <w:tcPr>
            <w:tcW w:type="dxa" w:w="2600"/>
            <w:vAlign w:val="center"/>
            <w:tcMar>
              <w:top w:w="80" w:type="dxa"/>
              <w:start w:w="120" w:type="dxa"/>
              <w:bottom w:w="80" w:type="dxa"/>
              <w:end w:w="120" w:type="dxa"/>
            </w:tcMar>
            <w:tcBorders>
              <w:top w:val="single" w:sz="6" w:color="CBD6DF"/>
              <w:left w:val="single" w:sz="6" w:color="CBD6DF"/>
              <w:bottom w:val="single" w:sz="6" w:color="CBD6DF"/>
              <w:right w:val="single" w:sz="6" w:color="CBD6DF"/>
              <w:insideH w:val="single" w:sz="6" w:color="CBD6DF"/>
              <w:insideV w:val="single" w:sz="6" w:color="CBD6DF"/>
            </w:tcBorders>
          </w:tcPr>
          <w:p>
            <w:pPr>
              <w:spacing w:after="0"/>
            </w:pPr>
            <w:r>
              <w:rPr>
                <w:rFonts w:ascii="Calibri" w:hAnsi="Calibri"/>
                <w:b/>
                <w:color w:val="17324D"/>
                <w:sz w:val="18"/>
              </w:rPr>
              <w:t>Data completeness</w:t>
            </w:r>
          </w:p>
        </w:tc>
        <w:tc>
          <w:tcPr>
            <w:tcW w:type="dxa" w:w="5710"/>
            <w:vAlign w:val="center"/>
            <w:tcMar>
              <w:top w:w="80" w:type="dxa"/>
              <w:start w:w="120" w:type="dxa"/>
              <w:bottom w:w="80" w:type="dxa"/>
              <w:end w:w="120" w:type="dxa"/>
            </w:tcMar>
            <w:tcBorders>
              <w:top w:val="single" w:sz="6" w:color="CBD6DF"/>
              <w:left w:val="single" w:sz="6" w:color="CBD6DF"/>
              <w:bottom w:val="single" w:sz="6" w:color="CBD6DF"/>
              <w:right w:val="single" w:sz="6" w:color="CBD6DF"/>
              <w:insideH w:val="single" w:sz="6" w:color="CBD6DF"/>
              <w:insideV w:val="single" w:sz="6" w:color="CBD6DF"/>
            </w:tcBorders>
          </w:tcPr>
          <w:p>
            <w:pPr>
              <w:spacing w:after="0"/>
            </w:pPr>
            <w:r>
              <w:rPr>
                <w:rFonts w:ascii="Calibri" w:hAnsi="Calibri"/>
                <w:b w:val="0"/>
                <w:color w:val="17324D"/>
                <w:sz w:val="18"/>
              </w:rPr>
              <w:t>lineup, provider, referee, weather, tactical, market inputs</w:t>
            </w:r>
          </w:p>
        </w:tc>
      </w:tr>
      <w:tr>
        <w:trPr>
          <w:cantSplit/>
        </w:trPr>
        <w:tc>
          <w:tcPr>
            <w:tcW w:type="dxa" w:w="1050"/>
            <w:shd w:fill="F3F6F8"/>
            <w:vAlign w:val="center"/>
            <w:tcMar>
              <w:top w:w="80" w:type="dxa"/>
              <w:start w:w="120" w:type="dxa"/>
              <w:bottom w:w="80" w:type="dxa"/>
              <w:end w:w="120" w:type="dxa"/>
            </w:tcMar>
            <w:tcBorders>
              <w:top w:val="single" w:sz="6" w:color="CBD6DF"/>
              <w:left w:val="single" w:sz="6" w:color="CBD6DF"/>
              <w:bottom w:val="single" w:sz="6" w:color="CBD6DF"/>
              <w:right w:val="single" w:sz="6" w:color="CBD6DF"/>
              <w:insideH w:val="single" w:sz="6" w:color="CBD6DF"/>
              <w:insideV w:val="single" w:sz="6" w:color="CBD6DF"/>
            </w:tcBorders>
          </w:tcPr>
          <w:p>
            <w:pPr>
              <w:spacing w:after="0"/>
              <w:jc w:val="center"/>
            </w:pPr>
            <w:r>
              <w:rPr>
                <w:rFonts w:ascii="Calibri" w:hAnsi="Calibri"/>
                <w:b w:val="0"/>
                <w:color w:val="17324D"/>
                <w:sz w:val="18"/>
              </w:rPr>
              <w:t>10%</w:t>
            </w:r>
          </w:p>
        </w:tc>
        <w:tc>
          <w:tcPr>
            <w:tcW w:type="dxa" w:w="2600"/>
            <w:shd w:fill="F3F6F8"/>
            <w:vAlign w:val="center"/>
            <w:tcMar>
              <w:top w:w="80" w:type="dxa"/>
              <w:start w:w="120" w:type="dxa"/>
              <w:bottom w:w="80" w:type="dxa"/>
              <w:end w:w="120" w:type="dxa"/>
            </w:tcMar>
            <w:tcBorders>
              <w:top w:val="single" w:sz="6" w:color="CBD6DF"/>
              <w:left w:val="single" w:sz="6" w:color="CBD6DF"/>
              <w:bottom w:val="single" w:sz="6" w:color="CBD6DF"/>
              <w:right w:val="single" w:sz="6" w:color="CBD6DF"/>
              <w:insideH w:val="single" w:sz="6" w:color="CBD6DF"/>
              <w:insideV w:val="single" w:sz="6" w:color="CBD6DF"/>
            </w:tcBorders>
          </w:tcPr>
          <w:p>
            <w:pPr>
              <w:spacing w:after="0"/>
            </w:pPr>
            <w:r>
              <w:rPr>
                <w:rFonts w:ascii="Calibri" w:hAnsi="Calibri"/>
                <w:b/>
                <w:color w:val="17324D"/>
                <w:sz w:val="18"/>
              </w:rPr>
              <w:t>Market quality</w:t>
            </w:r>
          </w:p>
        </w:tc>
        <w:tc>
          <w:tcPr>
            <w:tcW w:type="dxa" w:w="5710"/>
            <w:shd w:fill="F3F6F8"/>
            <w:vAlign w:val="center"/>
            <w:tcMar>
              <w:top w:w="80" w:type="dxa"/>
              <w:start w:w="120" w:type="dxa"/>
              <w:bottom w:w="80" w:type="dxa"/>
              <w:end w:w="120" w:type="dxa"/>
            </w:tcMar>
            <w:tcBorders>
              <w:top w:val="single" w:sz="6" w:color="CBD6DF"/>
              <w:left w:val="single" w:sz="6" w:color="CBD6DF"/>
              <w:bottom w:val="single" w:sz="6" w:color="CBD6DF"/>
              <w:right w:val="single" w:sz="6" w:color="CBD6DF"/>
              <w:insideH w:val="single" w:sz="6" w:color="CBD6DF"/>
              <w:insideV w:val="single" w:sz="6" w:color="CBD6DF"/>
            </w:tcBorders>
          </w:tcPr>
          <w:p>
            <w:pPr>
              <w:spacing w:after="0"/>
            </w:pPr>
            <w:r>
              <w:rPr>
                <w:rFonts w:ascii="Calibri" w:hAnsi="Calibri"/>
                <w:b w:val="0"/>
                <w:color w:val="17324D"/>
                <w:sz w:val="18"/>
              </w:rPr>
              <w:t>book count, settlement compatibility, pricing, freshness</w:t>
            </w:r>
          </w:p>
        </w:tc>
      </w:tr>
    </w:tbl>
    <w:tbl>
      <w:tblPr>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shd w:fill="E9FAFB"/>
            <w:tcBorders>
              <w:top w:val="single" w:sz="8" w:color="00BFCB"/>
              <w:left w:val="single" w:sz="8" w:color="00BFCB"/>
              <w:bottom w:val="single" w:sz="8" w:color="00BFCB"/>
              <w:right w:val="single" w:sz="8" w:color="00BFCB"/>
              <w:insideH w:val="single" w:sz="8" w:color="00BFCB"/>
              <w:insideV w:val="single" w:sz="8" w:color="00BFCB"/>
            </w:tcBorders>
          </w:tcPr>
          <w:p>
            <w:pPr>
              <w:spacing w:after="60"/>
              <w:jc w:val="center"/>
            </w:pPr>
            <w:r>
              <w:rPr>
                <w:rFonts w:ascii="Consolas" w:hAnsi="Consolas"/>
                <w:b/>
                <w:color w:val="071A2B"/>
                <w:sz w:val="21"/>
              </w:rPr>
              <w:t>Confidence = 0.25xC1 + 0.20xC2 + 0.15xC3 + 0.15xC4 + 0.15xC5 + 0.10xC6</w:t>
            </w:r>
          </w:p>
          <w:p>
            <w:pPr>
              <w:spacing w:after="0"/>
              <w:jc w:val="center"/>
            </w:pPr>
            <w:r>
              <w:rPr>
                <w:rFonts w:ascii="Calibri" w:hAnsi="Calibri"/>
                <w:color w:val="66788A"/>
                <w:sz w:val="19"/>
              </w:rPr>
              <w:t>C1-C6 correspond, in order, to the fixed-rule components in the table above.</w:t>
            </w:r>
          </w:p>
        </w:tc>
      </w:tr>
    </w:tbl>
    <w:p>
      <w:pPr>
        <w:spacing w:after="0"/>
      </w:pPr>
    </w:p>
    <w:p>
      <w:r>
        <w:rPr>
          <w:rFonts w:ascii="Calibri" w:hAnsi="Calibri"/>
          <w:color w:val="17324D"/>
        </w:rPr>
        <w:t>Minimum confidence is 86/100. Written explanation cannot raise or override the score.</w:t>
      </w:r>
    </w:p>
    <w:p>
      <w:pPr>
        <w:pStyle w:val="Heading1"/>
        <w:keepNext/>
      </w:pPr>
      <w:r>
        <w:t>12. Minimum Qualification Requirements</w:t>
      </w:r>
    </w:p>
    <w:tbl>
      <w:tblPr>
        <w:tblStyle w:val="TableGrid"/>
        <w:tblW w:type="dxa" w:w="9360"/>
        <w:jc w:val="left"/>
        <w:tblLayout w:type="fixed"/>
        <w:tblLook w:firstColumn="1" w:firstRow="1" w:lastColumn="0" w:lastRow="0" w:noHBand="0" w:noVBand="1" w:val="04A0"/>
        <w:tblInd w:w="120" w:type="dxa"/>
      </w:tblPr>
      <w:tblGrid>
        <w:gridCol w:w="4100"/>
        <w:gridCol w:w="5260"/>
      </w:tblGrid>
      <w:tr>
        <w:trPr>
          <w:tblHeader w:val="true"/>
          <w:cantSplit/>
        </w:trPr>
        <w:tc>
          <w:tcPr>
            <w:tcW w:type="dxa" w:w="4100"/>
            <w:shd w:fill="071A2B"/>
            <w:vAlign w:val="center"/>
            <w:tcMar>
              <w:top w:w="80" w:type="dxa"/>
              <w:start w:w="120" w:type="dxa"/>
              <w:bottom w:w="80" w:type="dxa"/>
              <w:end w:w="120" w:type="dxa"/>
            </w:tcMar>
            <w:tcBorders>
              <w:top w:val="single" w:sz="6" w:color="CBD6DF"/>
              <w:left w:val="single" w:sz="6" w:color="CBD6DF"/>
              <w:bottom w:val="single" w:sz="6" w:color="CBD6DF"/>
              <w:right w:val="single" w:sz="6" w:color="CBD6DF"/>
              <w:insideH w:val="single" w:sz="6" w:color="CBD6DF"/>
              <w:insideV w:val="single" w:sz="6" w:color="CBD6DF"/>
            </w:tcBorders>
          </w:tcPr>
          <w:p>
            <w:pPr>
              <w:spacing w:after="0"/>
            </w:pPr>
            <w:r>
              <w:rPr>
                <w:rFonts w:ascii="Calibri" w:hAnsi="Calibri"/>
                <w:b/>
                <w:color w:val="FFFFFF"/>
                <w:sz w:val="20"/>
              </w:rPr>
              <w:t>Measurement</w:t>
            </w:r>
          </w:p>
        </w:tc>
        <w:tc>
          <w:tcPr>
            <w:tcW w:type="dxa" w:w="5260"/>
            <w:shd w:fill="071A2B"/>
            <w:vAlign w:val="center"/>
            <w:tcMar>
              <w:top w:w="80" w:type="dxa"/>
              <w:start w:w="120" w:type="dxa"/>
              <w:bottom w:w="80" w:type="dxa"/>
              <w:end w:w="120" w:type="dxa"/>
            </w:tcMar>
            <w:tcBorders>
              <w:top w:val="single" w:sz="6" w:color="CBD6DF"/>
              <w:left w:val="single" w:sz="6" w:color="CBD6DF"/>
              <w:bottom w:val="single" w:sz="6" w:color="CBD6DF"/>
              <w:right w:val="single" w:sz="6" w:color="CBD6DF"/>
              <w:insideH w:val="single" w:sz="6" w:color="CBD6DF"/>
              <w:insideV w:val="single" w:sz="6" w:color="CBD6DF"/>
            </w:tcBorders>
          </w:tcPr>
          <w:p>
            <w:pPr>
              <w:spacing w:after="0"/>
            </w:pPr>
            <w:r>
              <w:rPr>
                <w:rFonts w:ascii="Calibri" w:hAnsi="Calibri"/>
                <w:b/>
                <w:color w:val="FFFFFF"/>
                <w:sz w:val="20"/>
              </w:rPr>
              <w:t>Minimum requirement</w:t>
            </w:r>
          </w:p>
        </w:tc>
      </w:tr>
      <w:tr>
        <w:trPr>
          <w:cantSplit/>
        </w:trPr>
        <w:tc>
          <w:tcPr>
            <w:tcW w:type="dxa" w:w="4100"/>
            <w:vAlign w:val="center"/>
            <w:tcMar>
              <w:top w:w="80" w:type="dxa"/>
              <w:start w:w="120" w:type="dxa"/>
              <w:bottom w:w="80" w:type="dxa"/>
              <w:end w:w="120" w:type="dxa"/>
            </w:tcMar>
            <w:tcBorders>
              <w:top w:val="single" w:sz="6" w:color="CBD6DF"/>
              <w:left w:val="single" w:sz="6" w:color="CBD6DF"/>
              <w:bottom w:val="single" w:sz="6" w:color="CBD6DF"/>
              <w:right w:val="single" w:sz="6" w:color="CBD6DF"/>
              <w:insideH w:val="single" w:sz="6" w:color="CBD6DF"/>
              <w:insideV w:val="single" w:sz="6" w:color="CBD6DF"/>
            </w:tcBorders>
          </w:tcPr>
          <w:p>
            <w:pPr>
              <w:spacing w:after="0"/>
            </w:pPr>
            <w:r>
              <w:rPr>
                <w:rFonts w:ascii="Calibri" w:hAnsi="Calibri"/>
                <w:b/>
                <w:color w:val="17324D"/>
                <w:sz w:val="20"/>
              </w:rPr>
              <w:t>Calibrated probability</w:t>
            </w:r>
          </w:p>
        </w:tc>
        <w:tc>
          <w:tcPr>
            <w:tcW w:type="dxa" w:w="5260"/>
            <w:vAlign w:val="center"/>
            <w:tcMar>
              <w:top w:w="80" w:type="dxa"/>
              <w:start w:w="120" w:type="dxa"/>
              <w:bottom w:w="80" w:type="dxa"/>
              <w:end w:w="120" w:type="dxa"/>
            </w:tcMar>
            <w:tcBorders>
              <w:top w:val="single" w:sz="6" w:color="CBD6DF"/>
              <w:left w:val="single" w:sz="6" w:color="CBD6DF"/>
              <w:bottom w:val="single" w:sz="6" w:color="CBD6DF"/>
              <w:right w:val="single" w:sz="6" w:color="CBD6DF"/>
              <w:insideH w:val="single" w:sz="6" w:color="CBD6DF"/>
              <w:insideV w:val="single" w:sz="6" w:color="CBD6DF"/>
            </w:tcBorders>
          </w:tcPr>
          <w:p>
            <w:pPr>
              <w:spacing w:after="0"/>
            </w:pPr>
            <w:r>
              <w:rPr>
                <w:rFonts w:ascii="Calibri" w:hAnsi="Calibri"/>
                <w:b w:val="0"/>
                <w:color w:val="17324D"/>
                <w:sz w:val="20"/>
              </w:rPr>
              <w:t>&gt;= 62.0%</w:t>
            </w:r>
          </w:p>
        </w:tc>
      </w:tr>
      <w:tr>
        <w:trPr>
          <w:cantSplit/>
        </w:trPr>
        <w:tc>
          <w:tcPr>
            <w:tcW w:type="dxa" w:w="4100"/>
            <w:shd w:fill="F3F6F8"/>
            <w:vAlign w:val="center"/>
            <w:tcMar>
              <w:top w:w="80" w:type="dxa"/>
              <w:start w:w="120" w:type="dxa"/>
              <w:bottom w:w="80" w:type="dxa"/>
              <w:end w:w="120" w:type="dxa"/>
            </w:tcMar>
            <w:tcBorders>
              <w:top w:val="single" w:sz="6" w:color="CBD6DF"/>
              <w:left w:val="single" w:sz="6" w:color="CBD6DF"/>
              <w:bottom w:val="single" w:sz="6" w:color="CBD6DF"/>
              <w:right w:val="single" w:sz="6" w:color="CBD6DF"/>
              <w:insideH w:val="single" w:sz="6" w:color="CBD6DF"/>
              <w:insideV w:val="single" w:sz="6" w:color="CBD6DF"/>
            </w:tcBorders>
          </w:tcPr>
          <w:p>
            <w:pPr>
              <w:spacing w:after="0"/>
            </w:pPr>
            <w:r>
              <w:rPr>
                <w:rFonts w:ascii="Calibri" w:hAnsi="Calibri"/>
                <w:b/>
                <w:color w:val="17324D"/>
                <w:sz w:val="20"/>
              </w:rPr>
              <w:t>Confidence level</w:t>
            </w:r>
          </w:p>
        </w:tc>
        <w:tc>
          <w:tcPr>
            <w:tcW w:type="dxa" w:w="5260"/>
            <w:shd w:fill="F3F6F8"/>
            <w:vAlign w:val="center"/>
            <w:tcMar>
              <w:top w:w="80" w:type="dxa"/>
              <w:start w:w="120" w:type="dxa"/>
              <w:bottom w:w="80" w:type="dxa"/>
              <w:end w:w="120" w:type="dxa"/>
            </w:tcMar>
            <w:tcBorders>
              <w:top w:val="single" w:sz="6" w:color="CBD6DF"/>
              <w:left w:val="single" w:sz="6" w:color="CBD6DF"/>
              <w:bottom w:val="single" w:sz="6" w:color="CBD6DF"/>
              <w:right w:val="single" w:sz="6" w:color="CBD6DF"/>
              <w:insideH w:val="single" w:sz="6" w:color="CBD6DF"/>
              <w:insideV w:val="single" w:sz="6" w:color="CBD6DF"/>
            </w:tcBorders>
          </w:tcPr>
          <w:p>
            <w:pPr>
              <w:spacing w:after="0"/>
            </w:pPr>
            <w:r>
              <w:rPr>
                <w:rFonts w:ascii="Calibri" w:hAnsi="Calibri"/>
                <w:b w:val="0"/>
                <w:color w:val="17324D"/>
                <w:sz w:val="20"/>
              </w:rPr>
              <w:t>&gt;= 86/100</w:t>
            </w:r>
          </w:p>
        </w:tc>
      </w:tr>
      <w:tr>
        <w:trPr>
          <w:cantSplit/>
        </w:trPr>
        <w:tc>
          <w:tcPr>
            <w:tcW w:type="dxa" w:w="4100"/>
            <w:vAlign w:val="center"/>
            <w:tcMar>
              <w:top w:w="80" w:type="dxa"/>
              <w:start w:w="120" w:type="dxa"/>
              <w:bottom w:w="80" w:type="dxa"/>
              <w:end w:w="120" w:type="dxa"/>
            </w:tcMar>
            <w:tcBorders>
              <w:top w:val="single" w:sz="6" w:color="CBD6DF"/>
              <w:left w:val="single" w:sz="6" w:color="CBD6DF"/>
              <w:bottom w:val="single" w:sz="6" w:color="CBD6DF"/>
              <w:right w:val="single" w:sz="6" w:color="CBD6DF"/>
              <w:insideH w:val="single" w:sz="6" w:color="CBD6DF"/>
              <w:insideV w:val="single" w:sz="6" w:color="CBD6DF"/>
            </w:tcBorders>
          </w:tcPr>
          <w:p>
            <w:pPr>
              <w:spacing w:after="0"/>
            </w:pPr>
            <w:r>
              <w:rPr>
                <w:rFonts w:ascii="Calibri" w:hAnsi="Calibri"/>
                <w:b/>
                <w:color w:val="17324D"/>
                <w:sz w:val="20"/>
              </w:rPr>
              <w:t>Raw edge gap</w:t>
            </w:r>
          </w:p>
        </w:tc>
        <w:tc>
          <w:tcPr>
            <w:tcW w:type="dxa" w:w="5260"/>
            <w:vAlign w:val="center"/>
            <w:tcMar>
              <w:top w:w="80" w:type="dxa"/>
              <w:start w:w="120" w:type="dxa"/>
              <w:bottom w:w="80" w:type="dxa"/>
              <w:end w:w="120" w:type="dxa"/>
            </w:tcMar>
            <w:tcBorders>
              <w:top w:val="single" w:sz="6" w:color="CBD6DF"/>
              <w:left w:val="single" w:sz="6" w:color="CBD6DF"/>
              <w:bottom w:val="single" w:sz="6" w:color="CBD6DF"/>
              <w:right w:val="single" w:sz="6" w:color="CBD6DF"/>
              <w:insideH w:val="single" w:sz="6" w:color="CBD6DF"/>
              <w:insideV w:val="single" w:sz="6" w:color="CBD6DF"/>
            </w:tcBorders>
          </w:tcPr>
          <w:p>
            <w:pPr>
              <w:spacing w:after="0"/>
            </w:pPr>
            <w:r>
              <w:rPr>
                <w:rFonts w:ascii="Calibri" w:hAnsi="Calibri"/>
                <w:b w:val="0"/>
                <w:color w:val="17324D"/>
                <w:sz w:val="20"/>
              </w:rPr>
              <w:t>&gt;= 5.5 percentage points</w:t>
            </w:r>
          </w:p>
        </w:tc>
      </w:tr>
      <w:tr>
        <w:trPr>
          <w:cantSplit/>
        </w:trPr>
        <w:tc>
          <w:tcPr>
            <w:tcW w:type="dxa" w:w="4100"/>
            <w:shd w:fill="F3F6F8"/>
            <w:vAlign w:val="center"/>
            <w:tcMar>
              <w:top w:w="80" w:type="dxa"/>
              <w:start w:w="120" w:type="dxa"/>
              <w:bottom w:w="80" w:type="dxa"/>
              <w:end w:w="120" w:type="dxa"/>
            </w:tcMar>
            <w:tcBorders>
              <w:top w:val="single" w:sz="6" w:color="CBD6DF"/>
              <w:left w:val="single" w:sz="6" w:color="CBD6DF"/>
              <w:bottom w:val="single" w:sz="6" w:color="CBD6DF"/>
              <w:right w:val="single" w:sz="6" w:color="CBD6DF"/>
              <w:insideH w:val="single" w:sz="6" w:color="CBD6DF"/>
              <w:insideV w:val="single" w:sz="6" w:color="CBD6DF"/>
            </w:tcBorders>
          </w:tcPr>
          <w:p>
            <w:pPr>
              <w:spacing w:after="0"/>
            </w:pPr>
            <w:r>
              <w:rPr>
                <w:rFonts w:ascii="Calibri" w:hAnsi="Calibri"/>
                <w:b/>
                <w:color w:val="17324D"/>
                <w:sz w:val="20"/>
              </w:rPr>
              <w:t>Data completeness</w:t>
            </w:r>
          </w:p>
        </w:tc>
        <w:tc>
          <w:tcPr>
            <w:tcW w:type="dxa" w:w="5260"/>
            <w:shd w:fill="F3F6F8"/>
            <w:vAlign w:val="center"/>
            <w:tcMar>
              <w:top w:w="80" w:type="dxa"/>
              <w:start w:w="120" w:type="dxa"/>
              <w:bottom w:w="80" w:type="dxa"/>
              <w:end w:w="120" w:type="dxa"/>
            </w:tcMar>
            <w:tcBorders>
              <w:top w:val="single" w:sz="6" w:color="CBD6DF"/>
              <w:left w:val="single" w:sz="6" w:color="CBD6DF"/>
              <w:bottom w:val="single" w:sz="6" w:color="CBD6DF"/>
              <w:right w:val="single" w:sz="6" w:color="CBD6DF"/>
              <w:insideH w:val="single" w:sz="6" w:color="CBD6DF"/>
              <w:insideV w:val="single" w:sz="6" w:color="CBD6DF"/>
            </w:tcBorders>
          </w:tcPr>
          <w:p>
            <w:pPr>
              <w:spacing w:after="0"/>
            </w:pPr>
            <w:r>
              <w:rPr>
                <w:rFonts w:ascii="Calibri" w:hAnsi="Calibri"/>
                <w:b w:val="0"/>
                <w:color w:val="17324D"/>
                <w:sz w:val="20"/>
              </w:rPr>
              <w:t>&gt;= 95%</w:t>
            </w:r>
          </w:p>
        </w:tc>
      </w:tr>
      <w:tr>
        <w:trPr>
          <w:cantSplit/>
        </w:trPr>
        <w:tc>
          <w:tcPr>
            <w:tcW w:type="dxa" w:w="4100"/>
            <w:vAlign w:val="center"/>
            <w:tcMar>
              <w:top w:w="80" w:type="dxa"/>
              <w:start w:w="120" w:type="dxa"/>
              <w:bottom w:w="80" w:type="dxa"/>
              <w:end w:w="120" w:type="dxa"/>
            </w:tcMar>
            <w:tcBorders>
              <w:top w:val="single" w:sz="6" w:color="CBD6DF"/>
              <w:left w:val="single" w:sz="6" w:color="CBD6DF"/>
              <w:bottom w:val="single" w:sz="6" w:color="CBD6DF"/>
              <w:right w:val="single" w:sz="6" w:color="CBD6DF"/>
              <w:insideH w:val="single" w:sz="6" w:color="CBD6DF"/>
              <w:insideV w:val="single" w:sz="6" w:color="CBD6DF"/>
            </w:tcBorders>
          </w:tcPr>
          <w:p>
            <w:pPr>
              <w:spacing w:after="0"/>
            </w:pPr>
            <w:r>
              <w:rPr>
                <w:rFonts w:ascii="Calibri" w:hAnsi="Calibri"/>
                <w:b/>
                <w:color w:val="17324D"/>
                <w:sz w:val="20"/>
              </w:rPr>
              <w:t>Sportsbook availability</w:t>
            </w:r>
          </w:p>
        </w:tc>
        <w:tc>
          <w:tcPr>
            <w:tcW w:type="dxa" w:w="5260"/>
            <w:vAlign w:val="center"/>
            <w:tcMar>
              <w:top w:w="80" w:type="dxa"/>
              <w:start w:w="120" w:type="dxa"/>
              <w:bottom w:w="80" w:type="dxa"/>
              <w:end w:w="120" w:type="dxa"/>
            </w:tcMar>
            <w:tcBorders>
              <w:top w:val="single" w:sz="6" w:color="CBD6DF"/>
              <w:left w:val="single" w:sz="6" w:color="CBD6DF"/>
              <w:bottom w:val="single" w:sz="6" w:color="CBD6DF"/>
              <w:right w:val="single" w:sz="6" w:color="CBD6DF"/>
              <w:insideH w:val="single" w:sz="6" w:color="CBD6DF"/>
              <w:insideV w:val="single" w:sz="6" w:color="CBD6DF"/>
            </w:tcBorders>
          </w:tcPr>
          <w:p>
            <w:pPr>
              <w:spacing w:after="0"/>
            </w:pPr>
            <w:r>
              <w:rPr>
                <w:rFonts w:ascii="Calibri" w:hAnsi="Calibri"/>
                <w:b w:val="0"/>
                <w:color w:val="17324D"/>
                <w:sz w:val="20"/>
              </w:rPr>
              <w:t>&gt;= 3 independent books</w:t>
            </w:r>
          </w:p>
        </w:tc>
      </w:tr>
      <w:tr>
        <w:trPr>
          <w:cantSplit/>
        </w:trPr>
        <w:tc>
          <w:tcPr>
            <w:tcW w:type="dxa" w:w="4100"/>
            <w:shd w:fill="F3F6F8"/>
            <w:vAlign w:val="center"/>
            <w:tcMar>
              <w:top w:w="80" w:type="dxa"/>
              <w:start w:w="120" w:type="dxa"/>
              <w:bottom w:w="80" w:type="dxa"/>
              <w:end w:w="120" w:type="dxa"/>
            </w:tcMar>
            <w:tcBorders>
              <w:top w:val="single" w:sz="6" w:color="CBD6DF"/>
              <w:left w:val="single" w:sz="6" w:color="CBD6DF"/>
              <w:bottom w:val="single" w:sz="6" w:color="CBD6DF"/>
              <w:right w:val="single" w:sz="6" w:color="CBD6DF"/>
              <w:insideH w:val="single" w:sz="6" w:color="CBD6DF"/>
              <w:insideV w:val="single" w:sz="6" w:color="CBD6DF"/>
            </w:tcBorders>
          </w:tcPr>
          <w:p>
            <w:pPr>
              <w:spacing w:after="0"/>
            </w:pPr>
            <w:r>
              <w:rPr>
                <w:rFonts w:ascii="Calibri" w:hAnsi="Calibri"/>
                <w:b/>
                <w:color w:val="17324D"/>
                <w:sz w:val="20"/>
              </w:rPr>
              <w:t>Selected American odds</w:t>
            </w:r>
          </w:p>
        </w:tc>
        <w:tc>
          <w:tcPr>
            <w:tcW w:type="dxa" w:w="5260"/>
            <w:shd w:fill="F3F6F8"/>
            <w:vAlign w:val="center"/>
            <w:tcMar>
              <w:top w:w="80" w:type="dxa"/>
              <w:start w:w="120" w:type="dxa"/>
              <w:bottom w:w="80" w:type="dxa"/>
              <w:end w:w="120" w:type="dxa"/>
            </w:tcMar>
            <w:tcBorders>
              <w:top w:val="single" w:sz="6" w:color="CBD6DF"/>
              <w:left w:val="single" w:sz="6" w:color="CBD6DF"/>
              <w:bottom w:val="single" w:sz="6" w:color="CBD6DF"/>
              <w:right w:val="single" w:sz="6" w:color="CBD6DF"/>
              <w:insideH w:val="single" w:sz="6" w:color="CBD6DF"/>
              <w:insideV w:val="single" w:sz="6" w:color="CBD6DF"/>
            </w:tcBorders>
          </w:tcPr>
          <w:p>
            <w:pPr>
              <w:spacing w:after="0"/>
            </w:pPr>
            <w:r>
              <w:rPr>
                <w:rFonts w:ascii="Calibri" w:hAnsi="Calibri"/>
                <w:b w:val="0"/>
                <w:color w:val="17324D"/>
                <w:sz w:val="20"/>
              </w:rPr>
              <w:t>-175 through +125</w:t>
            </w:r>
          </w:p>
        </w:tc>
      </w:tr>
      <w:tr>
        <w:trPr>
          <w:cantSplit/>
        </w:trPr>
        <w:tc>
          <w:tcPr>
            <w:tcW w:type="dxa" w:w="4100"/>
            <w:vAlign w:val="center"/>
            <w:tcMar>
              <w:top w:w="80" w:type="dxa"/>
              <w:start w:w="120" w:type="dxa"/>
              <w:bottom w:w="80" w:type="dxa"/>
              <w:end w:w="120" w:type="dxa"/>
            </w:tcMar>
            <w:tcBorders>
              <w:top w:val="single" w:sz="6" w:color="CBD6DF"/>
              <w:left w:val="single" w:sz="6" w:color="CBD6DF"/>
              <w:bottom w:val="single" w:sz="6" w:color="CBD6DF"/>
              <w:right w:val="single" w:sz="6" w:color="CBD6DF"/>
              <w:insideH w:val="single" w:sz="6" w:color="CBD6DF"/>
              <w:insideV w:val="single" w:sz="6" w:color="CBD6DF"/>
            </w:tcBorders>
          </w:tcPr>
          <w:p>
            <w:pPr>
              <w:spacing w:after="0"/>
            </w:pPr>
            <w:r>
              <w:rPr>
                <w:rFonts w:ascii="Calibri" w:hAnsi="Calibri"/>
                <w:b/>
                <w:color w:val="17324D"/>
                <w:sz w:val="20"/>
              </w:rPr>
              <w:t>Price versus consensus</w:t>
            </w:r>
          </w:p>
        </w:tc>
        <w:tc>
          <w:tcPr>
            <w:tcW w:type="dxa" w:w="5260"/>
            <w:vAlign w:val="center"/>
            <w:tcMar>
              <w:top w:w="80" w:type="dxa"/>
              <w:start w:w="120" w:type="dxa"/>
              <w:bottom w:w="80" w:type="dxa"/>
              <w:end w:w="120" w:type="dxa"/>
            </w:tcMar>
            <w:tcBorders>
              <w:top w:val="single" w:sz="6" w:color="CBD6DF"/>
              <w:left w:val="single" w:sz="6" w:color="CBD6DF"/>
              <w:bottom w:val="single" w:sz="6" w:color="CBD6DF"/>
              <w:right w:val="single" w:sz="6" w:color="CBD6DF"/>
              <w:insideH w:val="single" w:sz="6" w:color="CBD6DF"/>
              <w:insideV w:val="single" w:sz="6" w:color="CBD6DF"/>
            </w:tcBorders>
          </w:tcPr>
          <w:p>
            <w:pPr>
              <w:spacing w:after="0"/>
            </w:pPr>
            <w:r>
              <w:rPr>
                <w:rFonts w:ascii="Calibri" w:hAnsi="Calibri"/>
                <w:b w:val="0"/>
                <w:color w:val="17324D"/>
                <w:sz w:val="20"/>
              </w:rPr>
              <w:t>Within 15 cents</w:t>
            </w:r>
          </w:p>
        </w:tc>
      </w:tr>
      <w:tr>
        <w:trPr>
          <w:cantSplit/>
        </w:trPr>
        <w:tc>
          <w:tcPr>
            <w:tcW w:type="dxa" w:w="4100"/>
            <w:shd w:fill="F3F6F8"/>
            <w:vAlign w:val="center"/>
            <w:tcMar>
              <w:top w:w="80" w:type="dxa"/>
              <w:start w:w="120" w:type="dxa"/>
              <w:bottom w:w="80" w:type="dxa"/>
              <w:end w:w="120" w:type="dxa"/>
            </w:tcMar>
            <w:tcBorders>
              <w:top w:val="single" w:sz="6" w:color="CBD6DF"/>
              <w:left w:val="single" w:sz="6" w:color="CBD6DF"/>
              <w:bottom w:val="single" w:sz="6" w:color="CBD6DF"/>
              <w:right w:val="single" w:sz="6" w:color="CBD6DF"/>
              <w:insideH w:val="single" w:sz="6" w:color="CBD6DF"/>
              <w:insideV w:val="single" w:sz="6" w:color="CBD6DF"/>
            </w:tcBorders>
          </w:tcPr>
          <w:p>
            <w:pPr>
              <w:spacing w:after="0"/>
            </w:pPr>
            <w:r>
              <w:rPr>
                <w:rFonts w:ascii="Calibri" w:hAnsi="Calibri"/>
                <w:b/>
                <w:color w:val="17324D"/>
                <w:sz w:val="20"/>
              </w:rPr>
              <w:t>Quote age at final validation</w:t>
            </w:r>
          </w:p>
        </w:tc>
        <w:tc>
          <w:tcPr>
            <w:tcW w:type="dxa" w:w="5260"/>
            <w:shd w:fill="F3F6F8"/>
            <w:vAlign w:val="center"/>
            <w:tcMar>
              <w:top w:w="80" w:type="dxa"/>
              <w:start w:w="120" w:type="dxa"/>
              <w:bottom w:w="80" w:type="dxa"/>
              <w:end w:w="120" w:type="dxa"/>
            </w:tcMar>
            <w:tcBorders>
              <w:top w:val="single" w:sz="6" w:color="CBD6DF"/>
              <w:left w:val="single" w:sz="6" w:color="CBD6DF"/>
              <w:bottom w:val="single" w:sz="6" w:color="CBD6DF"/>
              <w:right w:val="single" w:sz="6" w:color="CBD6DF"/>
              <w:insideH w:val="single" w:sz="6" w:color="CBD6DF"/>
              <w:insideV w:val="single" w:sz="6" w:color="CBD6DF"/>
            </w:tcBorders>
          </w:tcPr>
          <w:p>
            <w:pPr>
              <w:spacing w:after="0"/>
            </w:pPr>
            <w:r>
              <w:rPr>
                <w:rFonts w:ascii="Calibri" w:hAnsi="Calibri"/>
                <w:b w:val="0"/>
                <w:color w:val="17324D"/>
                <w:sz w:val="20"/>
              </w:rPr>
              <w:t>&lt;= 5 minutes</w:t>
            </w:r>
          </w:p>
        </w:tc>
      </w:tr>
      <w:tr>
        <w:trPr>
          <w:cantSplit/>
        </w:trPr>
        <w:tc>
          <w:tcPr>
            <w:tcW w:type="dxa" w:w="4100"/>
            <w:vAlign w:val="center"/>
            <w:tcMar>
              <w:top w:w="80" w:type="dxa"/>
              <w:start w:w="120" w:type="dxa"/>
              <w:bottom w:w="80" w:type="dxa"/>
              <w:end w:w="120" w:type="dxa"/>
            </w:tcMar>
            <w:tcBorders>
              <w:top w:val="single" w:sz="6" w:color="CBD6DF"/>
              <w:left w:val="single" w:sz="6" w:color="CBD6DF"/>
              <w:bottom w:val="single" w:sz="6" w:color="CBD6DF"/>
              <w:right w:val="single" w:sz="6" w:color="CBD6DF"/>
              <w:insideH w:val="single" w:sz="6" w:color="CBD6DF"/>
              <w:insideV w:val="single" w:sz="6" w:color="CBD6DF"/>
            </w:tcBorders>
          </w:tcPr>
          <w:p>
            <w:pPr>
              <w:spacing w:after="0"/>
            </w:pPr>
            <w:r>
              <w:rPr>
                <w:rFonts w:ascii="Calibri" w:hAnsi="Calibri"/>
                <w:b/>
                <w:color w:val="17324D"/>
                <w:sz w:val="20"/>
              </w:rPr>
              <w:t>Stress probability haircut</w:t>
            </w:r>
          </w:p>
        </w:tc>
        <w:tc>
          <w:tcPr>
            <w:tcW w:type="dxa" w:w="5260"/>
            <w:vAlign w:val="center"/>
            <w:tcMar>
              <w:top w:w="80" w:type="dxa"/>
              <w:start w:w="120" w:type="dxa"/>
              <w:bottom w:w="80" w:type="dxa"/>
              <w:end w:w="120" w:type="dxa"/>
            </w:tcMar>
            <w:tcBorders>
              <w:top w:val="single" w:sz="6" w:color="CBD6DF"/>
              <w:left w:val="single" w:sz="6" w:color="CBD6DF"/>
              <w:bottom w:val="single" w:sz="6" w:color="CBD6DF"/>
              <w:right w:val="single" w:sz="6" w:color="CBD6DF"/>
              <w:insideH w:val="single" w:sz="6" w:color="CBD6DF"/>
              <w:insideV w:val="single" w:sz="6" w:color="CBD6DF"/>
            </w:tcBorders>
          </w:tcPr>
          <w:p>
            <w:pPr>
              <w:spacing w:after="0"/>
            </w:pPr>
            <w:r>
              <w:rPr>
                <w:rFonts w:ascii="Calibri" w:hAnsi="Calibri"/>
                <w:b w:val="0"/>
                <w:color w:val="17324D"/>
                <w:sz w:val="20"/>
              </w:rPr>
              <w:t>-2.5 percentage points</w:t>
            </w:r>
          </w:p>
        </w:tc>
      </w:tr>
      <w:tr>
        <w:trPr>
          <w:cantSplit/>
        </w:trPr>
        <w:tc>
          <w:tcPr>
            <w:tcW w:type="dxa" w:w="4100"/>
            <w:shd w:fill="F3F6F8"/>
            <w:vAlign w:val="center"/>
            <w:tcMar>
              <w:top w:w="80" w:type="dxa"/>
              <w:start w:w="120" w:type="dxa"/>
              <w:bottom w:w="80" w:type="dxa"/>
              <w:end w:w="120" w:type="dxa"/>
            </w:tcMar>
            <w:tcBorders>
              <w:top w:val="single" w:sz="6" w:color="CBD6DF"/>
              <w:left w:val="single" w:sz="6" w:color="CBD6DF"/>
              <w:bottom w:val="single" w:sz="6" w:color="CBD6DF"/>
              <w:right w:val="single" w:sz="6" w:color="CBD6DF"/>
              <w:insideH w:val="single" w:sz="6" w:color="CBD6DF"/>
              <w:insideV w:val="single" w:sz="6" w:color="CBD6DF"/>
            </w:tcBorders>
          </w:tcPr>
          <w:p>
            <w:pPr>
              <w:spacing w:after="0"/>
            </w:pPr>
            <w:r>
              <w:rPr>
                <w:rFonts w:ascii="Calibri" w:hAnsi="Calibri"/>
                <w:b/>
                <w:color w:val="17324D"/>
                <w:sz w:val="20"/>
              </w:rPr>
              <w:t>Stress-tested edge</w:t>
            </w:r>
          </w:p>
        </w:tc>
        <w:tc>
          <w:tcPr>
            <w:tcW w:type="dxa" w:w="5260"/>
            <w:shd w:fill="F3F6F8"/>
            <w:vAlign w:val="center"/>
            <w:tcMar>
              <w:top w:w="80" w:type="dxa"/>
              <w:start w:w="120" w:type="dxa"/>
              <w:bottom w:w="80" w:type="dxa"/>
              <w:end w:w="120" w:type="dxa"/>
            </w:tcMar>
            <w:tcBorders>
              <w:top w:val="single" w:sz="6" w:color="CBD6DF"/>
              <w:left w:val="single" w:sz="6" w:color="CBD6DF"/>
              <w:bottom w:val="single" w:sz="6" w:color="CBD6DF"/>
              <w:right w:val="single" w:sz="6" w:color="CBD6DF"/>
              <w:insideH w:val="single" w:sz="6" w:color="CBD6DF"/>
              <w:insideV w:val="single" w:sz="6" w:color="CBD6DF"/>
            </w:tcBorders>
          </w:tcPr>
          <w:p>
            <w:pPr>
              <w:spacing w:after="0"/>
            </w:pPr>
            <w:r>
              <w:rPr>
                <w:rFonts w:ascii="Calibri" w:hAnsi="Calibri"/>
                <w:b w:val="0"/>
                <w:color w:val="17324D"/>
                <w:sz w:val="20"/>
              </w:rPr>
              <w:t>&gt;= 3.0 percentage points</w:t>
            </w:r>
          </w:p>
        </w:tc>
      </w:tr>
      <w:tr>
        <w:trPr>
          <w:cantSplit/>
        </w:trPr>
        <w:tc>
          <w:tcPr>
            <w:tcW w:type="dxa" w:w="4100"/>
            <w:vAlign w:val="center"/>
            <w:tcMar>
              <w:top w:w="80" w:type="dxa"/>
              <w:start w:w="120" w:type="dxa"/>
              <w:bottom w:w="80" w:type="dxa"/>
              <w:end w:w="120" w:type="dxa"/>
            </w:tcMar>
            <w:tcBorders>
              <w:top w:val="single" w:sz="6" w:color="CBD6DF"/>
              <w:left w:val="single" w:sz="6" w:color="CBD6DF"/>
              <w:bottom w:val="single" w:sz="6" w:color="CBD6DF"/>
              <w:right w:val="single" w:sz="6" w:color="CBD6DF"/>
              <w:insideH w:val="single" w:sz="6" w:color="CBD6DF"/>
              <w:insideV w:val="single" w:sz="6" w:color="CBD6DF"/>
            </w:tcBorders>
          </w:tcPr>
          <w:p>
            <w:pPr>
              <w:spacing w:after="0"/>
            </w:pPr>
            <w:r>
              <w:rPr>
                <w:rFonts w:ascii="Calibri" w:hAnsi="Calibri"/>
                <w:b/>
                <w:color w:val="17324D"/>
                <w:sz w:val="20"/>
              </w:rPr>
              <w:t>Runner-up separation</w:t>
            </w:r>
          </w:p>
        </w:tc>
        <w:tc>
          <w:tcPr>
            <w:tcW w:type="dxa" w:w="5260"/>
            <w:vAlign w:val="center"/>
            <w:tcMar>
              <w:top w:w="80" w:type="dxa"/>
              <w:start w:w="120" w:type="dxa"/>
              <w:bottom w:w="80" w:type="dxa"/>
              <w:end w:w="120" w:type="dxa"/>
            </w:tcMar>
            <w:tcBorders>
              <w:top w:val="single" w:sz="6" w:color="CBD6DF"/>
              <w:left w:val="single" w:sz="6" w:color="CBD6DF"/>
              <w:bottom w:val="single" w:sz="6" w:color="CBD6DF"/>
              <w:right w:val="single" w:sz="6" w:color="CBD6DF"/>
              <w:insideH w:val="single" w:sz="6" w:color="CBD6DF"/>
              <w:insideV w:val="single" w:sz="6" w:color="CBD6DF"/>
            </w:tcBorders>
          </w:tcPr>
          <w:p>
            <w:pPr>
              <w:spacing w:after="0"/>
            </w:pPr>
            <w:r>
              <w:rPr>
                <w:rFonts w:ascii="Calibri" w:hAnsi="Calibri"/>
                <w:b w:val="0"/>
                <w:color w:val="17324D"/>
                <w:sz w:val="20"/>
              </w:rPr>
              <w:t>&gt;= 3.0 Solid Prop Score points</w:t>
            </w:r>
          </w:p>
        </w:tc>
      </w:tr>
    </w:tbl>
    <w:p>
      <w:r>
        <w:rPr>
          <w:rFonts w:ascii="Calibri" w:hAnsi="Calibri"/>
          <w:color w:val="17324D"/>
        </w:rPr>
        <w:t>Failing any one requirement eliminates the candidate. Strength in one area cannot compensate for a failed gate.</w:t>
      </w:r>
    </w:p>
    <w:p>
      <w:pPr>
        <w:pStyle w:val="Heading1"/>
        <w:keepNext/>
      </w:pPr>
      <w:r>
        <w:t>13. Reliability and Solid Prop Score</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shd w:fill="E9FAFB"/>
            <w:tcBorders>
              <w:top w:val="single" w:sz="8" w:color="00BFCB"/>
              <w:left w:val="single" w:sz="8" w:color="00BFCB"/>
              <w:bottom w:val="single" w:sz="8" w:color="00BFCB"/>
              <w:right w:val="single" w:sz="8" w:color="00BFCB"/>
              <w:insideH w:val="single" w:sz="8" w:color="00BFCB"/>
              <w:insideV w:val="single" w:sz="8" w:color="00BFCB"/>
            </w:tcBorders>
          </w:tcPr>
          <w:p>
            <w:pPr>
              <w:spacing w:after="60"/>
              <w:jc w:val="center"/>
            </w:pPr>
            <w:r>
              <w:rPr>
                <w:rFonts w:ascii="Consolas" w:hAnsi="Consolas"/>
                <w:b/>
                <w:color w:val="071A2B"/>
                <w:sz w:val="21"/>
              </w:rPr>
              <w:t>Edge_quality = min(100, max(0, 10 x Edge_gap))</w:t>
            </w:r>
          </w:p>
          <w:p>
            <w:pPr>
              <w:spacing w:after="0"/>
              <w:jc w:val="center"/>
            </w:pPr>
            <w:r>
              <w:rPr>
                <w:rFonts w:ascii="Calibri" w:hAnsi="Calibri"/>
                <w:color w:val="66788A"/>
                <w:sz w:val="19"/>
              </w:rPr>
              <w:t>A 5-point edge produces 50; a 10-point or larger edge is capped at 100.</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shd w:fill="E9FAFB"/>
            <w:tcBorders>
              <w:top w:val="single" w:sz="8" w:color="00BFCB"/>
              <w:left w:val="single" w:sz="8" w:color="00BFCB"/>
              <w:bottom w:val="single" w:sz="8" w:color="00BFCB"/>
              <w:right w:val="single" w:sz="8" w:color="00BFCB"/>
              <w:insideH w:val="single" w:sz="8" w:color="00BFCB"/>
              <w:insideV w:val="single" w:sz="8" w:color="00BFCB"/>
            </w:tcBorders>
          </w:tcPr>
          <w:p>
            <w:pPr>
              <w:spacing w:after="60"/>
              <w:jc w:val="center"/>
            </w:pPr>
            <w:r>
              <w:rPr>
                <w:rFonts w:ascii="Consolas" w:hAnsi="Consolas"/>
                <w:b/>
                <w:color w:val="071A2B"/>
                <w:sz w:val="21"/>
              </w:rPr>
              <w:t>Reliability = (Role_or_workload + Data_completeness + Market_quality) / 3</w:t>
            </w:r>
          </w:p>
          <w:p>
            <w:pPr>
              <w:spacing w:after="0"/>
              <w:jc w:val="center"/>
            </w:pPr>
            <w:r>
              <w:rPr>
                <w:rFonts w:ascii="Calibri" w:hAnsi="Calibri"/>
                <w:color w:val="66788A"/>
                <w:sz w:val="19"/>
              </w:rPr>
              <w:t>Use the sport-specific role/workload component defined by this protocol.</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shd w:fill="E9FAFB"/>
            <w:tcBorders>
              <w:top w:val="single" w:sz="8" w:color="00BFCB"/>
              <w:left w:val="single" w:sz="8" w:color="00BFCB"/>
              <w:bottom w:val="single" w:sz="8" w:color="00BFCB"/>
              <w:right w:val="single" w:sz="8" w:color="00BFCB"/>
              <w:insideH w:val="single" w:sz="8" w:color="00BFCB"/>
              <w:insideV w:val="single" w:sz="8" w:color="00BFCB"/>
            </w:tcBorders>
          </w:tcPr>
          <w:p>
            <w:pPr>
              <w:spacing w:after="60"/>
              <w:jc w:val="center"/>
            </w:pPr>
            <w:r>
              <w:rPr>
                <w:rFonts w:ascii="Consolas" w:hAnsi="Consolas"/>
                <w:b/>
                <w:color w:val="071A2B"/>
                <w:sz w:val="21"/>
              </w:rPr>
              <w:t>Solid_Prop_Score = 0.35xConfidence + 0.30xP_cal + 0.20xEdge_quality + 0.15xReliability</w:t>
            </w:r>
          </w:p>
          <w:p>
            <w:pPr>
              <w:spacing w:after="0"/>
              <w:jc w:val="center"/>
            </w:pPr>
            <w:r>
              <w:rPr>
                <w:rFonts w:ascii="Calibri" w:hAnsi="Calibri"/>
                <w:color w:val="66788A"/>
                <w:sz w:val="19"/>
              </w:rPr>
              <w:t>All inputs use a 0-100 scale. Large but fragile edge cannot dominate probability and confidence.</w:t>
            </w:r>
          </w:p>
        </w:tc>
      </w:tr>
    </w:tbl>
    <w:p>
      <w:pPr>
        <w:spacing w:after="0"/>
      </w:pPr>
    </w:p>
    <w:p>
      <w:pPr>
        <w:pStyle w:val="ListBullet"/>
      </w:pPr>
      <w:r>
        <w:rPr>
          <w:rFonts w:ascii="Calibri" w:hAnsi="Calibri"/>
          <w:color w:val="17324D"/>
        </w:rPr>
        <w:t>Rank with unrounded stored values; round displayed inputs to one decimal place.</w:t>
      </w:r>
    </w:p>
    <w:p>
      <w:pPr>
        <w:pStyle w:val="ListBullet"/>
      </w:pPr>
      <w:r>
        <w:rPr>
          <w:rFonts w:ascii="Calibri" w:hAnsi="Calibri"/>
          <w:color w:val="17324D"/>
        </w:rPr>
        <w:t>Round the displayed Solid Prop Score to two decimals only after ranking.</w:t>
      </w:r>
    </w:p>
    <w:p>
      <w:pPr>
        <w:pStyle w:val="ListBullet"/>
      </w:pPr>
      <w:r>
        <w:rPr>
          <w:rFonts w:ascii="Calibri" w:hAnsi="Calibri"/>
          <w:color w:val="17324D"/>
        </w:rPr>
        <w:t>The highest score leads only after all stress, settlement, stability, and final-price checks pass.</w:t>
      </w:r>
    </w:p>
    <w:p>
      <w:pPr>
        <w:pStyle w:val="Heading1"/>
        <w:keepNext/>
      </w:pPr>
      <w:r>
        <w:t>14. Standardized Stress Test</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shd w:fill="E9FAFB"/>
            <w:tcBorders>
              <w:top w:val="single" w:sz="8" w:color="00BFCB"/>
              <w:left w:val="single" w:sz="8" w:color="00BFCB"/>
              <w:bottom w:val="single" w:sz="8" w:color="00BFCB"/>
              <w:right w:val="single" w:sz="8" w:color="00BFCB"/>
              <w:insideH w:val="single" w:sz="8" w:color="00BFCB"/>
              <w:insideV w:val="single" w:sz="8" w:color="00BFCB"/>
            </w:tcBorders>
          </w:tcPr>
          <w:p>
            <w:pPr>
              <w:spacing w:after="60"/>
              <w:jc w:val="center"/>
            </w:pPr>
            <w:r>
              <w:rPr>
                <w:rFonts w:ascii="Consolas" w:hAnsi="Consolas"/>
                <w:b/>
                <w:color w:val="071A2B"/>
                <w:sz w:val="21"/>
              </w:rPr>
              <w:t>P_stress = P_cal - 2.5</w:t>
            </w:r>
          </w:p>
          <w:p>
            <w:pPr>
              <w:spacing w:after="0"/>
              <w:jc w:val="center"/>
            </w:pPr>
            <w:r>
              <w:rPr>
                <w:rFonts w:ascii="Calibri" w:hAnsi="Calibri"/>
                <w:color w:val="66788A"/>
                <w:sz w:val="19"/>
              </w:rPr>
              <w:t>Apply the same fixed probability haircut to every candidate in this sport.</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shd w:fill="E9FAFB"/>
            <w:tcBorders>
              <w:top w:val="single" w:sz="8" w:color="00BFCB"/>
              <w:left w:val="single" w:sz="8" w:color="00BFCB"/>
              <w:bottom w:val="single" w:sz="8" w:color="00BFCB"/>
              <w:right w:val="single" w:sz="8" w:color="00BFCB"/>
              <w:insideH w:val="single" w:sz="8" w:color="00BFCB"/>
              <w:insideV w:val="single" w:sz="8" w:color="00BFCB"/>
            </w:tcBorders>
          </w:tcPr>
          <w:p>
            <w:pPr>
              <w:spacing w:after="60"/>
              <w:jc w:val="center"/>
            </w:pPr>
            <w:r>
              <w:rPr>
                <w:rFonts w:ascii="Consolas" w:hAnsi="Consolas"/>
                <w:b/>
                <w:color w:val="071A2B"/>
                <w:sz w:val="21"/>
              </w:rPr>
              <w:t>Stress_edge = P_stress - P_market</w:t>
            </w:r>
          </w:p>
          <w:p>
            <w:pPr>
              <w:spacing w:after="0"/>
              <w:jc w:val="center"/>
            </w:pPr>
            <w:r>
              <w:rPr>
                <w:rFonts w:ascii="Calibri" w:hAnsi="Calibri"/>
                <w:color w:val="66788A"/>
                <w:sz w:val="19"/>
              </w:rPr>
              <w:t>Minimum Stress_edge is 3.0 percentage points.</w:t>
            </w:r>
          </w:p>
        </w:tc>
      </w:tr>
    </w:tbl>
    <w:p>
      <w:pPr>
        <w:spacing w:after="0"/>
      </w:pPr>
    </w:p>
    <w:p>
      <w:pPr>
        <w:pStyle w:val="ListBullet"/>
      </w:pPr>
      <w:r>
        <w:rPr>
          <w:rFonts w:ascii="Calibri" w:hAnsi="Calibri"/>
          <w:color w:val="17324D"/>
        </w:rPr>
        <w:t>The engine cannot use a smaller haircut for a preferred candidate.</w:t>
      </w:r>
    </w:p>
    <w:p>
      <w:pPr>
        <w:pStyle w:val="ListBullet"/>
      </w:pPr>
      <w:r>
        <w:rPr>
          <w:rFonts w:ascii="Calibri" w:hAnsi="Calibri"/>
          <w:color w:val="17324D"/>
        </w:rPr>
        <w:t>A candidate below the stress threshold is eliminated even if its raw score ranks first.</w:t>
      </w:r>
    </w:p>
    <w:p>
      <w:pPr>
        <w:pStyle w:val="ListBullet"/>
      </w:pPr>
      <w:r>
        <w:rPr>
          <w:rFonts w:ascii="Calibri" w:hAnsi="Calibri"/>
          <w:color w:val="17324D"/>
        </w:rPr>
        <w:t>The stress test supplements role/workload scenario modeling already inside P_cal.</w:t>
      </w:r>
    </w:p>
    <w:p>
      <w:pPr>
        <w:pStyle w:val="Heading1"/>
        <w:keepNext/>
      </w:pPr>
      <w:r>
        <w:t>15. Sport-Specific Metrics by Market</w:t>
      </w:r>
    </w:p>
    <w:p>
      <w:r>
        <w:rPr>
          <w:rFonts w:ascii="Calibri" w:hAnsi="Calibri"/>
          <w:color w:val="17324D"/>
        </w:rPr>
        <w:t>The following SOCCER feature families are mandatory. Store each lookback, opponent adjustment, shrinkage rule, distribution, and weight in the model version.</w:t>
      </w:r>
    </w:p>
    <w:p>
      <w:pPr>
        <w:pStyle w:val="Heading2"/>
        <w:keepNext/>
      </w:pPr>
      <w:r>
        <w:t>Shots</w:t>
      </w:r>
    </w:p>
    <w:p>
      <w:pPr>
        <w:pStyle w:val="ListBullet"/>
      </w:pPr>
      <w:r>
        <w:rPr>
          <w:rFonts w:ascii="Calibri" w:hAnsi="Calibri"/>
          <w:color w:val="17324D"/>
        </w:rPr>
        <w:t>Shots, non-penalty shots, xG, box touches, and player shot share per 90</w:t>
      </w:r>
    </w:p>
    <w:p>
      <w:pPr>
        <w:pStyle w:val="ListBullet"/>
      </w:pPr>
      <w:r>
        <w:rPr>
          <w:rFonts w:ascii="Calibri" w:hAnsi="Calibri"/>
          <w:color w:val="17324D"/>
        </w:rPr>
        <w:t>Expected minutes and probability of remaining on the pitch by game state</w:t>
      </w:r>
    </w:p>
    <w:p>
      <w:pPr>
        <w:pStyle w:val="ListBullet"/>
      </w:pPr>
      <w:r>
        <w:rPr>
          <w:rFonts w:ascii="Calibri" w:hAnsi="Calibri"/>
          <w:color w:val="17324D"/>
        </w:rPr>
        <w:t>Starting position, central/wide role, striker partner, and set-piece duty</w:t>
      </w:r>
    </w:p>
    <w:p>
      <w:pPr>
        <w:pStyle w:val="ListBullet"/>
      </w:pPr>
      <w:r>
        <w:rPr>
          <w:rFonts w:ascii="Calibri" w:hAnsi="Calibri"/>
          <w:color w:val="17324D"/>
        </w:rPr>
        <w:t>Team possession, field tilt, final-third entries, crosses, and transition volume</w:t>
      </w:r>
    </w:p>
    <w:p>
      <w:pPr>
        <w:pStyle w:val="ListBullet"/>
      </w:pPr>
      <w:r>
        <w:rPr>
          <w:rFonts w:ascii="Calibri" w:hAnsi="Calibri"/>
          <w:color w:val="17324D"/>
        </w:rPr>
        <w:t>Opponent shot suppression, block rate, defensive line, press, and direct matchup</w:t>
      </w:r>
    </w:p>
    <w:p>
      <w:pPr>
        <w:pStyle w:val="ListBullet"/>
      </w:pPr>
      <w:r>
        <w:rPr>
          <w:rFonts w:ascii="Calibri" w:hAnsi="Calibri"/>
          <w:color w:val="17324D"/>
        </w:rPr>
        <w:t>Shot location, body part, open-play/set-piece split, and xG per shot</w:t>
      </w:r>
    </w:p>
    <w:p>
      <w:pPr>
        <w:pStyle w:val="ListBullet"/>
      </w:pPr>
      <w:r>
        <w:rPr>
          <w:rFonts w:ascii="Calibri" w:hAnsi="Calibri"/>
          <w:color w:val="17324D"/>
        </w:rPr>
        <w:t>Score-state sensitivity and tactical substitution pattern</w:t>
      </w:r>
    </w:p>
    <w:p>
      <w:pPr>
        <w:pStyle w:val="Heading2"/>
        <w:keepNext/>
      </w:pPr>
      <w:r>
        <w:t>Shots on target</w:t>
      </w:r>
    </w:p>
    <w:p>
      <w:pPr>
        <w:pStyle w:val="ListBullet"/>
      </w:pPr>
      <w:r>
        <w:rPr>
          <w:rFonts w:ascii="Calibri" w:hAnsi="Calibri"/>
          <w:color w:val="17324D"/>
        </w:rPr>
        <w:t>All shot-volume inputs plus regressed on-target conversion</w:t>
      </w:r>
    </w:p>
    <w:p>
      <w:pPr>
        <w:pStyle w:val="ListBullet"/>
      </w:pPr>
      <w:r>
        <w:rPr>
          <w:rFonts w:ascii="Calibri" w:hAnsi="Calibri"/>
          <w:color w:val="17324D"/>
        </w:rPr>
        <w:t>Shot distance, angle, body part, big-chance share, and headed-shot share</w:t>
      </w:r>
    </w:p>
    <w:p>
      <w:pPr>
        <w:pStyle w:val="ListBullet"/>
      </w:pPr>
      <w:r>
        <w:rPr>
          <w:rFonts w:ascii="Calibri" w:hAnsi="Calibri"/>
          <w:color w:val="17324D"/>
        </w:rPr>
        <w:t>Opponent block pressure and goalkeeper/defense shot-quality environment</w:t>
      </w:r>
    </w:p>
    <w:p>
      <w:pPr>
        <w:pStyle w:val="ListBullet"/>
      </w:pPr>
      <w:r>
        <w:rPr>
          <w:rFonts w:ascii="Calibri" w:hAnsi="Calibri"/>
          <w:color w:val="17324D"/>
        </w:rPr>
        <w:t>Use a nested model: shot count, then on-target probability by shot type</w:t>
      </w:r>
    </w:p>
    <w:p>
      <w:pPr>
        <w:pStyle w:val="ListBullet"/>
      </w:pPr>
      <w:r>
        <w:rPr>
          <w:rFonts w:ascii="Calibri" w:hAnsi="Calibri"/>
          <w:color w:val="17324D"/>
        </w:rPr>
        <w:t>Do not use raw on-target percentage without small-sample regression</w:t>
      </w:r>
    </w:p>
    <w:p>
      <w:pPr>
        <w:pStyle w:val="Heading2"/>
        <w:keepNext/>
      </w:pPr>
      <w:r>
        <w:t>Passes attempted and completed</w:t>
      </w:r>
    </w:p>
    <w:p>
      <w:pPr>
        <w:pStyle w:val="ListBullet"/>
      </w:pPr>
      <w:r>
        <w:rPr>
          <w:rFonts w:ascii="Calibri" w:hAnsi="Calibri"/>
          <w:color w:val="17324D"/>
        </w:rPr>
        <w:t>Pass attempts/completions per 90 and per team possession</w:t>
      </w:r>
    </w:p>
    <w:p>
      <w:pPr>
        <w:pStyle w:val="ListBullet"/>
      </w:pPr>
      <w:r>
        <w:rPr>
          <w:rFonts w:ascii="Calibri" w:hAnsi="Calibri"/>
          <w:color w:val="17324D"/>
        </w:rPr>
        <w:t>Expected minutes, position, formation, and build-up responsibility</w:t>
      </w:r>
    </w:p>
    <w:p>
      <w:pPr>
        <w:pStyle w:val="ListBullet"/>
      </w:pPr>
      <w:r>
        <w:rPr>
          <w:rFonts w:ascii="Calibri" w:hAnsi="Calibri"/>
          <w:color w:val="17324D"/>
        </w:rPr>
        <w:t>Team possession distribution, game-state possession, and opponent strength</w:t>
      </w:r>
    </w:p>
    <w:p>
      <w:pPr>
        <w:pStyle w:val="ListBullet"/>
      </w:pPr>
      <w:r>
        <w:rPr>
          <w:rFonts w:ascii="Calibri" w:hAnsi="Calibri"/>
          <w:color w:val="17324D"/>
        </w:rPr>
        <w:t>Opponent PPDA, press intensity, high turnovers, block height, and marking</w:t>
      </w:r>
    </w:p>
    <w:p>
      <w:pPr>
        <w:pStyle w:val="ListBullet"/>
      </w:pPr>
      <w:r>
        <w:rPr>
          <w:rFonts w:ascii="Calibri" w:hAnsi="Calibri"/>
          <w:color w:val="17324D"/>
        </w:rPr>
        <w:t>Touches, receptions, circulation role, and goalkeeper build-up style</w:t>
      </w:r>
    </w:p>
    <w:p>
      <w:pPr>
        <w:pStyle w:val="ListBullet"/>
      </w:pPr>
      <w:r>
        <w:rPr>
          <w:rFonts w:ascii="Calibri" w:hAnsi="Calibri"/>
          <w:color w:val="17324D"/>
        </w:rPr>
        <w:t>Completion props also require pass difficulty, pressure, and progressive-pass mix</w:t>
      </w:r>
    </w:p>
    <w:p>
      <w:pPr>
        <w:pStyle w:val="ListBullet"/>
      </w:pPr>
      <w:r>
        <w:rPr>
          <w:rFonts w:ascii="Calibri" w:hAnsi="Calibri"/>
          <w:color w:val="17324D"/>
        </w:rPr>
        <w:t>Book settlement must use compatible provider treatment of crosses and dead balls</w:t>
      </w:r>
    </w:p>
    <w:p>
      <w:pPr>
        <w:pStyle w:val="Heading2"/>
        <w:keepNext/>
      </w:pPr>
      <w:r>
        <w:t>Tackles and interceptions</w:t>
      </w:r>
    </w:p>
    <w:p>
      <w:pPr>
        <w:pStyle w:val="ListBullet"/>
      </w:pPr>
      <w:r>
        <w:rPr>
          <w:rFonts w:ascii="Calibri" w:hAnsi="Calibri"/>
          <w:color w:val="17324D"/>
        </w:rPr>
        <w:t>Tackles attempted/won and interceptions per 90 by position and formation</w:t>
      </w:r>
    </w:p>
    <w:p>
      <w:pPr>
        <w:pStyle w:val="ListBullet"/>
      </w:pPr>
      <w:r>
        <w:rPr>
          <w:rFonts w:ascii="Calibri" w:hAnsi="Calibri"/>
          <w:color w:val="17324D"/>
        </w:rPr>
        <w:t>Expected defensive-zone time and inverse relationship with possession</w:t>
      </w:r>
    </w:p>
    <w:p>
      <w:pPr>
        <w:pStyle w:val="ListBullet"/>
      </w:pPr>
      <w:r>
        <w:rPr>
          <w:rFonts w:ascii="Calibri" w:hAnsi="Calibri"/>
          <w:color w:val="17324D"/>
        </w:rPr>
        <w:t>Opponent dribbler volume, carry lanes, pass destinations, and duel frequency</w:t>
      </w:r>
    </w:p>
    <w:p>
      <w:pPr>
        <w:pStyle w:val="ListBullet"/>
      </w:pPr>
      <w:r>
        <w:rPr>
          <w:rFonts w:ascii="Calibri" w:hAnsi="Calibri"/>
          <w:color w:val="17324D"/>
        </w:rPr>
        <w:t>Pressing responsibility, fullback/wingback height, and midfield assignment</w:t>
      </w:r>
    </w:p>
    <w:p>
      <w:pPr>
        <w:pStyle w:val="ListBullet"/>
      </w:pPr>
      <w:r>
        <w:rPr>
          <w:rFonts w:ascii="Calibri" w:hAnsi="Calibri"/>
          <w:color w:val="17324D"/>
        </w:rPr>
        <w:t>Referee threshold and risk an attempted tackle is recorded as a foul</w:t>
      </w:r>
    </w:p>
    <w:p>
      <w:pPr>
        <w:pStyle w:val="ListBullet"/>
      </w:pPr>
      <w:r>
        <w:rPr>
          <w:rFonts w:ascii="Calibri" w:hAnsi="Calibri"/>
          <w:color w:val="17324D"/>
        </w:rPr>
        <w:t>Score-state/substitution effects and provider-specific event definitions</w:t>
      </w:r>
    </w:p>
    <w:p>
      <w:pPr>
        <w:pStyle w:val="Heading2"/>
        <w:keepNext/>
      </w:pPr>
      <w:r>
        <w:t>Fouls committed and drawn</w:t>
      </w:r>
    </w:p>
    <w:p>
      <w:pPr>
        <w:pStyle w:val="ListBullet"/>
      </w:pPr>
      <w:r>
        <w:rPr>
          <w:rFonts w:ascii="Calibri" w:hAnsi="Calibri"/>
          <w:color w:val="17324D"/>
        </w:rPr>
        <w:t>Player fouls committed/drawn per 90 and per duel</w:t>
      </w:r>
    </w:p>
    <w:p>
      <w:pPr>
        <w:pStyle w:val="ListBullet"/>
      </w:pPr>
      <w:r>
        <w:rPr>
          <w:rFonts w:ascii="Calibri" w:hAnsi="Calibri"/>
          <w:color w:val="17324D"/>
        </w:rPr>
        <w:t>Direct-opponent dribble, tackle, pressure, and foul-drawing profile</w:t>
      </w:r>
    </w:p>
    <w:p>
      <w:pPr>
        <w:pStyle w:val="ListBullet"/>
      </w:pPr>
      <w:r>
        <w:rPr>
          <w:rFonts w:ascii="Calibri" w:hAnsi="Calibri"/>
          <w:color w:val="17324D"/>
        </w:rPr>
        <w:t>Expected matchup zone, possession share, and transition exposure</w:t>
      </w:r>
    </w:p>
    <w:p>
      <w:pPr>
        <w:pStyle w:val="ListBullet"/>
      </w:pPr>
      <w:r>
        <w:rPr>
          <w:rFonts w:ascii="Calibri" w:hAnsi="Calibri"/>
          <w:color w:val="17324D"/>
        </w:rPr>
        <w:t>Referee foul rate, card threshold, home/away tendency, and competition baseline</w:t>
      </w:r>
    </w:p>
    <w:p>
      <w:pPr>
        <w:pStyle w:val="ListBullet"/>
      </w:pPr>
      <w:r>
        <w:rPr>
          <w:rFonts w:ascii="Calibri" w:hAnsi="Calibri"/>
          <w:color w:val="17324D"/>
        </w:rPr>
        <w:t>Tactical role, pressing task, game importance, and score state</w:t>
      </w:r>
    </w:p>
    <w:p>
      <w:pPr>
        <w:pStyle w:val="ListBullet"/>
      </w:pPr>
      <w:r>
        <w:rPr>
          <w:rFonts w:ascii="Calibri" w:hAnsi="Calibri"/>
          <w:color w:val="17324D"/>
        </w:rPr>
        <w:t>Model committed and drawn events separately</w:t>
      </w:r>
    </w:p>
    <w:p>
      <w:pPr>
        <w:pStyle w:val="Heading2"/>
        <w:keepNext/>
      </w:pPr>
      <w:r>
        <w:t>Goalkeeper saves</w:t>
      </w:r>
    </w:p>
    <w:p>
      <w:pPr>
        <w:pStyle w:val="ListBullet"/>
      </w:pPr>
      <w:r>
        <w:rPr>
          <w:rFonts w:ascii="Calibri" w:hAnsi="Calibri"/>
          <w:color w:val="17324D"/>
        </w:rPr>
        <w:t>Confirmed starting goalkeeper</w:t>
      </w:r>
    </w:p>
    <w:p>
      <w:pPr>
        <w:pStyle w:val="ListBullet"/>
      </w:pPr>
      <w:r>
        <w:rPr>
          <w:rFonts w:ascii="Calibri" w:hAnsi="Calibri"/>
          <w:color w:val="17324D"/>
        </w:rPr>
        <w:t>Opponent projected shots and shots on target from xG, location, and attack strength</w:t>
      </w:r>
    </w:p>
    <w:p>
      <w:pPr>
        <w:pStyle w:val="ListBullet"/>
      </w:pPr>
      <w:r>
        <w:rPr>
          <w:rFonts w:ascii="Calibri" w:hAnsi="Calibri"/>
          <w:color w:val="17324D"/>
        </w:rPr>
        <w:t>Team defensive suppression, block rate, possession, and likely score state</w:t>
      </w:r>
    </w:p>
    <w:p>
      <w:pPr>
        <w:pStyle w:val="ListBullet"/>
      </w:pPr>
      <w:r>
        <w:rPr>
          <w:rFonts w:ascii="Calibri" w:hAnsi="Calibri"/>
          <w:color w:val="17324D"/>
        </w:rPr>
        <w:t>Opponent finishing/on-target rates with regression</w:t>
      </w:r>
    </w:p>
    <w:p>
      <w:pPr>
        <w:pStyle w:val="ListBullet"/>
      </w:pPr>
      <w:r>
        <w:rPr>
          <w:rFonts w:ascii="Calibri" w:hAnsi="Calibri"/>
          <w:color w:val="17324D"/>
        </w:rPr>
        <w:t>Red-card, extra-time, injury, and substitution settlement rules</w:t>
      </w:r>
    </w:p>
    <w:p>
      <w:pPr>
        <w:pStyle w:val="ListBullet"/>
      </w:pPr>
      <w:r>
        <w:rPr>
          <w:rFonts w:ascii="Calibri" w:hAnsi="Calibri"/>
          <w:color w:val="17324D"/>
        </w:rPr>
        <w:t>Model saves jointly with shots on target and goals allowed</w:t>
      </w:r>
    </w:p>
    <w:p>
      <w:pPr>
        <w:pStyle w:val="Heading1"/>
        <w:keepNext/>
      </w:pPr>
      <w:r>
        <w:t>16. Participation, Role, and Workload Gates</w:t>
      </w:r>
    </w:p>
    <w:p>
      <w:r>
        <w:rPr>
          <w:rFonts w:ascii="Calibri" w:hAnsi="Calibri"/>
          <w:color w:val="17324D"/>
        </w:rPr>
        <w:t>A selection may become Official only after the official starting XI, player position, and competition-specific settlement rules are confirmed.</w:t>
      </w:r>
    </w:p>
    <w:p>
      <w:pPr>
        <w:pStyle w:val="ListBullet"/>
      </w:pPr>
      <w:r>
        <w:rPr>
          <w:rFonts w:ascii="Calibri" w:hAnsi="Calibri"/>
          <w:color w:val="17324D"/>
        </w:rPr>
        <w:t>Player confirmed in the official starting XI</w:t>
      </w:r>
    </w:p>
    <w:p>
      <w:pPr>
        <w:pStyle w:val="ListBullet"/>
      </w:pPr>
      <w:r>
        <w:rPr>
          <w:rFonts w:ascii="Calibri" w:hAnsi="Calibri"/>
          <w:color w:val="17324D"/>
        </w:rPr>
        <w:t>Expected position and tactical duty confirmed</w:t>
      </w:r>
    </w:p>
    <w:p>
      <w:pPr>
        <w:pStyle w:val="ListBullet"/>
      </w:pPr>
      <w:r>
        <w:rPr>
          <w:rFonts w:ascii="Calibri" w:hAnsi="Calibri"/>
          <w:color w:val="17324D"/>
        </w:rPr>
        <w:t>No material fitness, rotation, or early-substitution concern</w:t>
      </w:r>
    </w:p>
    <w:p>
      <w:pPr>
        <w:pStyle w:val="ListBullet"/>
      </w:pPr>
      <w:r>
        <w:rPr>
          <w:rFonts w:ascii="Calibri" w:hAnsi="Calibri"/>
          <w:color w:val="17324D"/>
        </w:rPr>
        <w:t>Expected minutes use manager, competition, score-state, and congestion patterns</w:t>
      </w:r>
    </w:p>
    <w:p>
      <w:pPr>
        <w:pStyle w:val="ListBullet"/>
      </w:pPr>
      <w:r>
        <w:rPr>
          <w:rFonts w:ascii="Calibri" w:hAnsi="Calibri"/>
          <w:color w:val="17324D"/>
        </w:rPr>
        <w:t>Stat provider and sportsbook settlement rules aligned across consensus quotes</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shd w:fill="FFF0F1"/>
            <w:tcBorders>
              <w:top w:val="single" w:sz="8" w:color="A61B2B"/>
              <w:left w:val="single" w:sz="8" w:color="A61B2B"/>
              <w:bottom w:val="single" w:sz="8" w:color="A61B2B"/>
              <w:right w:val="single" w:sz="8" w:color="A61B2B"/>
              <w:insideH w:val="single" w:sz="8" w:color="A61B2B"/>
              <w:insideV w:val="single" w:sz="8" w:color="A61B2B"/>
            </w:tcBorders>
          </w:tcPr>
          <w:p>
            <w:pPr>
              <w:spacing w:after="0"/>
            </w:pPr>
            <w:r>
              <w:rPr>
                <w:rFonts w:ascii="Calibri" w:hAnsi="Calibri"/>
                <w:b/>
                <w:color w:val="071A2B"/>
                <w:sz w:val="21"/>
              </w:rPr>
              <w:t xml:space="preserve">Hard rule: </w:t>
            </w:r>
            <w:r>
              <w:rPr>
                <w:rFonts w:ascii="Calibri" w:hAnsi="Calibri"/>
                <w:color w:val="17324D"/>
                <w:sz w:val="21"/>
              </w:rPr>
              <w:t>Unresolved participation or workload uncertainty cannot be offset by price, probability, confidence, or edge.</w:t>
            </w:r>
          </w:p>
        </w:tc>
      </w:tr>
    </w:tbl>
    <w:p>
      <w:pPr>
        <w:spacing w:after="0"/>
      </w:pPr>
    </w:p>
    <w:p>
      <w:pPr>
        <w:pStyle w:val="Heading1"/>
        <w:keepNext/>
      </w:pPr>
      <w:r>
        <w:t>17. Matchup and Environment Validation</w:t>
      </w:r>
    </w:p>
    <w:p>
      <w:r>
        <w:rPr>
          <w:rFonts w:ascii="Calibri" w:hAnsi="Calibri"/>
          <w:color w:val="17324D"/>
        </w:rPr>
        <w:t>The model and final validation must explicitly account for each applicable factor:</w:t>
      </w:r>
    </w:p>
    <w:p>
      <w:pPr>
        <w:pStyle w:val="ListBullet"/>
      </w:pPr>
      <w:r>
        <w:rPr>
          <w:rFonts w:ascii="Calibri" w:hAnsi="Calibri"/>
          <w:color w:val="17324D"/>
        </w:rPr>
        <w:t>Official XI and formation</w:t>
      </w:r>
    </w:p>
    <w:p>
      <w:pPr>
        <w:pStyle w:val="ListBullet"/>
      </w:pPr>
      <w:r>
        <w:rPr>
          <w:rFonts w:ascii="Calibri" w:hAnsi="Calibri"/>
          <w:color w:val="17324D"/>
        </w:rPr>
        <w:t>Position or set-piece-duty changes</w:t>
      </w:r>
    </w:p>
    <w:p>
      <w:pPr>
        <w:pStyle w:val="ListBullet"/>
      </w:pPr>
      <w:r>
        <w:rPr>
          <w:rFonts w:ascii="Calibri" w:hAnsi="Calibri"/>
          <w:color w:val="17324D"/>
        </w:rPr>
        <w:t>League/cup rotation and fixture congestion</w:t>
      </w:r>
    </w:p>
    <w:p>
      <w:pPr>
        <w:pStyle w:val="ListBullet"/>
      </w:pPr>
      <w:r>
        <w:rPr>
          <w:rFonts w:ascii="Calibri" w:hAnsi="Calibri"/>
          <w:color w:val="17324D"/>
        </w:rPr>
        <w:t>Manager changes</w:t>
      </w:r>
    </w:p>
    <w:p>
      <w:pPr>
        <w:pStyle w:val="ListBullet"/>
      </w:pPr>
      <w:r>
        <w:rPr>
          <w:rFonts w:ascii="Calibri" w:hAnsi="Calibri"/>
          <w:color w:val="17324D"/>
        </w:rPr>
        <w:t>Weather and pitch</w:t>
      </w:r>
    </w:p>
    <w:p>
      <w:pPr>
        <w:pStyle w:val="ListBullet"/>
      </w:pPr>
      <w:r>
        <w:rPr>
          <w:rFonts w:ascii="Calibri" w:hAnsi="Calibri"/>
          <w:color w:val="17324D"/>
        </w:rPr>
        <w:t>Referee assignment</w:t>
      </w:r>
    </w:p>
    <w:p>
      <w:pPr>
        <w:pStyle w:val="ListBullet"/>
      </w:pPr>
      <w:r>
        <w:rPr>
          <w:rFonts w:ascii="Calibri" w:hAnsi="Calibri"/>
          <w:color w:val="17324D"/>
        </w:rPr>
        <w:t>Possession and game-state expectation</w:t>
      </w:r>
    </w:p>
    <w:p>
      <w:pPr>
        <w:pStyle w:val="ListBullet"/>
      </w:pPr>
      <w:r>
        <w:rPr>
          <w:rFonts w:ascii="Calibri" w:hAnsi="Calibri"/>
          <w:color w:val="17324D"/>
        </w:rPr>
        <w:t>Regulation versus extra-time settlement</w:t>
      </w:r>
    </w:p>
    <w:p>
      <w:r>
        <w:rPr>
          <w:rFonts w:ascii="Calibri" w:hAnsi="Calibri"/>
          <w:color w:val="17324D"/>
        </w:rPr>
        <w:t>Context must enter through registered features, scenario probabilities, or hard rules. It cannot be appended as an unmeasured narrative boost.</w:t>
      </w:r>
    </w:p>
    <w:p>
      <w:pPr>
        <w:pStyle w:val="Heading1"/>
        <w:keepNext/>
      </w:pPr>
      <w:r>
        <w:t>18. Sample Reliability and Regression</w:t>
      </w:r>
    </w:p>
    <w:p>
      <w:pPr>
        <w:pStyle w:val="ListBullet"/>
      </w:pPr>
      <w:r>
        <w:rPr>
          <w:rFonts w:ascii="Calibri" w:hAnsi="Calibri"/>
          <w:color w:val="17324D"/>
        </w:rPr>
        <w:t>Use hierarchical or empirical-Bayes shrinkage when player, role, lineup, or matchup samples are small.</w:t>
      </w:r>
    </w:p>
    <w:p>
      <w:pPr>
        <w:pStyle w:val="ListBullet"/>
      </w:pPr>
      <w:r>
        <w:rPr>
          <w:rFonts w:ascii="Calibri" w:hAnsi="Calibri"/>
          <w:color w:val="17324D"/>
        </w:rPr>
        <w:t>Separate descriptive recent form from predictive role or skill change.</w:t>
      </w:r>
    </w:p>
    <w:p>
      <w:pPr>
        <w:pStyle w:val="ListBullet"/>
      </w:pPr>
      <w:r>
        <w:rPr>
          <w:rFonts w:ascii="Calibri" w:hAnsi="Calibri"/>
          <w:color w:val="17324D"/>
        </w:rPr>
        <w:t>Require underlying volume or quality support before treating a streak as persistent.</w:t>
      </w:r>
    </w:p>
    <w:p>
      <w:pPr>
        <w:pStyle w:val="ListBullet"/>
      </w:pPr>
      <w:r>
        <w:rPr>
          <w:rFonts w:ascii="Calibri" w:hAnsi="Calibri"/>
          <w:color w:val="17324D"/>
        </w:rPr>
        <w:t>Use opponent large-sample baselines adjusted for current role; do not ignore material role changes.</w:t>
      </w:r>
    </w:p>
    <w:p>
      <w:pPr>
        <w:pStyle w:val="ListBullet"/>
      </w:pPr>
      <w:r>
        <w:rPr>
          <w:rFonts w:ascii="Calibri" w:hAnsi="Calibri"/>
          <w:color w:val="17324D"/>
        </w:rPr>
        <w:t>Track calibration by market family, side, line range, price range, and role-certainty band.</w:t>
      </w:r>
    </w:p>
    <w:p>
      <w:pPr>
        <w:pStyle w:val="Heading1"/>
        <w:keepNext/>
      </w:pPr>
      <w:r>
        <w:t>19. Correlation and Duplicate-Candidate Control</w:t>
      </w:r>
    </w:p>
    <w:p>
      <w:pPr>
        <w:pStyle w:val="ListBullet"/>
      </w:pPr>
      <w:r>
        <w:rPr>
          <w:rFonts w:ascii="Calibri" w:hAnsi="Calibri"/>
          <w:color w:val="17324D"/>
        </w:rPr>
        <w:t>Do not create multiple candidates from alternate lines of the same underlying market.</w:t>
      </w:r>
    </w:p>
    <w:p>
      <w:pPr>
        <w:pStyle w:val="ListBullet"/>
      </w:pPr>
      <w:r>
        <w:rPr>
          <w:rFonts w:ascii="Calibri" w:hAnsi="Calibri"/>
          <w:color w:val="17324D"/>
        </w:rPr>
        <w:t>For strongly correlated props on the same player, retain only the highest-scoring qualified candidate.</w:t>
      </w:r>
    </w:p>
    <w:p>
      <w:pPr>
        <w:pStyle w:val="ListBullet"/>
      </w:pPr>
      <w:r>
        <w:rPr>
          <w:rFonts w:ascii="Calibri" w:hAnsi="Calibri"/>
          <w:color w:val="17324D"/>
        </w:rPr>
        <w:t>Combination props must use a joint distribution that preserves covariance.</w:t>
      </w:r>
    </w:p>
    <w:p>
      <w:pPr>
        <w:pStyle w:val="ListBullet"/>
      </w:pPr>
      <w:r>
        <w:rPr>
          <w:rFonts w:ascii="Calibri" w:hAnsi="Calibri"/>
          <w:color w:val="17324D"/>
        </w:rPr>
        <w:t>The ranking is across unique economic exposures, not duplicated board variants.</w:t>
      </w:r>
    </w:p>
    <w:p>
      <w:pPr>
        <w:pStyle w:val="Heading1"/>
        <w:keepNext/>
      </w:pPr>
      <w:r>
        <w:t>20. General Reliability Checks</w:t>
      </w:r>
    </w:p>
    <w:p>
      <w:pPr>
        <w:pStyle w:val="ListBullet"/>
      </w:pPr>
      <w:r>
        <w:rPr>
          <w:rFonts w:ascii="Calibri" w:hAnsi="Calibri"/>
          <w:color w:val="17324D"/>
        </w:rPr>
        <w:t>Participation is confirmed to the level required for Official status.</w:t>
      </w:r>
    </w:p>
    <w:p>
      <w:pPr>
        <w:pStyle w:val="ListBullet"/>
      </w:pPr>
      <w:r>
        <w:rPr>
          <w:rFonts w:ascii="Calibri" w:hAnsi="Calibri"/>
          <w:color w:val="17324D"/>
        </w:rPr>
        <w:t>Role and expected workload are defined and stable.</w:t>
      </w:r>
    </w:p>
    <w:p>
      <w:pPr>
        <w:pStyle w:val="ListBullet"/>
      </w:pPr>
      <w:r>
        <w:rPr>
          <w:rFonts w:ascii="Calibri" w:hAnsi="Calibri"/>
          <w:color w:val="17324D"/>
        </w:rPr>
        <w:t>The exact line is broadly available and the market is not stale.</w:t>
      </w:r>
    </w:p>
    <w:p>
      <w:pPr>
        <w:pStyle w:val="ListBullet"/>
      </w:pPr>
      <w:r>
        <w:rPr>
          <w:rFonts w:ascii="Calibri" w:hAnsi="Calibri"/>
          <w:color w:val="17324D"/>
        </w:rPr>
        <w:t>No material injury, restriction, tactical, lineup, or substitution concern is unresolved.</w:t>
      </w:r>
    </w:p>
    <w:p>
      <w:pPr>
        <w:pStyle w:val="ListBullet"/>
      </w:pPr>
      <w:r>
        <w:rPr>
          <w:rFonts w:ascii="Calibri" w:hAnsi="Calibri"/>
          <w:color w:val="17324D"/>
        </w:rPr>
        <w:t>The sample and opponent adjustment are sufficiently reliable.</w:t>
      </w:r>
    </w:p>
    <w:p>
      <w:pPr>
        <w:pStyle w:val="ListBullet"/>
      </w:pPr>
      <w:r>
        <w:rPr>
          <w:rFonts w:ascii="Calibri" w:hAnsi="Calibri"/>
          <w:color w:val="17324D"/>
        </w:rPr>
        <w:t>Recent performance is supported by underlying volume and quality.</w:t>
      </w:r>
    </w:p>
    <w:p>
      <w:pPr>
        <w:pStyle w:val="ListBullet"/>
      </w:pPr>
      <w:r>
        <w:rPr>
          <w:rFonts w:ascii="Calibri" w:hAnsi="Calibri"/>
          <w:color w:val="17324D"/>
        </w:rPr>
        <w:t>Model families agree within the allowed band.</w:t>
      </w:r>
    </w:p>
    <w:p>
      <w:pPr>
        <w:pStyle w:val="ListBullet"/>
      </w:pPr>
      <w:r>
        <w:rPr>
          <w:rFonts w:ascii="Calibri" w:hAnsi="Calibri"/>
          <w:color w:val="17324D"/>
        </w:rPr>
        <w:t>Two-sided, settlement-compatible pricing is available.</w:t>
      </w:r>
    </w:p>
    <w:p>
      <w:pPr>
        <w:pStyle w:val="ListBullet"/>
      </w:pPr>
      <w:r>
        <w:rPr>
          <w:rFonts w:ascii="Calibri" w:hAnsi="Calibri"/>
          <w:color w:val="17324D"/>
        </w:rPr>
        <w:t>The current price remains inside every qualification gate.</w:t>
      </w:r>
    </w:p>
    <w:p>
      <w:pPr>
        <w:pStyle w:val="Heading1"/>
        <w:keepNext/>
      </w:pPr>
      <w:r>
        <w:t>21. Runner-Up Separation Rule</w:t>
      </w:r>
    </w:p>
    <w:p>
      <w:r>
        <w:rPr>
          <w:rFonts w:ascii="Calibri" w:hAnsi="Calibri"/>
          <w:color w:val="17324D"/>
        </w:rPr>
        <w:t>The leader must finish at least 3.0 Solid Prop Score points ahead of the second-ranked fully qualified candidate. Eliminated candidates cannot serve as the runner-up.</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shd w:fill="FFF7E6"/>
            <w:tcBorders>
              <w:top w:val="single" w:sz="8" w:color="8B6508"/>
              <w:left w:val="single" w:sz="8" w:color="8B6508"/>
              <w:bottom w:val="single" w:sz="8" w:color="8B6508"/>
              <w:right w:val="single" w:sz="8" w:color="8B6508"/>
              <w:insideH w:val="single" w:sz="8" w:color="8B6508"/>
              <w:insideV w:val="single" w:sz="8" w:color="8B6508"/>
            </w:tcBorders>
          </w:tcPr>
          <w:p>
            <w:pPr>
              <w:spacing w:after="0"/>
            </w:pPr>
            <w:r>
              <w:rPr>
                <w:rFonts w:ascii="Calibri" w:hAnsi="Calibri"/>
                <w:b/>
                <w:color w:val="071A2B"/>
                <w:sz w:val="21"/>
              </w:rPr>
              <w:t xml:space="preserve">Close-ranking response: </w:t>
            </w:r>
            <w:r>
              <w:rPr>
                <w:rFonts w:ascii="Calibri" w:hAnsi="Calibri"/>
                <w:color w:val="17324D"/>
                <w:sz w:val="21"/>
              </w:rPr>
              <w:t>NO OFFICIAL PROP OF THE DAY YET - The leading candidates are too close to establish one clearly superior play.</w:t>
            </w:r>
          </w:p>
        </w:tc>
      </w:tr>
    </w:tbl>
    <w:p>
      <w:pPr>
        <w:spacing w:after="0"/>
      </w:pPr>
    </w:p>
    <w:p>
      <w:pPr>
        <w:pStyle w:val="Heading1"/>
        <w:keepNext/>
      </w:pPr>
      <w:r>
        <w:t>22. Deterministic Tie-Breaking</w:t>
      </w:r>
    </w:p>
    <w:p>
      <w:r>
        <w:rPr>
          <w:rFonts w:ascii="Calibri" w:hAnsi="Calibri"/>
          <w:color w:val="17324D"/>
        </w:rPr>
        <w:t>If unrounded Solid Prop Scores are identical, rank in this exact order:</w:t>
      </w:r>
    </w:p>
    <w:p>
      <w:pPr>
        <w:pStyle w:val="ListNumber"/>
        <w:numPr>
          <w:ilvl w:val="0"/>
          <w:numId w:val="11"/>
        </w:numPr>
      </w:pPr>
      <w:r>
        <w:rPr>
          <w:rFonts w:ascii="Calibri" w:hAnsi="Calibri"/>
          <w:color w:val="17324D"/>
        </w:rPr>
        <w:t>Higher confidence level</w:t>
      </w:r>
    </w:p>
    <w:p>
      <w:pPr>
        <w:pStyle w:val="ListNumber"/>
        <w:numPr>
          <w:ilvl w:val="0"/>
          <w:numId w:val="11"/>
        </w:numPr>
      </w:pPr>
      <w:r>
        <w:rPr>
          <w:rFonts w:ascii="Calibri" w:hAnsi="Calibri"/>
          <w:color w:val="17324D"/>
        </w:rPr>
        <w:t>Higher calibrated probability</w:t>
      </w:r>
    </w:p>
    <w:p>
      <w:pPr>
        <w:pStyle w:val="ListNumber"/>
        <w:numPr>
          <w:ilvl w:val="0"/>
          <w:numId w:val="11"/>
        </w:numPr>
      </w:pPr>
      <w:r>
        <w:rPr>
          <w:rFonts w:ascii="Calibri" w:hAnsi="Calibri"/>
          <w:color w:val="17324D"/>
        </w:rPr>
        <w:t>Larger stress-tested edge</w:t>
      </w:r>
    </w:p>
    <w:p>
      <w:pPr>
        <w:pStyle w:val="ListNumber"/>
        <w:numPr>
          <w:ilvl w:val="0"/>
          <w:numId w:val="11"/>
        </w:numPr>
      </w:pPr>
      <w:r>
        <w:rPr>
          <w:rFonts w:ascii="Calibri" w:hAnsi="Calibri"/>
          <w:color w:val="17324D"/>
        </w:rPr>
        <w:t>Greater data completeness</w:t>
      </w:r>
    </w:p>
    <w:p>
      <w:pPr>
        <w:pStyle w:val="ListNumber"/>
        <w:numPr>
          <w:ilvl w:val="0"/>
          <w:numId w:val="11"/>
        </w:numPr>
      </w:pPr>
      <w:r>
        <w:rPr>
          <w:rFonts w:ascii="Calibri" w:hAnsi="Calibri"/>
          <w:color w:val="17324D"/>
        </w:rPr>
        <w:t>Greater role/workload certainty</w:t>
      </w:r>
    </w:p>
    <w:p>
      <w:pPr>
        <w:pStyle w:val="ListNumber"/>
        <w:numPr>
          <w:ilvl w:val="0"/>
          <w:numId w:val="11"/>
        </w:numPr>
      </w:pPr>
      <w:r>
        <w:rPr>
          <w:rFonts w:ascii="Calibri" w:hAnsi="Calibri"/>
          <w:color w:val="17324D"/>
        </w:rPr>
        <w:t>Greater sportsbook availability</w:t>
      </w:r>
    </w:p>
    <w:p>
      <w:pPr>
        <w:pStyle w:val="ListNumber"/>
        <w:numPr>
          <w:ilvl w:val="0"/>
          <w:numId w:val="11"/>
        </w:numPr>
      </w:pPr>
      <w:r>
        <w:rPr>
          <w:rFonts w:ascii="Calibri" w:hAnsi="Calibri"/>
          <w:color w:val="17324D"/>
        </w:rPr>
        <w:t>Lower price volatility during the registered observation window</w:t>
      </w:r>
    </w:p>
    <w:p>
      <w:pPr>
        <w:pStyle w:val="ListNumber"/>
        <w:numPr>
          <w:ilvl w:val="0"/>
          <w:numId w:val="11"/>
        </w:numPr>
      </w:pPr>
      <w:r>
        <w:rPr>
          <w:rFonts w:ascii="Calibri" w:hAnsi="Calibri"/>
          <w:color w:val="17324D"/>
        </w:rPr>
        <w:t>Alphabetical player name</w:t>
      </w:r>
    </w:p>
    <w:p>
      <w:pPr>
        <w:pStyle w:val="ListNumber"/>
        <w:numPr>
          <w:ilvl w:val="0"/>
          <w:numId w:val="11"/>
        </w:numPr>
      </w:pPr>
      <w:r>
        <w:rPr>
          <w:rFonts w:ascii="Calibri" w:hAnsi="Calibri"/>
          <w:color w:val="17324D"/>
        </w:rPr>
        <w:t>Alphabetical market name, then Over before Under</w:t>
      </w:r>
    </w:p>
    <w:p>
      <w:pPr>
        <w:pStyle w:val="Heading1"/>
        <w:keepNext/>
      </w:pPr>
      <w:r>
        <w:t>23. Status Lifecycle</w:t>
      </w:r>
    </w:p>
    <w:p>
      <w:pPr>
        <w:pStyle w:val="Heading2"/>
        <w:keepNext/>
      </w:pPr>
      <w:r>
        <w:t>Candidate</w:t>
      </w:r>
    </w:p>
    <w:p>
      <w:r>
        <w:rPr>
          <w:rFonts w:ascii="Calibri" w:hAnsi="Calibri"/>
          <w:color w:val="17324D"/>
        </w:rPr>
        <w:t>Leads but awaits a required confirmation, final market recheck, or lock window.</w:t>
      </w:r>
    </w:p>
    <w:p>
      <w:pPr>
        <w:pStyle w:val="Heading2"/>
        <w:keepNext/>
      </w:pPr>
      <w:r>
        <w:t>Official</w:t>
      </w:r>
    </w:p>
    <w:p>
      <w:r>
        <w:rPr>
          <w:rFonts w:ascii="Calibri" w:hAnsi="Calibri"/>
          <w:color w:val="17324D"/>
        </w:rPr>
        <w:t>Passed every hard gate and was locked using a registered final snapshot.</w:t>
      </w:r>
    </w:p>
    <w:p>
      <w:pPr>
        <w:pStyle w:val="Heading2"/>
        <w:keepNext/>
      </w:pPr>
      <w:r>
        <w:t>Pass</w:t>
      </w:r>
    </w:p>
    <w:p>
      <w:r>
        <w:rPr>
          <w:rFonts w:ascii="Calibri" w:hAnsi="Calibri"/>
          <w:color w:val="17324D"/>
        </w:rPr>
        <w:t>Was acceptable, but the current line/price no longer satisfies a price-dependent gate.</w:t>
      </w:r>
    </w:p>
    <w:p>
      <w:pPr>
        <w:pStyle w:val="Heading2"/>
        <w:keepNext/>
      </w:pPr>
      <w:r>
        <w:t>Invalidated</w:t>
      </w:r>
    </w:p>
    <w:p>
      <w:r>
        <w:rPr>
          <w:rFonts w:ascii="Calibri" w:hAnsi="Calibri"/>
          <w:color w:val="17324D"/>
        </w:rPr>
        <w:t>A participation, role, data, settlement, market, or model condition changed.</w:t>
      </w:r>
    </w:p>
    <w:p>
      <w:pPr>
        <w:pStyle w:val="Heading2"/>
        <w:keepNext/>
      </w:pPr>
      <w:r>
        <w:t>No Selection</w:t>
      </w:r>
    </w:p>
    <w:p>
      <w:r>
        <w:rPr>
          <w:rFonts w:ascii="Calibri" w:hAnsi="Calibri"/>
          <w:color w:val="17324D"/>
        </w:rPr>
        <w:t>No candidate passed every rule or the qualified leader lacked separation.</w:t>
      </w:r>
    </w:p>
    <w:p>
      <w:pPr>
        <w:pStyle w:val="Heading1"/>
        <w:keepNext/>
      </w:pPr>
      <w:r>
        <w:t>24. Price Recheck, Playable Limit, Expiry, and Replacement</w:t>
      </w:r>
    </w:p>
    <w:p>
      <w:pPr>
        <w:pStyle w:val="ListBullet"/>
      </w:pPr>
      <w:r>
        <w:rPr>
          <w:rFonts w:ascii="Calibri" w:hAnsi="Calibri"/>
          <w:color w:val="17324D"/>
        </w:rPr>
        <w:t>Store the selected line/price and the exact worst still-qualifying price as the playable limit.</w:t>
      </w:r>
    </w:p>
    <w:p>
      <w:pPr>
        <w:pStyle w:val="ListBullet"/>
      </w:pPr>
      <w:r>
        <w:rPr>
          <w:rFonts w:ascii="Calibri" w:hAnsi="Calibri"/>
          <w:color w:val="17324D"/>
        </w:rPr>
        <w:t>Derive the limit by recalculating book-level no-vig probability with current valid opposite-side quotes.</w:t>
      </w:r>
    </w:p>
    <w:p>
      <w:pPr>
        <w:pStyle w:val="ListBullet"/>
      </w:pPr>
      <w:r>
        <w:rPr>
          <w:rFonts w:ascii="Calibri" w:hAnsi="Calibri"/>
          <w:color w:val="17324D"/>
        </w:rPr>
        <w:t>If the market crosses the playable limit, change status to Pass.</w:t>
      </w:r>
    </w:p>
    <w:p>
      <w:pPr>
        <w:pStyle w:val="ListBullet"/>
      </w:pPr>
      <w:r>
        <w:rPr>
          <w:rFonts w:ascii="Calibri" w:hAnsi="Calibri"/>
          <w:color w:val="17324D"/>
        </w:rPr>
        <w:t>If the line changes, create a new candidate calculation; never reuse the previous line's probability.</w:t>
      </w:r>
    </w:p>
    <w:p>
      <w:pPr>
        <w:pStyle w:val="ListBullet"/>
      </w:pPr>
      <w:r>
        <w:rPr>
          <w:rFonts w:ascii="Calibri" w:hAnsi="Calibri"/>
          <w:color w:val="17324D"/>
        </w:rPr>
        <w:t>Any material participation, role, settlement, or context change invalidates the snapshot.</w:t>
      </w:r>
    </w:p>
    <w:p>
      <w:pPr>
        <w:pStyle w:val="ListBullet"/>
      </w:pPr>
      <w:r>
        <w:rPr>
          <w:rFonts w:ascii="Calibri" w:hAnsi="Calibri"/>
          <w:color w:val="17324D"/>
        </w:rPr>
        <w:t>A replacement may become Official only from a new snapshot and after independently passing every rule.</w:t>
      </w:r>
    </w:p>
    <w:p>
      <w:pPr>
        <w:pStyle w:val="Heading1"/>
        <w:keepNext/>
      </w:pPr>
      <w:r>
        <w:t>25. Required Output Record</w:t>
      </w:r>
    </w:p>
    <w:tbl>
      <w:tblPr>
        <w:tblStyle w:val="TableGrid"/>
        <w:tblW w:type="dxa" w:w="9360"/>
        <w:jc w:val="left"/>
        <w:tblLayout w:type="fixed"/>
        <w:tblLook w:firstColumn="1" w:firstRow="1" w:lastColumn="0" w:lastRow="0" w:noHBand="0" w:noVBand="1" w:val="04A0"/>
        <w:tblInd w:w="120" w:type="dxa"/>
      </w:tblPr>
      <w:tblGrid>
        <w:gridCol w:w="1800"/>
        <w:gridCol w:w="7560"/>
      </w:tblGrid>
      <w:tr>
        <w:trPr>
          <w:tblHeader w:val="true"/>
          <w:cantSplit/>
        </w:trPr>
        <w:tc>
          <w:tcPr>
            <w:tcW w:type="dxa" w:w="1800"/>
            <w:shd w:fill="071A2B"/>
            <w:vAlign w:val="center"/>
            <w:tcMar>
              <w:top w:w="80" w:type="dxa"/>
              <w:start w:w="120" w:type="dxa"/>
              <w:bottom w:w="80" w:type="dxa"/>
              <w:end w:w="120" w:type="dxa"/>
            </w:tcMar>
            <w:tcBorders>
              <w:top w:val="single" w:sz="6" w:color="CBD6DF"/>
              <w:left w:val="single" w:sz="6" w:color="CBD6DF"/>
              <w:bottom w:val="single" w:sz="6" w:color="CBD6DF"/>
              <w:right w:val="single" w:sz="6" w:color="CBD6DF"/>
              <w:insideH w:val="single" w:sz="6" w:color="CBD6DF"/>
              <w:insideV w:val="single" w:sz="6" w:color="CBD6DF"/>
            </w:tcBorders>
          </w:tcPr>
          <w:p>
            <w:pPr>
              <w:spacing w:after="0"/>
            </w:pPr>
            <w:r>
              <w:rPr>
                <w:rFonts w:ascii="Calibri" w:hAnsi="Calibri"/>
                <w:b/>
                <w:color w:val="FFFFFF"/>
                <w:sz w:val="20"/>
              </w:rPr>
              <w:t>Output group</w:t>
            </w:r>
          </w:p>
        </w:tc>
        <w:tc>
          <w:tcPr>
            <w:tcW w:type="dxa" w:w="7560"/>
            <w:shd w:fill="071A2B"/>
            <w:vAlign w:val="center"/>
            <w:tcMar>
              <w:top w:w="80" w:type="dxa"/>
              <w:start w:w="120" w:type="dxa"/>
              <w:bottom w:w="80" w:type="dxa"/>
              <w:end w:w="120" w:type="dxa"/>
            </w:tcMar>
            <w:tcBorders>
              <w:top w:val="single" w:sz="6" w:color="CBD6DF"/>
              <w:left w:val="single" w:sz="6" w:color="CBD6DF"/>
              <w:bottom w:val="single" w:sz="6" w:color="CBD6DF"/>
              <w:right w:val="single" w:sz="6" w:color="CBD6DF"/>
              <w:insideH w:val="single" w:sz="6" w:color="CBD6DF"/>
              <w:insideV w:val="single" w:sz="6" w:color="CBD6DF"/>
            </w:tcBorders>
          </w:tcPr>
          <w:p>
            <w:pPr>
              <w:spacing w:after="0"/>
            </w:pPr>
            <w:r>
              <w:rPr>
                <w:rFonts w:ascii="Calibri" w:hAnsi="Calibri"/>
                <w:b/>
                <w:color w:val="FFFFFF"/>
                <w:sz w:val="20"/>
              </w:rPr>
              <w:t>Required fields</w:t>
            </w:r>
          </w:p>
        </w:tc>
      </w:tr>
      <w:tr>
        <w:trPr>
          <w:cantSplit/>
        </w:trPr>
        <w:tc>
          <w:tcPr>
            <w:tcW w:type="dxa" w:w="1800"/>
            <w:vAlign w:val="center"/>
            <w:tcMar>
              <w:top w:w="80" w:type="dxa"/>
              <w:start w:w="120" w:type="dxa"/>
              <w:bottom w:w="80" w:type="dxa"/>
              <w:end w:w="120" w:type="dxa"/>
            </w:tcMar>
            <w:tcBorders>
              <w:top w:val="single" w:sz="6" w:color="CBD6DF"/>
              <w:left w:val="single" w:sz="6" w:color="CBD6DF"/>
              <w:bottom w:val="single" w:sz="6" w:color="CBD6DF"/>
              <w:right w:val="single" w:sz="6" w:color="CBD6DF"/>
              <w:insideH w:val="single" w:sz="6" w:color="CBD6DF"/>
              <w:insideV w:val="single" w:sz="6" w:color="CBD6DF"/>
            </w:tcBorders>
          </w:tcPr>
          <w:p>
            <w:pPr>
              <w:spacing w:after="0"/>
            </w:pPr>
            <w:r>
              <w:rPr>
                <w:rFonts w:ascii="Calibri" w:hAnsi="Calibri"/>
                <w:b/>
                <w:color w:val="17324D"/>
                <w:sz w:val="19"/>
              </w:rPr>
              <w:t>Identity</w:t>
            </w:r>
          </w:p>
        </w:tc>
        <w:tc>
          <w:tcPr>
            <w:tcW w:type="dxa" w:w="7560"/>
            <w:vAlign w:val="center"/>
            <w:tcMar>
              <w:top w:w="80" w:type="dxa"/>
              <w:start w:w="120" w:type="dxa"/>
              <w:bottom w:w="80" w:type="dxa"/>
              <w:end w:w="120" w:type="dxa"/>
            </w:tcMar>
            <w:tcBorders>
              <w:top w:val="single" w:sz="6" w:color="CBD6DF"/>
              <w:left w:val="single" w:sz="6" w:color="CBD6DF"/>
              <w:bottom w:val="single" w:sz="6" w:color="CBD6DF"/>
              <w:right w:val="single" w:sz="6" w:color="CBD6DF"/>
              <w:insideH w:val="single" w:sz="6" w:color="CBD6DF"/>
              <w:insideV w:val="single" w:sz="6" w:color="CBD6DF"/>
            </w:tcBorders>
          </w:tcPr>
          <w:p>
            <w:pPr>
              <w:spacing w:after="0"/>
            </w:pPr>
            <w:r>
              <w:rPr>
                <w:rFonts w:ascii="Calibri" w:hAnsi="Calibri"/>
                <w:b w:val="0"/>
                <w:color w:val="17324D"/>
                <w:sz w:val="19"/>
              </w:rPr>
              <w:t>sport, league/competition, event, player, team, opponent, market, side, line</w:t>
            </w:r>
          </w:p>
        </w:tc>
      </w:tr>
      <w:tr>
        <w:trPr>
          <w:cantSplit/>
        </w:trPr>
        <w:tc>
          <w:tcPr>
            <w:tcW w:type="dxa" w:w="1800"/>
            <w:shd w:fill="F3F6F8"/>
            <w:vAlign w:val="center"/>
            <w:tcMar>
              <w:top w:w="80" w:type="dxa"/>
              <w:start w:w="120" w:type="dxa"/>
              <w:bottom w:w="80" w:type="dxa"/>
              <w:end w:w="120" w:type="dxa"/>
            </w:tcMar>
            <w:tcBorders>
              <w:top w:val="single" w:sz="6" w:color="CBD6DF"/>
              <w:left w:val="single" w:sz="6" w:color="CBD6DF"/>
              <w:bottom w:val="single" w:sz="6" w:color="CBD6DF"/>
              <w:right w:val="single" w:sz="6" w:color="CBD6DF"/>
              <w:insideH w:val="single" w:sz="6" w:color="CBD6DF"/>
              <w:insideV w:val="single" w:sz="6" w:color="CBD6DF"/>
            </w:tcBorders>
          </w:tcPr>
          <w:p>
            <w:pPr>
              <w:spacing w:after="0"/>
            </w:pPr>
            <w:r>
              <w:rPr>
                <w:rFonts w:ascii="Calibri" w:hAnsi="Calibri"/>
                <w:b/>
                <w:color w:val="17324D"/>
                <w:sz w:val="19"/>
              </w:rPr>
              <w:t>Snapshot</w:t>
            </w:r>
          </w:p>
        </w:tc>
        <w:tc>
          <w:tcPr>
            <w:tcW w:type="dxa" w:w="7560"/>
            <w:shd w:fill="F3F6F8"/>
            <w:vAlign w:val="center"/>
            <w:tcMar>
              <w:top w:w="80" w:type="dxa"/>
              <w:start w:w="120" w:type="dxa"/>
              <w:bottom w:w="80" w:type="dxa"/>
              <w:end w:w="120" w:type="dxa"/>
            </w:tcMar>
            <w:tcBorders>
              <w:top w:val="single" w:sz="6" w:color="CBD6DF"/>
              <w:left w:val="single" w:sz="6" w:color="CBD6DF"/>
              <w:bottom w:val="single" w:sz="6" w:color="CBD6DF"/>
              <w:right w:val="single" w:sz="6" w:color="CBD6DF"/>
              <w:insideH w:val="single" w:sz="6" w:color="CBD6DF"/>
              <w:insideV w:val="single" w:sz="6" w:color="CBD6DF"/>
            </w:tcBorders>
          </w:tcPr>
          <w:p>
            <w:pPr>
              <w:spacing w:after="0"/>
            </w:pPr>
            <w:r>
              <w:rPr>
                <w:rFonts w:ascii="Calibri" w:hAnsi="Calibri"/>
                <w:b w:val="0"/>
                <w:color w:val="17324D"/>
                <w:sz w:val="19"/>
              </w:rPr>
              <w:t>snapshot_id, criteria_version, model_version, created_at, quote_timestamp</w:t>
            </w:r>
          </w:p>
        </w:tc>
      </w:tr>
      <w:tr>
        <w:trPr>
          <w:cantSplit/>
        </w:trPr>
        <w:tc>
          <w:tcPr>
            <w:tcW w:type="dxa" w:w="1800"/>
            <w:vAlign w:val="center"/>
            <w:tcMar>
              <w:top w:w="80" w:type="dxa"/>
              <w:start w:w="120" w:type="dxa"/>
              <w:bottom w:w="80" w:type="dxa"/>
              <w:end w:w="120" w:type="dxa"/>
            </w:tcMar>
            <w:tcBorders>
              <w:top w:val="single" w:sz="6" w:color="CBD6DF"/>
              <w:left w:val="single" w:sz="6" w:color="CBD6DF"/>
              <w:bottom w:val="single" w:sz="6" w:color="CBD6DF"/>
              <w:right w:val="single" w:sz="6" w:color="CBD6DF"/>
              <w:insideH w:val="single" w:sz="6" w:color="CBD6DF"/>
              <w:insideV w:val="single" w:sz="6" w:color="CBD6DF"/>
            </w:tcBorders>
          </w:tcPr>
          <w:p>
            <w:pPr>
              <w:spacing w:after="0"/>
            </w:pPr>
            <w:r>
              <w:rPr>
                <w:rFonts w:ascii="Calibri" w:hAnsi="Calibri"/>
                <w:b/>
                <w:color w:val="17324D"/>
                <w:sz w:val="19"/>
              </w:rPr>
              <w:t>Price</w:t>
            </w:r>
          </w:p>
        </w:tc>
        <w:tc>
          <w:tcPr>
            <w:tcW w:type="dxa" w:w="7560"/>
            <w:vAlign w:val="center"/>
            <w:tcMar>
              <w:top w:w="80" w:type="dxa"/>
              <w:start w:w="120" w:type="dxa"/>
              <w:bottom w:w="80" w:type="dxa"/>
              <w:end w:w="120" w:type="dxa"/>
            </w:tcMar>
            <w:tcBorders>
              <w:top w:val="single" w:sz="6" w:color="CBD6DF"/>
              <w:left w:val="single" w:sz="6" w:color="CBD6DF"/>
              <w:bottom w:val="single" w:sz="6" w:color="CBD6DF"/>
              <w:right w:val="single" w:sz="6" w:color="CBD6DF"/>
              <w:insideH w:val="single" w:sz="6" w:color="CBD6DF"/>
              <w:insideV w:val="single" w:sz="6" w:color="CBD6DF"/>
            </w:tcBorders>
          </w:tcPr>
          <w:p>
            <w:pPr>
              <w:spacing w:after="0"/>
            </w:pPr>
            <w:r>
              <w:rPr>
                <w:rFonts w:ascii="Calibri" w:hAnsi="Calibri"/>
                <w:b w:val="0"/>
                <w:color w:val="17324D"/>
                <w:sz w:val="19"/>
              </w:rPr>
              <w:t>selected_book, selected_odds, consensus_odds, book_count, playable_limit</w:t>
            </w:r>
          </w:p>
        </w:tc>
      </w:tr>
      <w:tr>
        <w:trPr>
          <w:cantSplit/>
        </w:trPr>
        <w:tc>
          <w:tcPr>
            <w:tcW w:type="dxa" w:w="1800"/>
            <w:shd w:fill="F3F6F8"/>
            <w:vAlign w:val="center"/>
            <w:tcMar>
              <w:top w:w="80" w:type="dxa"/>
              <w:start w:w="120" w:type="dxa"/>
              <w:bottom w:w="80" w:type="dxa"/>
              <w:end w:w="120" w:type="dxa"/>
            </w:tcMar>
            <w:tcBorders>
              <w:top w:val="single" w:sz="6" w:color="CBD6DF"/>
              <w:left w:val="single" w:sz="6" w:color="CBD6DF"/>
              <w:bottom w:val="single" w:sz="6" w:color="CBD6DF"/>
              <w:right w:val="single" w:sz="6" w:color="CBD6DF"/>
              <w:insideH w:val="single" w:sz="6" w:color="CBD6DF"/>
              <w:insideV w:val="single" w:sz="6" w:color="CBD6DF"/>
            </w:tcBorders>
          </w:tcPr>
          <w:p>
            <w:pPr>
              <w:spacing w:after="0"/>
            </w:pPr>
            <w:r>
              <w:rPr>
                <w:rFonts w:ascii="Calibri" w:hAnsi="Calibri"/>
                <w:b/>
                <w:color w:val="17324D"/>
                <w:sz w:val="19"/>
              </w:rPr>
              <w:t>Probability</w:t>
            </w:r>
          </w:p>
        </w:tc>
        <w:tc>
          <w:tcPr>
            <w:tcW w:type="dxa" w:w="7560"/>
            <w:shd w:fill="F3F6F8"/>
            <w:vAlign w:val="center"/>
            <w:tcMar>
              <w:top w:w="80" w:type="dxa"/>
              <w:start w:w="120" w:type="dxa"/>
              <w:bottom w:w="80" w:type="dxa"/>
              <w:end w:w="120" w:type="dxa"/>
            </w:tcMar>
            <w:tcBorders>
              <w:top w:val="single" w:sz="6" w:color="CBD6DF"/>
              <w:left w:val="single" w:sz="6" w:color="CBD6DF"/>
              <w:bottom w:val="single" w:sz="6" w:color="CBD6DF"/>
              <w:right w:val="single" w:sz="6" w:color="CBD6DF"/>
              <w:insideH w:val="single" w:sz="6" w:color="CBD6DF"/>
              <w:insideV w:val="single" w:sz="6" w:color="CBD6DF"/>
            </w:tcBorders>
          </w:tcPr>
          <w:p>
            <w:pPr>
              <w:spacing w:after="0"/>
            </w:pPr>
            <w:r>
              <w:rPr>
                <w:rFonts w:ascii="Calibri" w:hAnsi="Calibri"/>
                <w:b w:val="0"/>
                <w:color w:val="17324D"/>
                <w:sz w:val="19"/>
              </w:rPr>
              <w:t>calibrated_probability, no_vig_probability, edge_gap, stress_probability, stress_edge</w:t>
            </w:r>
          </w:p>
        </w:tc>
      </w:tr>
      <w:tr>
        <w:trPr>
          <w:cantSplit/>
        </w:trPr>
        <w:tc>
          <w:tcPr>
            <w:tcW w:type="dxa" w:w="1800"/>
            <w:vAlign w:val="center"/>
            <w:tcMar>
              <w:top w:w="80" w:type="dxa"/>
              <w:start w:w="120" w:type="dxa"/>
              <w:bottom w:w="80" w:type="dxa"/>
              <w:end w:w="120" w:type="dxa"/>
            </w:tcMar>
            <w:tcBorders>
              <w:top w:val="single" w:sz="6" w:color="CBD6DF"/>
              <w:left w:val="single" w:sz="6" w:color="CBD6DF"/>
              <w:bottom w:val="single" w:sz="6" w:color="CBD6DF"/>
              <w:right w:val="single" w:sz="6" w:color="CBD6DF"/>
              <w:insideH w:val="single" w:sz="6" w:color="CBD6DF"/>
              <w:insideV w:val="single" w:sz="6" w:color="CBD6DF"/>
            </w:tcBorders>
          </w:tcPr>
          <w:p>
            <w:pPr>
              <w:spacing w:after="0"/>
            </w:pPr>
            <w:r>
              <w:rPr>
                <w:rFonts w:ascii="Calibri" w:hAnsi="Calibri"/>
                <w:b/>
                <w:color w:val="17324D"/>
                <w:sz w:val="19"/>
              </w:rPr>
              <w:t>Quality</w:t>
            </w:r>
          </w:p>
        </w:tc>
        <w:tc>
          <w:tcPr>
            <w:tcW w:type="dxa" w:w="7560"/>
            <w:vAlign w:val="center"/>
            <w:tcMar>
              <w:top w:w="80" w:type="dxa"/>
              <w:start w:w="120" w:type="dxa"/>
              <w:bottom w:w="80" w:type="dxa"/>
              <w:end w:w="120" w:type="dxa"/>
            </w:tcMar>
            <w:tcBorders>
              <w:top w:val="single" w:sz="6" w:color="CBD6DF"/>
              <w:left w:val="single" w:sz="6" w:color="CBD6DF"/>
              <w:bottom w:val="single" w:sz="6" w:color="CBD6DF"/>
              <w:right w:val="single" w:sz="6" w:color="CBD6DF"/>
              <w:insideH w:val="single" w:sz="6" w:color="CBD6DF"/>
              <w:insideV w:val="single" w:sz="6" w:color="CBD6DF"/>
            </w:tcBorders>
          </w:tcPr>
          <w:p>
            <w:pPr>
              <w:spacing w:after="0"/>
            </w:pPr>
            <w:r>
              <w:rPr>
                <w:rFonts w:ascii="Calibri" w:hAnsi="Calibri"/>
                <w:b w:val="0"/>
                <w:color w:val="17324D"/>
                <w:sz w:val="19"/>
              </w:rPr>
              <w:t>confidence, data_completeness, reliability, solid_prop_score, runner_up_gap</w:t>
            </w:r>
          </w:p>
        </w:tc>
      </w:tr>
      <w:tr>
        <w:trPr>
          <w:cantSplit/>
        </w:trPr>
        <w:tc>
          <w:tcPr>
            <w:tcW w:type="dxa" w:w="1800"/>
            <w:shd w:fill="F3F6F8"/>
            <w:vAlign w:val="center"/>
            <w:tcMar>
              <w:top w:w="80" w:type="dxa"/>
              <w:start w:w="120" w:type="dxa"/>
              <w:bottom w:w="80" w:type="dxa"/>
              <w:end w:w="120" w:type="dxa"/>
            </w:tcMar>
            <w:tcBorders>
              <w:top w:val="single" w:sz="6" w:color="CBD6DF"/>
              <w:left w:val="single" w:sz="6" w:color="CBD6DF"/>
              <w:bottom w:val="single" w:sz="6" w:color="CBD6DF"/>
              <w:right w:val="single" w:sz="6" w:color="CBD6DF"/>
              <w:insideH w:val="single" w:sz="6" w:color="CBD6DF"/>
              <w:insideV w:val="single" w:sz="6" w:color="CBD6DF"/>
            </w:tcBorders>
          </w:tcPr>
          <w:p>
            <w:pPr>
              <w:spacing w:after="0"/>
            </w:pPr>
            <w:r>
              <w:rPr>
                <w:rFonts w:ascii="Calibri" w:hAnsi="Calibri"/>
                <w:b/>
                <w:color w:val="17324D"/>
                <w:sz w:val="19"/>
              </w:rPr>
              <w:t>Status</w:t>
            </w:r>
          </w:p>
        </w:tc>
        <w:tc>
          <w:tcPr>
            <w:tcW w:type="dxa" w:w="7560"/>
            <w:shd w:fill="F3F6F8"/>
            <w:vAlign w:val="center"/>
            <w:tcMar>
              <w:top w:w="80" w:type="dxa"/>
              <w:start w:w="120" w:type="dxa"/>
              <w:bottom w:w="80" w:type="dxa"/>
              <w:end w:w="120" w:type="dxa"/>
            </w:tcMar>
            <w:tcBorders>
              <w:top w:val="single" w:sz="6" w:color="CBD6DF"/>
              <w:left w:val="single" w:sz="6" w:color="CBD6DF"/>
              <w:bottom w:val="single" w:sz="6" w:color="CBD6DF"/>
              <w:right w:val="single" w:sz="6" w:color="CBD6DF"/>
              <w:insideH w:val="single" w:sz="6" w:color="CBD6DF"/>
              <w:insideV w:val="single" w:sz="6" w:color="CBD6DF"/>
            </w:tcBorders>
          </w:tcPr>
          <w:p>
            <w:pPr>
              <w:spacing w:after="0"/>
            </w:pPr>
            <w:r>
              <w:rPr>
                <w:rFonts w:ascii="Calibri" w:hAnsi="Calibri"/>
                <w:b w:val="0"/>
                <w:color w:val="17324D"/>
                <w:sz w:val="19"/>
              </w:rPr>
              <w:t>Candidate | Official | Pass | Invalidated | No Selection</w:t>
            </w:r>
          </w:p>
        </w:tc>
      </w:tr>
      <w:tr>
        <w:trPr>
          <w:cantSplit/>
        </w:trPr>
        <w:tc>
          <w:tcPr>
            <w:tcW w:type="dxa" w:w="1800"/>
            <w:vAlign w:val="center"/>
            <w:tcMar>
              <w:top w:w="80" w:type="dxa"/>
              <w:start w:w="120" w:type="dxa"/>
              <w:bottom w:w="80" w:type="dxa"/>
              <w:end w:w="120" w:type="dxa"/>
            </w:tcMar>
            <w:tcBorders>
              <w:top w:val="single" w:sz="6" w:color="CBD6DF"/>
              <w:left w:val="single" w:sz="6" w:color="CBD6DF"/>
              <w:bottom w:val="single" w:sz="6" w:color="CBD6DF"/>
              <w:right w:val="single" w:sz="6" w:color="CBD6DF"/>
              <w:insideH w:val="single" w:sz="6" w:color="CBD6DF"/>
              <w:insideV w:val="single" w:sz="6" w:color="CBD6DF"/>
            </w:tcBorders>
          </w:tcPr>
          <w:p>
            <w:pPr>
              <w:spacing w:after="0"/>
            </w:pPr>
            <w:r>
              <w:rPr>
                <w:rFonts w:ascii="Calibri" w:hAnsi="Calibri"/>
                <w:b/>
                <w:color w:val="17324D"/>
                <w:sz w:val="19"/>
              </w:rPr>
              <w:t>Control</w:t>
            </w:r>
          </w:p>
        </w:tc>
        <w:tc>
          <w:tcPr>
            <w:tcW w:type="dxa" w:w="7560"/>
            <w:vAlign w:val="center"/>
            <w:tcMar>
              <w:top w:w="80" w:type="dxa"/>
              <w:start w:w="120" w:type="dxa"/>
              <w:bottom w:w="80" w:type="dxa"/>
              <w:end w:w="120" w:type="dxa"/>
            </w:tcMar>
            <w:tcBorders>
              <w:top w:val="single" w:sz="6" w:color="CBD6DF"/>
              <w:left w:val="single" w:sz="6" w:color="CBD6DF"/>
              <w:bottom w:val="single" w:sz="6" w:color="CBD6DF"/>
              <w:right w:val="single" w:sz="6" w:color="CBD6DF"/>
              <w:insideH w:val="single" w:sz="6" w:color="CBD6DF"/>
              <w:insideV w:val="single" w:sz="6" w:color="CBD6DF"/>
            </w:tcBorders>
          </w:tcPr>
          <w:p>
            <w:pPr>
              <w:spacing w:after="0"/>
            </w:pPr>
            <w:r>
              <w:rPr>
                <w:rFonts w:ascii="Calibri" w:hAnsi="Calibri"/>
                <w:b w:val="0"/>
                <w:color w:val="17324D"/>
                <w:sz w:val="19"/>
              </w:rPr>
              <w:t>reason_codes, recheck_at, expires_at, invalidation_trigger, settlement_rule_id</w:t>
            </w:r>
          </w:p>
        </w:tc>
      </w:tr>
      <w:tr>
        <w:trPr>
          <w:cantSplit/>
        </w:trPr>
        <w:tc>
          <w:tcPr>
            <w:tcW w:type="dxa" w:w="1800"/>
            <w:shd w:fill="F3F6F8"/>
            <w:vAlign w:val="center"/>
            <w:tcMar>
              <w:top w:w="80" w:type="dxa"/>
              <w:start w:w="120" w:type="dxa"/>
              <w:bottom w:w="80" w:type="dxa"/>
              <w:end w:w="120" w:type="dxa"/>
            </w:tcMar>
            <w:tcBorders>
              <w:top w:val="single" w:sz="6" w:color="CBD6DF"/>
              <w:left w:val="single" w:sz="6" w:color="CBD6DF"/>
              <w:bottom w:val="single" w:sz="6" w:color="CBD6DF"/>
              <w:right w:val="single" w:sz="6" w:color="CBD6DF"/>
              <w:insideH w:val="single" w:sz="6" w:color="CBD6DF"/>
              <w:insideV w:val="single" w:sz="6" w:color="CBD6DF"/>
            </w:tcBorders>
          </w:tcPr>
          <w:p>
            <w:pPr>
              <w:spacing w:after="0"/>
            </w:pPr>
            <w:r>
              <w:rPr>
                <w:rFonts w:ascii="Calibri" w:hAnsi="Calibri"/>
                <w:b/>
                <w:color w:val="17324D"/>
                <w:sz w:val="19"/>
              </w:rPr>
              <w:t>Explanation</w:t>
            </w:r>
          </w:p>
        </w:tc>
        <w:tc>
          <w:tcPr>
            <w:tcW w:type="dxa" w:w="7560"/>
            <w:shd w:fill="F3F6F8"/>
            <w:vAlign w:val="center"/>
            <w:tcMar>
              <w:top w:w="80" w:type="dxa"/>
              <w:start w:w="120" w:type="dxa"/>
              <w:bottom w:w="80" w:type="dxa"/>
              <w:end w:w="120" w:type="dxa"/>
            </w:tcMar>
            <w:tcBorders>
              <w:top w:val="single" w:sz="6" w:color="CBD6DF"/>
              <w:left w:val="single" w:sz="6" w:color="CBD6DF"/>
              <w:bottom w:val="single" w:sz="6" w:color="CBD6DF"/>
              <w:right w:val="single" w:sz="6" w:color="CBD6DF"/>
              <w:insideH w:val="single" w:sz="6" w:color="CBD6DF"/>
              <w:insideV w:val="single" w:sz="6" w:color="CBD6DF"/>
            </w:tcBorders>
          </w:tcPr>
          <w:p>
            <w:pPr>
              <w:spacing w:after="0"/>
            </w:pPr>
            <w:r>
              <w:rPr>
                <w:rFonts w:ascii="Calibri" w:hAnsi="Calibri"/>
                <w:b w:val="0"/>
                <w:color w:val="17324D"/>
                <w:sz w:val="19"/>
              </w:rPr>
              <w:t>three strongest factors and every material risk; prose cannot override scores</w:t>
            </w:r>
          </w:p>
        </w:tc>
      </w:tr>
    </w:tbl>
    <w:p>
      <w:pPr>
        <w:pStyle w:val="Heading1"/>
        <w:keepNext/>
      </w:pPr>
      <w:r>
        <w:t>26. Reason Codes and Audit Trail</w:t>
      </w:r>
    </w:p>
    <w:p>
      <w:r>
        <w:rPr>
          <w:rFonts w:ascii="Calibri" w:hAnsi="Calibri"/>
          <w:color w:val="17324D"/>
        </w:rPr>
        <w:t>Every elimination, downgrade, expiry, Pass, or invalidation must include a standardized reason code:</w:t>
      </w:r>
    </w:p>
    <w:p>
      <w:pPr>
        <w:pStyle w:val="ListBullet"/>
      </w:pPr>
      <w:r>
        <w:rPr>
          <w:rFonts w:ascii="Calibri" w:hAnsi="Calibri"/>
          <w:color w:val="17324D"/>
        </w:rPr>
        <w:t>XI_UNCONFIRMED</w:t>
      </w:r>
    </w:p>
    <w:p>
      <w:pPr>
        <w:pStyle w:val="ListBullet"/>
      </w:pPr>
      <w:r>
        <w:rPr>
          <w:rFonts w:ascii="Calibri" w:hAnsi="Calibri"/>
          <w:color w:val="17324D"/>
        </w:rPr>
        <w:t>POSITION_BLOCK</w:t>
      </w:r>
    </w:p>
    <w:p>
      <w:pPr>
        <w:pStyle w:val="ListBullet"/>
      </w:pPr>
      <w:r>
        <w:rPr>
          <w:rFonts w:ascii="Calibri" w:hAnsi="Calibri"/>
          <w:color w:val="17324D"/>
        </w:rPr>
        <w:t>MINUTES_BLOCK</w:t>
      </w:r>
    </w:p>
    <w:p>
      <w:pPr>
        <w:pStyle w:val="ListBullet"/>
      </w:pPr>
      <w:r>
        <w:rPr>
          <w:rFonts w:ascii="Calibri" w:hAnsi="Calibri"/>
          <w:color w:val="17324D"/>
        </w:rPr>
        <w:t>ROLE_BLOCK</w:t>
      </w:r>
    </w:p>
    <w:p>
      <w:pPr>
        <w:pStyle w:val="ListBullet"/>
      </w:pPr>
      <w:r>
        <w:rPr>
          <w:rFonts w:ascii="Calibri" w:hAnsi="Calibri"/>
          <w:color w:val="17324D"/>
        </w:rPr>
        <w:t>SETTLEMENT_BLOCK</w:t>
      </w:r>
    </w:p>
    <w:p>
      <w:pPr>
        <w:pStyle w:val="ListBullet"/>
      </w:pPr>
      <w:r>
        <w:rPr>
          <w:rFonts w:ascii="Calibri" w:hAnsi="Calibri"/>
          <w:color w:val="17324D"/>
        </w:rPr>
        <w:t>PROVIDER_MISMATCH</w:t>
      </w:r>
    </w:p>
    <w:p>
      <w:pPr>
        <w:pStyle w:val="ListBullet"/>
      </w:pPr>
      <w:r>
        <w:rPr>
          <w:rFonts w:ascii="Calibri" w:hAnsi="Calibri"/>
          <w:color w:val="17324D"/>
        </w:rPr>
        <w:t>MODEL_DISAGREEMENT</w:t>
      </w:r>
    </w:p>
    <w:p>
      <w:pPr>
        <w:pStyle w:val="ListBullet"/>
      </w:pPr>
      <w:r>
        <w:rPr>
          <w:rFonts w:ascii="Calibri" w:hAnsi="Calibri"/>
          <w:color w:val="17324D"/>
        </w:rPr>
        <w:t>PRICE_EXPIRED</w:t>
      </w:r>
    </w:p>
    <w:p>
      <w:pPr>
        <w:pStyle w:val="ListBullet"/>
      </w:pPr>
      <w:r>
        <w:rPr>
          <w:rFonts w:ascii="Calibri" w:hAnsi="Calibri"/>
          <w:color w:val="17324D"/>
        </w:rPr>
        <w:t>MARKET_DEPTH_BLOCK</w:t>
      </w:r>
    </w:p>
    <w:p>
      <w:pPr>
        <w:pStyle w:val="ListBullet"/>
      </w:pPr>
      <w:r>
        <w:rPr>
          <w:rFonts w:ascii="Calibri" w:hAnsi="Calibri"/>
          <w:color w:val="17324D"/>
        </w:rPr>
        <w:t>DATA_BLOCK</w:t>
      </w:r>
    </w:p>
    <w:p>
      <w:pPr>
        <w:pStyle w:val="ListBullet"/>
      </w:pPr>
      <w:r>
        <w:rPr>
          <w:rFonts w:ascii="Calibri" w:hAnsi="Calibri"/>
          <w:color w:val="17324D"/>
        </w:rPr>
        <w:t>PROBABILITY_BLOCK</w:t>
      </w:r>
    </w:p>
    <w:p>
      <w:pPr>
        <w:pStyle w:val="ListBullet"/>
      </w:pPr>
      <w:r>
        <w:rPr>
          <w:rFonts w:ascii="Calibri" w:hAnsi="Calibri"/>
          <w:color w:val="17324D"/>
        </w:rPr>
        <w:t>CONFIDENCE_BLOCK</w:t>
      </w:r>
    </w:p>
    <w:p>
      <w:pPr>
        <w:pStyle w:val="ListBullet"/>
      </w:pPr>
      <w:r>
        <w:rPr>
          <w:rFonts w:ascii="Calibri" w:hAnsi="Calibri"/>
          <w:color w:val="17324D"/>
        </w:rPr>
        <w:t>EDGE_BLOCK</w:t>
      </w:r>
    </w:p>
    <w:p>
      <w:pPr>
        <w:pStyle w:val="ListBullet"/>
      </w:pPr>
      <w:r>
        <w:rPr>
          <w:rFonts w:ascii="Calibri" w:hAnsi="Calibri"/>
          <w:color w:val="17324D"/>
        </w:rPr>
        <w:t>STRESS_BLOCK</w:t>
      </w:r>
    </w:p>
    <w:p>
      <w:pPr>
        <w:pStyle w:val="ListBullet"/>
      </w:pPr>
      <w:r>
        <w:rPr>
          <w:rFonts w:ascii="Calibri" w:hAnsi="Calibri"/>
          <w:color w:val="17324D"/>
        </w:rPr>
        <w:t>RUNNER_UP_BLOCK</w:t>
      </w:r>
    </w:p>
    <w:p>
      <w:pPr>
        <w:pStyle w:val="ListBullet"/>
      </w:pPr>
      <w:r>
        <w:rPr>
          <w:rFonts w:ascii="Calibri" w:hAnsi="Calibri"/>
          <w:color w:val="17324D"/>
        </w:rPr>
        <w:t>ODDS_RANGE_BLOCK</w:t>
      </w:r>
    </w:p>
    <w:p>
      <w:pPr>
        <w:pStyle w:val="ListBullet"/>
      </w:pPr>
      <w:r>
        <w:rPr>
          <w:rFonts w:ascii="Calibri" w:hAnsi="Calibri"/>
          <w:color w:val="17324D"/>
        </w:rPr>
        <w:t>OPPOSITE_PRICE_MISSING</w:t>
      </w:r>
    </w:p>
    <w:p>
      <w:pPr>
        <w:pStyle w:val="ListBullet"/>
      </w:pPr>
      <w:r>
        <w:rPr>
          <w:rFonts w:ascii="Calibri" w:hAnsi="Calibri"/>
          <w:color w:val="17324D"/>
        </w:rPr>
        <w:t>Store previous and new values for every changed field.</w:t>
      </w:r>
    </w:p>
    <w:p>
      <w:pPr>
        <w:pStyle w:val="ListBullet"/>
      </w:pPr>
      <w:r>
        <w:rPr>
          <w:rFonts w:ascii="Calibri" w:hAnsi="Calibri"/>
          <w:color w:val="17324D"/>
        </w:rPr>
        <w:t>Store event time, process, Snapshot ID, criteria version, and model version.</w:t>
      </w:r>
    </w:p>
    <w:p>
      <w:pPr>
        <w:pStyle w:val="ListBullet"/>
      </w:pPr>
      <w:r>
        <w:rPr>
          <w:rFonts w:ascii="Calibri" w:hAnsi="Calibri"/>
          <w:color w:val="17324D"/>
        </w:rPr>
        <w:t>Do not overwrite a prior Official record; append a status transition.</w:t>
      </w:r>
    </w:p>
    <w:p>
      <w:pPr>
        <w:pStyle w:val="ListBullet"/>
      </w:pPr>
      <w:r>
        <w:rPr>
          <w:rFonts w:ascii="Calibri" w:hAnsi="Calibri"/>
          <w:color w:val="17324D"/>
        </w:rPr>
        <w:t>Every changed selection must trace to changed data, price, status, or a version update.</w:t>
      </w:r>
    </w:p>
    <w:p>
      <w:pPr>
        <w:pStyle w:val="Heading1"/>
        <w:keepNext/>
      </w:pPr>
      <w:r>
        <w:t>27. Final System Instruction</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shd w:fill="E9FAFB"/>
            <w:tcBorders>
              <w:top w:val="single" w:sz="8" w:color="00BFCB"/>
              <w:left w:val="single" w:sz="8" w:color="00BFCB"/>
              <w:bottom w:val="single" w:sz="8" w:color="00BFCB"/>
              <w:right w:val="single" w:sz="8" w:color="00BFCB"/>
              <w:insideH w:val="single" w:sz="8" w:color="00BFCB"/>
              <w:insideV w:val="single" w:sz="8" w:color="00BFCB"/>
            </w:tcBorders>
          </w:tcPr>
          <w:p>
            <w:pPr>
              <w:spacing w:after="0"/>
            </w:pPr>
            <w:r>
              <w:rPr>
                <w:rFonts w:ascii="Calibri" w:hAnsi="Calibri"/>
                <w:b/>
                <w:color w:val="071A2B"/>
                <w:sz w:val="21"/>
              </w:rPr>
              <w:t xml:space="preserve">System directive: </w:t>
            </w:r>
            <w:r>
              <w:rPr>
                <w:rFonts w:ascii="Calibri" w:hAnsi="Calibri"/>
                <w:color w:val="17324D"/>
                <w:sz w:val="21"/>
              </w:rPr>
              <w:t>Select the single most reliable SOCCER player prop across the complete slate only when it passes every probability, confidence, edge, market, data, role/workload, stress, and separation requirement. Do not select the largest edge automatically. Do not select prohibited or low-frequency markets. Do not force a play. Identical registered inputs and versions must return the same result.</w:t>
            </w:r>
          </w:p>
        </w:tc>
      </w:tr>
    </w:tbl>
    <w:p>
      <w:pPr>
        <w:spacing w:after="0"/>
      </w:pP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788A"/>
        <w:sz w:val="17"/>
      </w:rPr>
      <w:t xml:space="preserve">HAXIOM EDGE  |  INTERNAL SYSTEM SPECIFICATION  |  PAGE </w:t>
    </w:r>
    <w:r>
      <w:rPr>
        <w:rFonts w:ascii="Calibri" w:hAnsi="Calibri"/>
        <w:color w:val="66788A"/>
        <w:sz w:val="17"/>
      </w:rPr>
      <w:fldChar w:fldCharType="begin"/>
      <w:instrText xml:space="preserve">PAGE</w:instrText>
      <w:fldChar w:fldCharType="separate"/>
      <w:t>1</w:t>
      <w:fldChar w:fldCharType="end"/>
    </w:r>
    <w:r>
      <w:rPr>
        <w:rFonts w:ascii="Calibri" w:hAnsi="Calibri"/>
        <w:color w:val="66788A"/>
        <w:sz w:val="17"/>
      </w:rPr>
      <w:t xml:space="preserve"> OF </w:t>
    </w:r>
    <w:r>
      <w:rPr>
        <w:rFonts w:ascii="Calibri" w:hAnsi="Calibri"/>
        <w:color w:val="66788A"/>
        <w:sz w:val="17"/>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40"/>
    </w:pPr>
    <w:r>
      <w:rPr>
        <w:rFonts w:ascii="Calibri" w:hAnsi="Calibri"/>
        <w:b/>
        <w:color w:val="66788A"/>
        <w:sz w:val="17"/>
      </w:rPr>
      <w:t>HAXIOM EDGE  |  SOCCER PROP OF THE DAY</w:t>
    </w:r>
    <w:r>
      <w:rPr>
        <w:rFonts w:ascii="Calibri" w:hAnsi="Calibri"/>
        <w:b/>
        <w:color w:val="00BFCB"/>
        <w:sz w:val="17"/>
      </w:rPr>
      <w:tab/>
      <w:t>PROTOCOL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7324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071A2B"/>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46BFD"/>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732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color w:val="17324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color w:val="17324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HAXIOM EDGE - SOCCER Prop of the Day Selection Protocol</dc:title>
  <dc:subject>Deterministic player-prop qualification, ranking, and release standard</dc:subject>
  <dc:creator>HAXIOM EDGE</dc:creator>
  <cp:keywords>HAXIOM EDGE, SOCCER, player props, selection protocol</cp:keywords>
  <dc:description>generated by python-docx</dc:description>
  <cp:lastModifiedBy/>
  <cp:revision>1</cp:revision>
  <dcterms:created xsi:type="dcterms:W3CDTF">2013-12-23T23:15:00Z</dcterms:created>
  <dcterms:modified xsi:type="dcterms:W3CDTF">2013-12-23T23:15:00Z</dcterms:modified>
  <cp:category/>
</cp:coreProperties>
</file>