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eration Serif" w:cs="Liberation Serif" w:eastAsia="Liberation Serif" w:hAnsi="Liberation Serif"/>
          <w:b w:val="1"/>
          <w:color w:val="ff0000"/>
          <w:sz w:val="24"/>
          <w:szCs w:val="24"/>
        </w:rPr>
      </w:pPr>
      <w:r w:rsidDel="00000000" w:rsidR="00000000" w:rsidRPr="00000000">
        <w:rPr>
          <w:rFonts w:ascii="Liberation Serif" w:cs="Liberation Serif" w:eastAsia="Liberation Serif" w:hAnsi="Liberation Serif"/>
          <w:b w:val="1"/>
          <w:color w:val="ff0000"/>
          <w:sz w:val="24"/>
          <w:szCs w:val="24"/>
          <w:rtl w:val="0"/>
        </w:rPr>
        <w:t xml:space="preserve">Video relacionado:  Ninguno hasta el momento. Contenido: Docker-compose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Ejercicio de ETL con exchange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Eres un Data Engineer en una empresa financiera que se especializa en el análisis de datos económicos y de divisas. Tu equipo necesita tener acceso diario a datos actualizados de tasas de cambio de divisas para llevar a cabo análisis y tomar decisiones comerciales informadas. Estos datos provienen de una </w:t>
      </w:r>
      <w:hyperlink r:id="rId6">
        <w:r w:rsidDel="00000000" w:rsidR="00000000" w:rsidRPr="00000000">
          <w:rPr>
            <w:color w:val="1155cc"/>
            <w:u w:val="single"/>
            <w:rtl w:val="0"/>
          </w:rPr>
          <w:t xml:space="preserve">AP</w:t>
        </w:r>
      </w:hyperlink>
      <w:r w:rsidDel="00000000" w:rsidR="00000000" w:rsidRPr="00000000">
        <w:rPr>
          <w:rtl w:val="0"/>
        </w:rPr>
        <w:t xml:space="preserve">I pública que proporciona información sobre tasas de cambio de diferentes países.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Para asegurar que los datos de tasas de cambio estén siempre actualizados y disponibles para el análisis, has decidido crear un flujo de trabajo automatizado utilizando Apache Airflow, una plataforma de gestión de tareas y programación de trabajos.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El objetivo principal del flujo de trabajo (DAG) es extraer los datos de tasas de cambio de divisas de los últimos tres meses desde la API pública, calcular la tasa de cambio promedio para cada grupo de países (definido por la primera letra del nombre del país), y almacenar los resultados en un archivo CSV para el análisis posterior.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Solución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Una solución propuesta la puedes encontrar </w:t>
      </w:r>
      <w:hyperlink r:id="rId7">
        <w:r w:rsidDel="00000000" w:rsidR="00000000" w:rsidRPr="00000000">
          <w:rPr>
            <w:color w:val="1155cc"/>
            <w:u w:val="single"/>
            <w:rtl w:val="0"/>
          </w:rPr>
          <w:t xml:space="preserve">aqui</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fiscaldata.treasury.gov/services/api/fiscal_service/v1/accounting/od/rates_of_exchange" TargetMode="External"/><Relationship Id="rId7" Type="http://schemas.openxmlformats.org/officeDocument/2006/relationships/hyperlink" Target="https://drive.google.com/file/d/1980cg5xjAA4rUTPnMs-glfbkbpAYu6G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