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0F62FE"/>
          <w:sz w:val="18"/>
        </w:rPr>
        <w:t>DEALER GROWTH HACKERS</w:t>
      </w:r>
    </w:p>
    <w:p>
      <w:pPr>
        <w:pStyle w:val="Title"/>
        <w:spacing w:after="120"/>
      </w:pPr>
      <w:r>
        <w:t>Dealer AI Shopping Readiness Audit</w:t>
      </w:r>
    </w:p>
    <w:p>
      <w:pPr>
        <w:spacing w:after="300"/>
      </w:pPr>
      <w:r>
        <w:rPr>
          <w:rFonts w:ascii="Arial" w:hAnsi="Arial"/>
          <w:b w:val="0"/>
          <w:color w:val="5F6368"/>
          <w:sz w:val="26"/>
        </w:rPr>
        <w:t>Website additions required to launch the audit as a search and lead-generation offer</w:t>
      </w:r>
    </w:p>
    <w:p>
      <w:pPr>
        <w:pStyle w:val="Heading1"/>
        <w:spacing w:before="240" w:after="100"/>
        <w:keepNext/>
      </w:pPr>
      <w:r>
        <w:t>Recommendation</w:t>
      </w:r>
    </w:p>
    <w:p>
      <w:r>
        <w:rPr>
          <w:rFonts w:ascii="Arial" w:hAnsi="Arial"/>
          <w:b/>
          <w:color w:val="111111"/>
          <w:sz w:val="22"/>
        </w:rPr>
        <w:t xml:space="preserve">Add one dedicated audit landing page, one supporting AI car-buying content hub, and a short conversion workflow. </w:t>
      </w:r>
      <w:r>
        <w:rPr>
          <w:rFonts w:ascii="Arial" w:hAnsi="Arial"/>
          <w:b w:val="0"/>
          <w:color w:val="111111"/>
          <w:sz w:val="22"/>
        </w:rPr>
        <w:t>The landing page should explain how AI shopping assistants interpret a dealership's inventory, pricing, policies, reputation, and website. It should generate qualified audit requests while reinforcing Dealer Growth Hackers' existing promise that one team owns paid media, SEO, site, and conversion.</w:t>
      </w:r>
    </w:p>
    <w:p>
      <w:pPr>
        <w:pStyle w:val="Heading1"/>
        <w:spacing w:before="240" w:after="100"/>
        <w:keepNext/>
      </w:pPr>
      <w:r>
        <w:t>Search demand supporting the offer</w:t>
      </w:r>
    </w:p>
    <w:p>
      <w:pPr>
        <w:spacing w:after="140"/>
      </w:pPr>
      <w:r>
        <w:t>The AnswerThePublic export contains 38 unique queries. Four have reported monthly volume. The root phrase has the highest commercial signal in the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2"/>
        <w:gridCol w:w="1944"/>
        <w:gridCol w:w="1656"/>
      </w:tblGrid>
      <w:tr>
        <w:trPr>
          <w:tblHeader w:val="true"/>
        </w:trPr>
        <w:tc>
          <w:tcPr>
            <w:tcW w:type="dxa" w:w="6192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Search query</w:t>
            </w:r>
          </w:p>
        </w:tc>
        <w:tc>
          <w:tcPr>
            <w:tcW w:type="dxa" w:w="194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Reported volume</w:t>
            </w:r>
          </w:p>
        </w:tc>
        <w:tc>
          <w:tcPr>
            <w:tcW w:type="dxa" w:w="1656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CPC</w:t>
            </w:r>
          </w:p>
        </w:tc>
      </w:tr>
      <w:tr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ai car buying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50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$12.36</w:t>
            </w:r>
          </w:p>
        </w:tc>
      </w:tr>
      <w:tr>
        <w:tc>
          <w:tcPr>
            <w:tcW w:type="dxa" w:w="619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ai car buying app</w:t>
            </w:r>
          </w:p>
        </w:tc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30</w:t>
            </w:r>
          </w:p>
        </w:tc>
        <w:tc>
          <w:tcPr>
            <w:tcW w:type="dxa" w:w="165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$2.94</w:t>
            </w:r>
          </w:p>
        </w:tc>
      </w:tr>
      <w:tr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ai car buying assistant</w:t>
            </w:r>
          </w:p>
        </w:tc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20</w:t>
            </w:r>
          </w:p>
        </w:tc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$4.30</w:t>
            </w:r>
          </w:p>
        </w:tc>
      </w:tr>
      <w:tr>
        <w:tc>
          <w:tcPr>
            <w:tcW w:type="dxa" w:w="6192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ai for car buying</w:t>
            </w:r>
          </w:p>
        </w:tc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10</w:t>
            </w:r>
          </w:p>
        </w:tc>
        <w:tc>
          <w:tcPr>
            <w:tcW w:type="dxa" w:w="165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8"/>
              </w:rPr>
              <w:t>$3.83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rFonts w:ascii="Arial" w:hAnsi="Arial"/>
          <w:b/>
          <w:color w:val="111111"/>
          <w:sz w:val="19"/>
        </w:rPr>
        <w:t xml:space="preserve">Interpretation  </w:t>
      </w:r>
      <w:r>
        <w:rPr>
          <w:rFonts w:ascii="Arial" w:hAnsi="Arial"/>
          <w:b w:val="0"/>
          <w:color w:val="111111"/>
          <w:sz w:val="19"/>
        </w:rPr>
        <w:t>Demand is early and concentrated. Build one strong offer and one supporting topic cluster rather than several overlapping products.</w:t>
      </w:r>
    </w:p>
    <w:p>
      <w:pPr>
        <w:pStyle w:val="Heading1"/>
        <w:spacing w:before="240" w:after="100"/>
        <w:keepNext/>
      </w:pPr>
      <w:r>
        <w:t>Pages to add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01  Primary audit page  </w:t>
      </w:r>
      <w:r>
        <w:rPr>
          <w:rFonts w:ascii="Arial" w:hAnsi="Arial"/>
          <w:b w:val="0"/>
          <w:color w:val="111111"/>
          <w:sz w:val="20"/>
        </w:rPr>
        <w:t>/dealer-ai-shopping-readiness-audit/ converts search and referral traffic into audit requests.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02  AI car-buying hub  </w:t>
      </w:r>
      <w:r>
        <w:rPr>
          <w:rFonts w:ascii="Arial" w:hAnsi="Arial"/>
          <w:b w:val="0"/>
          <w:color w:val="111111"/>
          <w:sz w:val="20"/>
        </w:rPr>
        <w:t>/ai-car-buying/ explains the shift in buyer behavior and links to the audit.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03  Supporting articles  </w:t>
      </w:r>
      <w:r>
        <w:rPr>
          <w:rFonts w:ascii="Arial" w:hAnsi="Arial"/>
          <w:b w:val="0"/>
          <w:color w:val="111111"/>
          <w:sz w:val="20"/>
        </w:rPr>
        <w:t>Publish focused pages for AI car-buying assistants, prompts, inventory interpretation, and dealership readiness.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04  Marketplace connection  </w:t>
      </w:r>
      <w:r>
        <w:rPr>
          <w:rFonts w:ascii="Arial" w:hAnsi="Arial"/>
          <w:b w:val="0"/>
          <w:color w:val="111111"/>
          <w:sz w:val="20"/>
        </w:rPr>
        <w:t>Link the future Dealer AI Shopping Readiness Audit plugin from dealeraiplugins.com after the plugin is built and published.</w:t>
      </w:r>
    </w:p>
    <w:p>
      <w:r>
        <w:br w:type="page"/>
      </w:r>
    </w:p>
    <w:p>
      <w:pPr>
        <w:pStyle w:val="Heading1"/>
        <w:spacing w:before="240" w:after="100"/>
        <w:keepNext/>
      </w:pPr>
      <w:r>
        <w:t>Primary audit landing page</w:t>
      </w:r>
    </w:p>
    <w:p>
      <w:r>
        <w:rPr>
          <w:rFonts w:ascii="Arial" w:hAnsi="Arial"/>
          <w:b/>
          <w:color w:val="111111"/>
          <w:sz w:val="21"/>
        </w:rPr>
        <w:t xml:space="preserve">Recommended URL  </w:t>
      </w:r>
      <w:r>
        <w:rPr>
          <w:rFonts w:ascii="Arial" w:hAnsi="Arial"/>
          <w:b w:val="0"/>
          <w:color w:val="0F62FE"/>
          <w:sz w:val="21"/>
        </w:rPr>
        <w:t>https://dealergrowthhackers.com/dealer-ai-shopping-readiness-audit/</w:t>
      </w:r>
    </w:p>
    <w:p>
      <w:pPr>
        <w:pStyle w:val="Heading2"/>
        <w:spacing w:before="160" w:after="100"/>
        <w:keepNext/>
      </w:pPr>
      <w:r>
        <w:t>Search metadata and hero 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rPr>
          <w:tblHeader w:val="true"/>
        </w:trPr>
        <w:tc>
          <w:tcPr>
            <w:tcW w:type="dxa" w:w="194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848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Recommended copy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SEO title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Dealer AI Shopping Readiness Audit | Dealer Growth Hackers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Meta description</w:t>
            </w:r>
          </w:p>
        </w:tc>
        <w:tc>
          <w:tcPr>
            <w:tcW w:type="dxa" w:w="78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Find out whether AI car-buying assistants can understand your inventory, pricing, policies, reputation, and dealership website.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H1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Can AI car-buying assistants understand and recommend your inventory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Hero text</w:t>
            </w:r>
          </w:p>
        </w:tc>
        <w:tc>
          <w:tcPr>
            <w:tcW w:type="dxa" w:w="78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We test what AI shopping assistants can find, understand, and explain about your dealership, then show you which website and data gaps need attention.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Primary CTA</w:t>
            </w:r>
          </w:p>
        </w:tc>
        <w:tc>
          <w:tcPr>
            <w:tcW w:type="dxa" w:w="78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Request the audit</w:t>
            </w:r>
          </w:p>
        </w:tc>
      </w:tr>
      <w:tr>
        <w:tc>
          <w:tcPr>
            <w:tcW w:type="dxa" w:w="19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Secondary CTA</w:t>
            </w:r>
          </w:p>
        </w:tc>
        <w:tc>
          <w:tcPr>
            <w:tcW w:type="dxa" w:w="7848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See what the audit covers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t>Required page sections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01  Buyer behavior  </w:t>
      </w:r>
      <w:r>
        <w:rPr>
          <w:rFonts w:ascii="Arial" w:hAnsi="Arial"/>
          <w:b w:val="0"/>
          <w:color w:val="111111"/>
          <w:sz w:val="20"/>
        </w:rPr>
        <w:t>Explain that shoppers increasingly use ChatGPT and other AI assistants to compare vehicles, ownership costs, dealerships, policies, and offers.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02  Why dealers disappear  </w:t>
      </w:r>
      <w:r>
        <w:rPr>
          <w:rFonts w:ascii="Arial" w:hAnsi="Arial"/>
          <w:b w:val="0"/>
          <w:color w:val="111111"/>
          <w:sz w:val="20"/>
        </w:rPr>
        <w:t>Show the practical causes: thin VDP data, inconsistent pricing, blocked crawlers, unclear policies, weak entity signals, and incomplete structured data.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03  What the audit checks  </w:t>
      </w:r>
      <w:r>
        <w:rPr>
          <w:rFonts w:ascii="Arial" w:hAnsi="Arial"/>
          <w:b w:val="0"/>
          <w:color w:val="111111"/>
          <w:sz w:val="20"/>
        </w:rPr>
        <w:t>Present the eight audit categories and the evidence reviewed in each category.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04  What the dealer receives  </w:t>
      </w:r>
      <w:r>
        <w:rPr>
          <w:rFonts w:ascii="Arial" w:hAnsi="Arial"/>
          <w:b w:val="0"/>
          <w:color w:val="111111"/>
          <w:sz w:val="20"/>
        </w:rPr>
        <w:t>List the readiness score, evidence appendix, prioritized fixes, sample AI responses, and 30-day action plan.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05  How it works  </w:t>
      </w:r>
      <w:r>
        <w:rPr>
          <w:rFonts w:ascii="Arial" w:hAnsi="Arial"/>
          <w:b w:val="0"/>
          <w:color w:val="111111"/>
          <w:sz w:val="20"/>
        </w:rPr>
        <w:t>Request, evidence collection, testing, findings review, and implementation planning.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06  Who should use it  </w:t>
      </w:r>
      <w:r>
        <w:rPr>
          <w:rFonts w:ascii="Arial" w:hAnsi="Arial"/>
          <w:b w:val="0"/>
          <w:color w:val="111111"/>
          <w:sz w:val="20"/>
        </w:rPr>
        <w:t>Dealer principals, general managers, marketing leaders, dealer groups, and agencies responsible for website performance.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07  Proof and methodology  </w:t>
      </w:r>
      <w:r>
        <w:rPr>
          <w:rFonts w:ascii="Arial" w:hAnsi="Arial"/>
          <w:b w:val="0"/>
          <w:color w:val="111111"/>
          <w:sz w:val="20"/>
        </w:rPr>
        <w:t>Explain the test prompts, sources, date of testing, limitations, and the difference between observed results and recommendations.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08  Conversion form  </w:t>
      </w:r>
      <w:r>
        <w:rPr>
          <w:rFonts w:ascii="Arial" w:hAnsi="Arial"/>
          <w:b w:val="0"/>
          <w:color w:val="111111"/>
          <w:sz w:val="20"/>
        </w:rPr>
        <w:t>Place a short form near the hero and repeat it after the deliverables section.</w:t>
      </w:r>
    </w:p>
    <w:p>
      <w:pPr>
        <w:pStyle w:val="Heading2"/>
        <w:spacing w:before="160" w:after="100"/>
        <w:keepNext/>
      </w:pPr>
      <w:r>
        <w:t>Lead form fields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Dealership or dealer group name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Website URL and primary market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New, used, or both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Website platform or provider, if known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Name, role, business email, and phone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Consent checkbox and link to the privacy policy</w:t>
      </w:r>
    </w:p>
    <w:p>
      <w:r>
        <w:br w:type="page"/>
      </w:r>
    </w:p>
    <w:p>
      <w:pPr>
        <w:pStyle w:val="Heading1"/>
        <w:spacing w:before="240" w:after="100"/>
        <w:keepNext/>
      </w:pPr>
      <w:r>
        <w:t>Recommended audit framework</w:t>
      </w:r>
    </w:p>
    <w:p>
      <w:pPr>
        <w:spacing w:after="160"/>
      </w:pPr>
      <w:r>
        <w:t>Use a 100-point score only after the checks and evidence standards are finalized. The weights below provide a practical starting structure for the website and the future plugin.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936"/>
        <w:gridCol w:w="6480"/>
      </w:tblGrid>
      <w:tr>
        <w:trPr>
          <w:tblHeader w:val="true"/>
        </w:trPr>
        <w:tc>
          <w:tcPr>
            <w:tcW w:type="dxa" w:w="2376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Audit category</w:t>
            </w:r>
          </w:p>
        </w:tc>
        <w:tc>
          <w:tcPr>
            <w:tcW w:type="dxa" w:w="936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6480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Evidence reviewed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Crawl and access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robots.txt, sitemap, status codes, canonical URLs, important content in initial HTML, access for search and user-triggered AI fetchers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Inventory and VDP data</w:t>
            </w:r>
          </w:p>
        </w:tc>
        <w:tc>
          <w:tcPr>
            <w:tcW w:type="dxa" w:w="93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20</w:t>
            </w:r>
          </w:p>
        </w:tc>
        <w:tc>
          <w:tcPr>
            <w:tcW w:type="dxa" w:w="648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VIN, price, mileage, trim, availability, photos, descriptions, options, incentives, freshness, and consistent inventory feeds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Pricing and offer clarity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price conditions, fees, incentives, financing assumptions, trade-in language, expiration dates, and disclosure visibility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Structured data and entities</w:t>
            </w:r>
          </w:p>
        </w:tc>
        <w:tc>
          <w:tcPr>
            <w:tcW w:type="dxa" w:w="93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648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Vehicle, Product, Offer, AutoDealer or LocalBusiness, dealership identity, NAP consistency, and valid page relationships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Answerable dealership content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service, finance, returns, delivery, warranties, trade-ins, appointment policies, and direct answers to buyer questions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Local authority and reputation</w:t>
            </w:r>
          </w:p>
        </w:tc>
        <w:tc>
          <w:tcPr>
            <w:tcW w:type="dxa" w:w="93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  <w:tc>
          <w:tcPr>
            <w:tcW w:type="dxa" w:w="648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Google Business Profile, review patterns, third-party references, staff and location details, and consistent brand facts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AI answer testing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buyer-intent prompt set, accuracy, source attribution, omissions, contradictions, competitor comparisons, and dated evidence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Conversion and measurement</w:t>
            </w:r>
          </w:p>
        </w:tc>
        <w:tc>
          <w:tcPr>
            <w:tcW w:type="dxa" w:w="93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648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clear next actions, working forms and phone links, GA4 events, source attribution, and referral tracking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t>Dealer deliverables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Executive readiness score with section-level findings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Evidence appendix with tested URLs, prompts, dates, and observed AI responses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Critical, high, medium, and low-priority remediation list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Thirty-day implementation plan with owners and acceptance criteria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Measurement plan for organic search, AI referrals, form starts, submissions, and qualified opportunities</w:t>
      </w:r>
    </w:p>
    <w:p>
      <w:pPr>
        <w:pStyle w:val="Heading2"/>
        <w:spacing w:before="160" w:after="100"/>
        <w:keepNext/>
      </w:pPr>
      <w:r>
        <w:t>Methodology language required on the page</w:t>
      </w:r>
    </w:p>
    <w:p>
      <w:r>
        <w:t>State that AI answers vary by platform, location, session, and date. The audit reports observable gaps and recommended fixes; it does not guarantee rankings, citations, traffic, or sales. Do not claim that llms.txt, FAQPage markup, or any single schema type causes AI recommendations.</w:t>
      </w:r>
    </w:p>
    <w:p>
      <w:r>
        <w:br w:type="page"/>
      </w:r>
    </w:p>
    <w:p>
      <w:pPr>
        <w:pStyle w:val="Heading1"/>
        <w:spacing w:before="240" w:after="100"/>
        <w:keepNext/>
      </w:pPr>
      <w:r>
        <w:t>Supporting content and internal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384"/>
        <w:gridCol w:w="3384"/>
      </w:tblGrid>
      <w:tr>
        <w:trPr>
          <w:tblHeader w:val="true"/>
        </w:trPr>
        <w:tc>
          <w:tcPr>
            <w:tcW w:type="dxa" w:w="302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URL</w:t>
            </w:r>
          </w:p>
        </w:tc>
        <w:tc>
          <w:tcPr>
            <w:tcW w:type="dxa" w:w="338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Page title</w:t>
            </w:r>
          </w:p>
        </w:tc>
        <w:tc>
          <w:tcPr>
            <w:tcW w:type="dxa" w:w="338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/ai-car-buying/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AI Car Buying Guide for Dealerships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Pillar page targeting the root topic and explaining the operational implications for dealers.</w:t>
            </w:r>
          </w:p>
        </w:tc>
      </w:tr>
      <w:tr>
        <w:tc>
          <w:tcPr>
            <w:tcW w:type="dxa" w:w="30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/ai-car-buying-assistant/</w:t>
            </w:r>
          </w:p>
        </w:tc>
        <w:tc>
          <w:tcPr>
            <w:tcW w:type="dxa" w:w="33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How AI Car-Buying Assistants Evaluate Dealers</w:t>
            </w:r>
          </w:p>
        </w:tc>
        <w:tc>
          <w:tcPr>
            <w:tcW w:type="dxa" w:w="33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Explains the information assistants need and links to the audit.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/ai-car-buying-prompts/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AI Car-Buying Prompts and What They Reveal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Uses realistic buyer prompts to show gaps dealers should test.</w:t>
            </w:r>
          </w:p>
        </w:tc>
      </w:tr>
      <w:tr>
        <w:tc>
          <w:tcPr>
            <w:tcW w:type="dxa" w:w="30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/ai-car-buying-inventory-data/</w:t>
            </w:r>
          </w:p>
        </w:tc>
        <w:tc>
          <w:tcPr>
            <w:tcW w:type="dxa" w:w="33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Inventory Data AI Assistants Can Understand</w:t>
            </w:r>
          </w:p>
        </w:tc>
        <w:tc>
          <w:tcPr>
            <w:tcW w:type="dxa" w:w="33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Covers VDP fields, freshness, feeds, and structured data.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/dealer-ai-shopping-readiness-audit/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Dealer AI Shopping Readiness Audit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6"/>
              </w:rPr>
              <w:t>Primary conversion page and canonical explanation of the service.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color w:val="111111"/>
          <w:sz w:val="21"/>
        </w:rPr>
        <w:t xml:space="preserve">Internal links  </w:t>
      </w:r>
      <w:r>
        <w:rPr>
          <w:rFonts w:ascii="Arial" w:hAnsi="Arial"/>
          <w:b w:val="0"/>
          <w:color w:val="111111"/>
          <w:sz w:val="21"/>
        </w:rPr>
        <w:t>Link the audit from the homepage, Growth Consulting page, About page, relevant AI-search articles, and the site footer. Link every supporting article back to the audit page with descriptive anchor text.</w:t>
      </w:r>
    </w:p>
    <w:p>
      <w:pPr>
        <w:pStyle w:val="Heading1"/>
        <w:spacing w:before="240" w:after="100"/>
        <w:keepNext/>
      </w:pPr>
      <w:r>
        <w:t>Technical requirements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Prerender or server-render the audit and supporting pages. The current homepage source contains an empty root element and relies on client-side JavaScript for visible content.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Return a 200 status with the title, meta description, H1, body copy, canonical URL, and structured data in the initial HTML.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Add the pages to the XML sitemap and confirm robots.txt does not block them.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Use Organization, WebSite, WebPage or Service, and BreadcrumbList structured data where the visible page supports it.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Create one self-referencing canonical URL per page and redirect alternate slash, www, and parameter versions consistently.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Keep the lead form usable without layout shifts and label every field for accessibility.</w:t>
      </w:r>
    </w:p>
    <w:p>
      <w:pPr>
        <w:pStyle w:val="ListBullet"/>
        <w:spacing w:after="60"/>
        <w:ind w:left="331" w:hanging="202"/>
      </w:pPr>
      <w:r>
        <w:rPr>
          <w:rFonts w:ascii="Arial" w:hAnsi="Arial"/>
          <w:b w:val="0"/>
          <w:color w:val="111111"/>
          <w:sz w:val="19"/>
        </w:rPr>
        <w:t>Add Open Graph and social preview metadata with a branded audit image.</w:t>
      </w:r>
    </w:p>
    <w:p>
      <w:pPr>
        <w:pStyle w:val="Heading1"/>
        <w:spacing w:before="240" w:after="100"/>
        <w:keepNext/>
      </w:pPr>
      <w:r>
        <w:t>Measurement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</w:trPr>
        <w:tc>
          <w:tcPr>
            <w:tcW w:type="dxa" w:w="2376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Event or metric</w:t>
            </w:r>
          </w:p>
        </w:tc>
        <w:tc>
          <w:tcPr>
            <w:tcW w:type="dxa" w:w="7416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Audit CTA click</w:t>
            </w:r>
          </w:p>
        </w:tc>
        <w:tc>
          <w:tcPr>
            <w:tcW w:type="dxa" w:w="74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GA4 event with page path and CTA location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Form start</w:t>
            </w:r>
          </w:p>
        </w:tc>
        <w:tc>
          <w:tcPr>
            <w:tcW w:type="dxa" w:w="741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Fire after the first intentional field interaction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Form submit</w:t>
            </w:r>
          </w:p>
        </w:tc>
        <w:tc>
          <w:tcPr>
            <w:tcW w:type="dxa" w:w="74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Fire only after confirmed successful submission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Qualified opportunity</w:t>
            </w:r>
          </w:p>
        </w:tc>
        <w:tc>
          <w:tcPr>
            <w:tcW w:type="dxa" w:w="741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Import CRM stage or offline conversion with source preserved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Organic demand</w:t>
            </w:r>
          </w:p>
        </w:tc>
        <w:tc>
          <w:tcPr>
            <w:tcW w:type="dxa" w:w="74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Track impressions, clicks, average position, and landing page by query cluster in Search Console</w:t>
            </w:r>
          </w:p>
        </w:tc>
      </w:tr>
      <w:tr>
        <w:tc>
          <w:tcPr>
            <w:tcW w:type="dxa" w:w="237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AI referrals</w:t>
            </w:r>
          </w:p>
        </w:tc>
        <w:tc>
          <w:tcPr>
            <w:tcW w:type="dxa" w:w="741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Report known AI referrers separately and retain landing page and conversion outcome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40" w:after="100"/>
        <w:keepNext/>
      </w:pPr>
      <w:r>
        <w:t>Launch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984"/>
        <w:gridCol w:w="1224"/>
      </w:tblGrid>
      <w:tr>
        <w:trPr>
          <w:tblHeader w:val="true"/>
        </w:trPr>
        <w:tc>
          <w:tcPr>
            <w:tcW w:type="dxa" w:w="158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698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Acceptance criterion</w:t>
            </w:r>
          </w:p>
        </w:tc>
        <w:tc>
          <w:tcPr>
            <w:tcW w:type="dxa" w:w="1224"/>
            <w:shd w:fill="1717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Offer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Finalize scope, evidence standards, score weights, turnaround, and whether pricing appears publicly.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Leadership</w:t>
            </w:r>
          </w:p>
        </w:tc>
      </w:tr>
      <w:tr>
        <w:tc>
          <w:tcPr>
            <w:tcW w:type="dxa" w:w="15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Copy</w:t>
            </w:r>
          </w:p>
        </w:tc>
        <w:tc>
          <w:tcPr>
            <w:tcW w:type="dxa" w:w="69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Approve landing-page copy, methodology limits, deliverables, and CTA language.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Marketing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Design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Create responsive page modules and a branded social preview image.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Design</w:t>
            </w:r>
          </w:p>
        </w:tc>
      </w:tr>
      <w:tr>
        <w:tc>
          <w:tcPr>
            <w:tcW w:type="dxa" w:w="15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Development</w:t>
            </w:r>
          </w:p>
        </w:tc>
        <w:tc>
          <w:tcPr>
            <w:tcW w:type="dxa" w:w="69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Build prerendered routes, accessible form, structured data, redirects, and sitemap entries.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Web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Analytics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Configure GA4 events, CRM attribution, and Search Console reporting.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Analytics</w:t>
            </w:r>
          </w:p>
        </w:tc>
      </w:tr>
      <w:tr>
        <w:tc>
          <w:tcPr>
            <w:tcW w:type="dxa" w:w="15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Audit operations</w:t>
            </w:r>
          </w:p>
        </w:tc>
        <w:tc>
          <w:tcPr>
            <w:tcW w:type="dxa" w:w="69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Create the evidence template, prompt set, report template, and quality-review checklist.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Delivery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Plugin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Build and validate the Dealer AI Shopping Readiness Audit plugin, then link its public listing.</w:t>
            </w:r>
          </w:p>
        </w:tc>
        <w:tc>
          <w:tcPr>
            <w:tcW w:type="dxa" w:w="12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Product</w:t>
            </w:r>
          </w:p>
        </w:tc>
      </w:tr>
      <w:tr>
        <w:tc>
          <w:tcPr>
            <w:tcW w:type="dxa" w:w="15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QA</w:t>
            </w:r>
          </w:p>
        </w:tc>
        <w:tc>
          <w:tcPr>
            <w:tcW w:type="dxa" w:w="69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Test mobile, form delivery, initial HTML, metadata, schema, analytics, and privacy language.</w:t>
            </w:r>
          </w:p>
        </w:tc>
        <w:tc>
          <w:tcPr>
            <w:tcW w:type="dxa" w:w="122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  <w:sz w:val="17"/>
              </w:rPr>
              <w:t>Web and Marketing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t>Recommended launch order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01  Define the offer  </w:t>
      </w:r>
      <w:r>
        <w:rPr>
          <w:rFonts w:ascii="Arial" w:hAnsi="Arial"/>
          <w:b w:val="0"/>
          <w:color w:val="111111"/>
          <w:sz w:val="20"/>
        </w:rPr>
        <w:t>Finalize the audit scope and evidence standards before publishing sales copy.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02  Build the landing page  </w:t>
      </w:r>
      <w:r>
        <w:rPr>
          <w:rFonts w:ascii="Arial" w:hAnsi="Arial"/>
          <w:b w:val="0"/>
          <w:color w:val="111111"/>
          <w:sz w:val="20"/>
        </w:rPr>
        <w:t>Launch the prerendered audit page, form, analytics, and core internal links.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03  Publish the pillar page  </w:t>
      </w:r>
      <w:r>
        <w:rPr>
          <w:rFonts w:ascii="Arial" w:hAnsi="Arial"/>
          <w:b w:val="0"/>
          <w:color w:val="111111"/>
          <w:sz w:val="20"/>
        </w:rPr>
        <w:t>Add the AI car-buying guide and link it to the audit.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04  Release supporting content  </w:t>
      </w:r>
      <w:r>
        <w:rPr>
          <w:rFonts w:ascii="Arial" w:hAnsi="Arial"/>
          <w:b w:val="0"/>
          <w:color w:val="111111"/>
          <w:sz w:val="20"/>
        </w:rPr>
        <w:t>Publish one focused article at a time and measure qualified traffic rather than raw pageviews.</w:t>
      </w:r>
    </w:p>
    <w:p>
      <w:pPr>
        <w:spacing w:after="100"/>
        <w:ind w:left="461" w:hanging="461"/>
      </w:pPr>
      <w:r>
        <w:rPr>
          <w:rFonts w:ascii="Arial" w:hAnsi="Arial"/>
          <w:b/>
          <w:color w:val="0F62FE"/>
          <w:sz w:val="20"/>
        </w:rPr>
        <w:t xml:space="preserve">05  Publish the plugin  </w:t>
      </w:r>
      <w:r>
        <w:rPr>
          <w:rFonts w:ascii="Arial" w:hAnsi="Arial"/>
          <w:b w:val="0"/>
          <w:color w:val="111111"/>
          <w:sz w:val="20"/>
        </w:rPr>
        <w:t>Add the public ChatGPT and Codex directory listing after review and connect it to both sites.</w:t>
      </w:r>
    </w:p>
    <w:p>
      <w:pPr>
        <w:pStyle w:val="Heading1"/>
        <w:spacing w:before="240" w:after="100"/>
        <w:keepNext/>
      </w:pPr>
      <w:r>
        <w:t>Sources</w:t>
      </w:r>
    </w:p>
    <w:p>
      <w:pPr>
        <w:spacing w:after="60"/>
      </w:pPr>
      <w:r>
        <w:rPr>
          <w:rFonts w:ascii="Arial" w:hAnsi="Arial"/>
          <w:b/>
          <w:color w:val="111111"/>
          <w:sz w:val="18"/>
        </w:rPr>
        <w:t xml:space="preserve">Search-demand source  </w:t>
      </w:r>
      <w:r>
        <w:rPr>
          <w:rFonts w:ascii="Arial" w:hAnsi="Arial"/>
          <w:b w:val="0"/>
          <w:color w:val="111111"/>
          <w:sz w:val="18"/>
        </w:rPr>
        <w:t>AnswerThePublic export for “ai car buying,” United States, English, October 1, 2026.</w:t>
      </w:r>
    </w:p>
    <w:p>
      <w:pPr>
        <w:spacing w:after="60"/>
      </w:pPr>
      <w:r>
        <w:rPr>
          <w:rFonts w:ascii="Arial" w:hAnsi="Arial"/>
          <w:b/>
          <w:color w:val="111111"/>
          <w:sz w:val="18"/>
        </w:rPr>
        <w:t xml:space="preserve">Current website reviewed  </w:t>
      </w:r>
      <w:hyperlink r:id="rId10">
        <w:r>
          <w:rPr>
            <w:color w:val="0F62FE"/>
            <w:u w:val="single"/>
          </w:rPr>
          <w:t>dealergrowthhackers.com</w:t>
        </w:r>
      </w:hyperlink>
    </w:p>
    <w:p>
      <w:r>
        <w:rPr>
          <w:rFonts w:ascii="Arial" w:hAnsi="Arial"/>
          <w:b/>
          <w:color w:val="111111"/>
          <w:sz w:val="18"/>
        </w:rPr>
        <w:t xml:space="preserve">Plugin marketplace  </w:t>
      </w:r>
      <w:hyperlink r:id="rId11">
        <w:r>
          <w:rPr>
            <w:color w:val="0F62FE"/>
            <w:u w:val="single"/>
          </w:rPr>
          <w:t>dealeraiplugins.com</w:t>
        </w:r>
      </w:hyperlink>
    </w:p>
    <w:sectPr w:rsidR="00FC693F" w:rsidRPr="0006063C" w:rsidSect="00034616">
      <w:footerReference w:type="default" r:id="rId9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368"/>
        <w:sz w:val="16"/>
      </w:rPr>
      <w:t>Dealer Growth Hackers  |  Website implementation handout  |  October 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alergrowthhackers.com/" TargetMode="External"/><Relationship Id="rId11" Type="http://schemas.openxmlformats.org/officeDocument/2006/relationships/hyperlink" Target="https://dealeraiplugin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