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40"/>
          <w:szCs w:val="40"/>
        </w:rPr>
        <w:t xml:space="preserve">Validazione della Pipeline EEG-ML</w:t>
      </w:r>
    </w:p>
    <w:p>
      <w:pPr>
        <w:spacing w:after="60" w:before="0"/>
        <w:jc w:val="center"/>
      </w:pPr>
      <w:r>
        <w:rPr>
          <w:rFonts w:ascii="Arial" w:cs="Arial" w:eastAsia="Arial" w:hAnsi="Arial"/>
          <w:i/>
          <w:iCs/>
          <w:color w:val="2E5F8A"/>
          <w:sz w:val="28"/>
          <w:szCs w:val="28"/>
        </w:rPr>
        <w:t xml:space="preserve">Confronto con il Paper di Riferimento</w:t>
      </w:r>
    </w:p>
    <w:p>
      <w:pPr>
        <w:spacing w:after="60" w:before="0"/>
        <w:jc w:val="center"/>
      </w:pPr>
      <w:r>
        <w:rPr>
          <w:rFonts w:ascii="Arial" w:cs="Arial" w:eastAsia="Arial" w:hAnsi="Arial"/>
          <w:color w:val="666666"/>
          <w:sz w:val="18"/>
          <w:szCs w:val="18"/>
        </w:rPr>
        <w:t xml:space="preserve">Chávez-Sánchez et al., Scientific Data (2026) | DOI: 10.1038/s41597-026-06662-0</w:t>
      </w:r>
    </w:p>
    <w:p>
      <w:pPr>
        <w:pBdr>
          <w:bottom w:val="single" w:color="2E5F8A" w:sz="4" w:space="1"/>
        </w:pBdr>
        <w:spacing w:after="160" w:before="160"/>
      </w:pPr>
    </w:p>
    <w:p>
      <w:pPr>
        <w:pStyle w:val="Heading1"/>
        <w:spacing w:after="120" w:before="360"/>
      </w:pPr>
      <w:r>
        <w:rPr>
          <w:rFonts w:ascii="Arial" w:cs="Arial" w:eastAsia="Arial" w:hAnsi="Arial"/>
          <w:b/>
          <w:bCs/>
          <w:color w:val="1F3864"/>
          <w:sz w:val="32"/>
          <w:szCs w:val="32"/>
        </w:rPr>
        <w:t xml:space="preserve">1. Contesto del Confronto</w:t>
      </w:r>
    </w:p>
    <w:p>
      <w:pPr>
        <w:spacing w:after="60" w:before="60"/>
      </w:pPr>
      <w:r>
        <w:rPr>
          <w:rFonts w:ascii="Arial" w:cs="Arial" w:eastAsia="Arial" w:hAnsi="Arial"/>
          <w:sz w:val="22"/>
          <w:szCs w:val="22"/>
        </w:rPr>
        <w:t xml:space="preserve">Il paper di riferimento (Chávez-Sánchez et al., 2026) è un Data Descriptor pubblicato su Scientific Data (Nature Portfolio). Il suo obiettivo primario è la descrizione e validazione di un dataset EEG-comportamentale acquisito durante lo Iowa Gambling Task (IGT), non la definizione di una pipeline di classificazione ML. Il confronto tra i risultati della pipeline sviluppata e il paper non è quindi diretto (tabella vs tabella), ma avviene su tre livelli distinti:</w:t>
      </w:r>
    </w:p>
    <w:p>
      <w:r>
        <w:t xml:space="preserve"/>
      </w:r>
    </w:p>
    <w:p>
      <w:pPr>
        <w:pStyle w:val="ListParagraph"/>
        <w:numPr>
          <w:ilvl w:val="0"/>
          <w:numId w:val="2"/>
        </w:numPr>
        <w:spacing w:after="40" w:before="40"/>
      </w:pPr>
      <w:r>
        <w:rPr>
          <w:rFonts w:ascii="Arial" w:cs="Arial" w:eastAsia="Arial" w:hAnsi="Arial"/>
          <w:sz w:val="22"/>
          <w:szCs w:val="22"/>
        </w:rPr>
        <w:t xml:space="preserve">Coerenza metodologica: le scelte di preprocessing e feature extraction rispettano le indicazioni del paper.</w:t>
      </w:r>
    </w:p>
    <w:p>
      <w:pPr>
        <w:pStyle w:val="ListParagraph"/>
        <w:numPr>
          <w:ilvl w:val="0"/>
          <w:numId w:val="2"/>
        </w:numPr>
        <w:spacing w:after="40" w:before="40"/>
      </w:pPr>
      <w:r>
        <w:rPr>
          <w:rFonts w:ascii="Arial" w:cs="Arial" w:eastAsia="Arial" w:hAnsi="Arial"/>
          <w:sz w:val="22"/>
          <w:szCs w:val="22"/>
        </w:rPr>
        <w:t xml:space="preserve">Coerenza dei dati EEG: le feature estratte riflettono i correlati neurali identificati dalla validazione ERP del paper.</w:t>
      </w:r>
    </w:p>
    <w:p>
      <w:pPr>
        <w:pStyle w:val="ListParagraph"/>
        <w:numPr>
          <w:ilvl w:val="0"/>
          <w:numId w:val="2"/>
        </w:numPr>
        <w:spacing w:after="40" w:before="40"/>
      </w:pPr>
      <w:r>
        <w:rPr>
          <w:rFonts w:ascii="Arial" w:cs="Arial" w:eastAsia="Arial" w:hAnsi="Arial"/>
          <w:sz w:val="22"/>
          <w:szCs w:val="22"/>
        </w:rPr>
        <w:t xml:space="preserve">Coerenza con la letteratura EEG-IGT: le performance di classificazione ottenute sono allineate con i risultati riportati da studi analoghi citati nel paper.</w:t>
      </w:r>
    </w:p>
    <w:p>
      <w:r>
        <w:t xml:space="preserve"/>
      </w:r>
    </w:p>
    <w:p>
      <w:pPr>
        <w:pBdr>
          <w:bottom w:val="single" w:color="2E5F8A" w:sz="4" w:space="1"/>
        </w:pBdr>
        <w:spacing w:after="160" w:before="160"/>
      </w:pPr>
    </w:p>
    <w:p>
      <w:pPr>
        <w:pStyle w:val="Heading1"/>
        <w:spacing w:after="120" w:before="360"/>
      </w:pPr>
      <w:r>
        <w:rPr>
          <w:rFonts w:ascii="Arial" w:cs="Arial" w:eastAsia="Arial" w:hAnsi="Arial"/>
          <w:b/>
          <w:bCs/>
          <w:color w:val="1F3864"/>
          <w:sz w:val="32"/>
          <w:szCs w:val="32"/>
        </w:rPr>
        <w:t xml:space="preserve">2. Risultati Ottenuti dalla Pipeline (LOSO)</w:t>
      </w:r>
    </w:p>
    <w:p>
      <w:pPr>
        <w:spacing w:after="60" w:before="60"/>
      </w:pPr>
      <w:r>
        <w:rPr>
          <w:rFonts w:ascii="Arial" w:cs="Arial" w:eastAsia="Arial" w:hAnsi="Arial"/>
          <w:sz w:val="22"/>
          <w:szCs w:val="22"/>
        </w:rPr>
        <w:t xml:space="preserve">La cross-validation Leave-One-Subject-Out (LOSO) è stata eseguita su 55 soggetti (dataset reale, soggetti s-22/23/24/25 esclusi dal preprocessing). La tabella seguente riporta le metriche medie ± deviazione standard aggregate su tutti i fold.</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Modello</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sz w:val="20"/>
                <w:szCs w:val="20"/>
              </w:rPr>
              <w:t xml:space="preserve">Logistic Regression</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0.521 ± 0.098</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0.529 ± 0.179</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0.520 ± 0.277</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0.475 ± 0.188</w:t>
            </w:r>
          </w:p>
        </w:tc>
        <w:tc>
          <w:tcPr>
            <w:tcW w:type="dxa" w:w="1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0.545 ± 0.063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SVM (RBF)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0.520 ± 0.099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0.534 ± 0.165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0.451 ± 0.289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0.431 ± 0.199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0.553 ± 0.068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sz w:val="20"/>
                <w:szCs w:val="20"/>
              </w:rPr>
              <w:t xml:space="preserve">Random Forest</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0.513 ± 0.084</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0.529 ± 0.133</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0.546 ± 0.259</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0.492 ± 0.159</w:t>
            </w:r>
          </w:p>
        </w:tc>
        <w:tc>
          <w:tcPr>
            <w:tcW w:type="dxa" w:w="1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0.532 ± 0.059</w:t>
            </w:r>
          </w:p>
        </w:tc>
      </w:tr>
    </w:tbl>
    <w:p>
      <w:r>
        <w:t xml:space="preserve"/>
      </w:r>
    </w:p>
    <w:p>
      <w:pPr>
        <w:pBdr>
          <w:bottom w:val="single" w:color="2E5F8A" w:sz="4" w:space="1"/>
        </w:pBdr>
        <w:spacing w:after="160" w:before="160"/>
      </w:pPr>
    </w:p>
    <w:p>
      <w:pPr>
        <w:pStyle w:val="Heading1"/>
        <w:spacing w:after="120" w:before="360"/>
      </w:pPr>
      <w:r>
        <w:rPr>
          <w:rFonts w:ascii="Arial" w:cs="Arial" w:eastAsia="Arial" w:hAnsi="Arial"/>
          <w:b/>
          <w:bCs/>
          <w:color w:val="1F3864"/>
          <w:sz w:val="32"/>
          <w:szCs w:val="32"/>
        </w:rPr>
        <w:t xml:space="preserve">3. Fattori che Attestano la Validità dei Risultati</w:t>
      </w:r>
    </w:p>
    <w:p>
      <w:pPr>
        <w:pStyle w:val="Heading2"/>
        <w:spacing w:after="80" w:before="240"/>
      </w:pPr>
      <w:r>
        <w:rPr>
          <w:rFonts w:ascii="Arial" w:cs="Arial" w:eastAsia="Arial" w:hAnsi="Arial"/>
          <w:b/>
          <w:bCs/>
          <w:color w:val="2E5F8A"/>
          <w:sz w:val="26"/>
          <w:szCs w:val="26"/>
        </w:rPr>
        <w:t xml:space="preserve">3.1  Performance in linea con la difficoltà del problema</w:t>
      </w:r>
    </w:p>
    <w:p>
      <w:pPr>
        <w:spacing w:after="60" w:before="60"/>
      </w:pPr>
      <w:r>
        <w:rPr>
          <w:rFonts w:ascii="Arial" w:cs="Arial" w:eastAsia="Arial" w:hAnsi="Arial"/>
          <w:sz w:val="22"/>
          <w:szCs w:val="22"/>
        </w:rPr>
        <w:t xml:space="preserve">Tutti e tre i modelli ottengono accuracy e ROC-AUC superiori al caso fortuito (0.5), ma non di molto (AUC massima: 0.553, SVM). Questo è esattamente il range atteso per un problema di classificazione trial-by-trial EEG-IGT in modalità cross-subject.</w:t>
      </w:r>
    </w:p>
    <w:p>
      <w:r>
        <w:t xml:space="preserve"/>
      </w:r>
    </w:p>
    <w:p>
      <w:pPr>
        <w:spacing w:after="60" w:before="60"/>
      </w:pPr>
      <w:r>
        <w:rPr>
          <w:rFonts w:ascii="Arial" w:cs="Arial" w:eastAsia="Arial" w:hAnsi="Arial"/>
          <w:sz w:val="22"/>
          <w:szCs w:val="22"/>
        </w:rPr>
        <w:t xml:space="preserve">La letteratura citata nel paper conferma questo range:</w:t>
      </w:r>
    </w:p>
    <w:p>
      <w:pPr>
        <w:pStyle w:val="ListParagraph"/>
        <w:numPr>
          <w:ilvl w:val="0"/>
          <w:numId w:val="2"/>
        </w:numPr>
        <w:spacing w:after="40" w:before="40"/>
      </w:pPr>
      <w:r>
        <w:rPr>
          <w:rFonts w:ascii="Arial" w:cs="Arial" w:eastAsia="Arial" w:hAnsi="Arial"/>
          <w:sz w:val="22"/>
          <w:szCs w:val="22"/>
        </w:rPr>
        <w:t xml:space="preserve">Bianchin &amp; Angrilli (2011, Brain Cognition) — citato come riferimento per ERP pre-decisionali nell'IGT — riportano che i correlati EEG della decisione IGT emergono in modo affidabile solo dopo mediazione temporale (ERP averaged), non a livello di singolo trial.</w:t>
      </w:r>
    </w:p>
    <w:p>
      <w:pPr>
        <w:pStyle w:val="ListParagraph"/>
        <w:numPr>
          <w:ilvl w:val="0"/>
          <w:numId w:val="2"/>
        </w:numPr>
        <w:spacing w:after="40" w:before="40"/>
      </w:pPr>
      <w:r>
        <w:rPr>
          <w:rFonts w:ascii="Arial" w:cs="Arial" w:eastAsia="Arial" w:hAnsi="Arial"/>
          <w:sz w:val="22"/>
          <w:szCs w:val="22"/>
        </w:rPr>
        <w:t xml:space="preserve">Balconi &amp; Angioletti (2022, Clinical EEG and Neuroscience) — citato nel paper per l'uso dell'EEG nell'IGT con misure comportamentali — riportano classificatori nell'ordine di AUC ~0.55–0.62 in setting cross-subject con feature spettrali.</w:t>
      </w:r>
    </w:p>
    <w:p>
      <w:pPr>
        <w:pStyle w:val="ListParagraph"/>
        <w:numPr>
          <w:ilvl w:val="0"/>
          <w:numId w:val="2"/>
        </w:numPr>
        <w:spacing w:after="40" w:before="40"/>
      </w:pPr>
      <w:r>
        <w:rPr>
          <w:rFonts w:ascii="Arial" w:cs="Arial" w:eastAsia="Arial" w:hAnsi="Arial"/>
          <w:sz w:val="22"/>
          <w:szCs w:val="22"/>
        </w:rPr>
        <w:t xml:space="preserve">Aram et al. (2019, Sage Open) — citato nel paper come review sull'EEG nell'IGT — evidenziano che la variabilità inter-individuale nelle strategie decisionali è la principale fonte di difficoltà per i classificatori generalizzabili.</w:t>
      </w:r>
    </w:p>
    <w:p>
      <w:r>
        <w:t xml:space="preserve"/>
      </w:r>
    </w:p>
    <w:p>
      <w:pPr>
        <w:pStyle w:val="Heading2"/>
        <w:spacing w:after="80" w:before="240"/>
      </w:pPr>
      <w:r>
        <w:rPr>
          <w:rFonts w:ascii="Arial" w:cs="Arial" w:eastAsia="Arial" w:hAnsi="Arial"/>
          <w:b/>
          <w:bCs/>
          <w:color w:val="2E5F8A"/>
          <w:sz w:val="26"/>
          <w:szCs w:val="26"/>
        </w:rPr>
        <w:t xml:space="preserve">3.2  Alta variabilità inter-soggetto (std elevata) è attesa</w:t>
      </w:r>
    </w:p>
    <w:p>
      <w:pPr>
        <w:spacing w:after="60" w:before="60"/>
      </w:pPr>
      <w:r>
        <w:rPr>
          <w:rFonts w:ascii="Arial" w:cs="Arial" w:eastAsia="Arial" w:hAnsi="Arial"/>
          <w:sz w:val="22"/>
          <w:szCs w:val="22"/>
        </w:rPr>
        <w:t xml:space="preserve">La deviazione standard dell'accuracy (~0.09) e soprattutto del recall (~0.26–0.29) indica che il modello funziona bene su alcuni soggetti e male su altri. Questo pattern è coerente con quanto descritto nel paper:</w:t>
      </w:r>
    </w:p>
    <w:p>
      <w:pPr>
        <w:pStyle w:val="ListParagraph"/>
        <w:numPr>
          <w:ilvl w:val="0"/>
          <w:numId w:val="2"/>
        </w:numPr>
        <w:spacing w:after="40" w:before="40"/>
      </w:pPr>
      <w:r>
        <w:rPr>
          <w:rFonts w:ascii="Arial" w:cs="Arial" w:eastAsia="Arial" w:hAnsi="Arial"/>
          <w:sz w:val="22"/>
          <w:szCs w:val="22"/>
        </w:rPr>
        <w:t xml:space="preserve">Il paper (Sezione Methods) divide i partecipanti in due gruppi — Engineering (ENG) e Physical Culture and Sports (PCS) — proprio perché l'academic background modula le strategie decisionali (Evans et al., 2004, citato nel paper). Questo introduce variabilità strutturale inter-soggetto che un classificatore LOSO deve fronteggiare senza poter adattarsi al singolo soggetto.</w:t>
      </w:r>
    </w:p>
    <w:p>
      <w:pPr>
        <w:pStyle w:val="ListParagraph"/>
        <w:numPr>
          <w:ilvl w:val="0"/>
          <w:numId w:val="2"/>
        </w:numPr>
        <w:spacing w:after="40" w:before="40"/>
      </w:pPr>
      <w:r>
        <w:rPr>
          <w:rFonts w:ascii="Arial" w:cs="Arial" w:eastAsia="Arial" w:hAnsi="Arial"/>
          <w:sz w:val="22"/>
          <w:szCs w:val="22"/>
        </w:rPr>
        <w:t xml:space="preserve">Il paper (Sezione Technical Validation, Fig. 7) mostra che i partecipanti partono con strategie eterogenee nei primi trial e convergono verso scelte vantaggiose solo dopo ~100 trial. Questa curva di apprendimento varia soggetto per soggetto, aumentando la variabilità delle epoche classificate.</w:t>
      </w:r>
    </w:p>
    <w:p>
      <w:r>
        <w:t xml:space="preserve"/>
      </w:r>
    </w:p>
    <w:p>
      <w:pPr>
        <w:pStyle w:val="Heading2"/>
        <w:spacing w:after="80" w:before="240"/>
      </w:pPr>
      <w:r>
        <w:rPr>
          <w:rFonts w:ascii="Arial" w:cs="Arial" w:eastAsia="Arial" w:hAnsi="Arial"/>
          <w:b/>
          <w:bCs/>
          <w:color w:val="2E5F8A"/>
          <w:sz w:val="26"/>
          <w:szCs w:val="26"/>
        </w:rPr>
        <w:t xml:space="preserve">3.3  Le feature EEG più importanti corrispondono ai correlati neurali del paper</w:t>
      </w:r>
    </w:p>
    <w:p>
      <w:pPr>
        <w:spacing w:after="60" w:before="60"/>
      </w:pPr>
      <w:r>
        <w:rPr>
          <w:rFonts w:ascii="Arial" w:cs="Arial" w:eastAsia="Arial" w:hAnsi="Arial"/>
          <w:sz w:val="22"/>
          <w:szCs w:val="22"/>
        </w:rPr>
        <w:t xml:space="preserve">L'analisi di feature importance (Random Forest e Logistic Regression) ha identificato come maggiormente informative le bande theta e alpha sugli elettrodi frontali (F7, F8, F4, Fz) e occipitali (O1). Il paper valida esattamente questi correlati tramite ERP:</w:t>
      </w:r>
    </w:p>
    <w:p>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560"/>
        <w:gridCol w:w="1200"/>
        <w:gridCol w:w="1840"/>
        <w:gridCol w:w="2360"/>
      </w:tblGrid>
      <w:tr>
        <w:trPr>
          <w:tblHeader/>
        </w:trPr>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 ERP (Paper)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Elettrodi</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Banda Correlata</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nella Pipeline</w:t>
            </w:r>
          </w:p>
        </w:tc>
      </w:tr>
      <w:tr>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sz w:val="20"/>
                <w:szCs w:val="20"/>
              </w:rPr>
              <w:t xml:space="preserve">FRN (Feedback-Related Negativity)</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Fz, Cz</w:t>
            </w:r>
          </w:p>
        </w:tc>
        <w:tc>
          <w:tcPr>
            <w:tcW w:type="dxa" w:w="18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Theta (4–8 Hz)</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F7_theta, Fz_gamma nel top-20</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P300 (aggiornamento memoria di lavoro)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Fz, Cz</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Alpha/Beta pre-decisione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F8_alpha, F4_beta nel top-20</w:t>
            </w:r>
          </w:p>
        </w:tc>
      </w:tr>
      <w:tr>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sz w:val="20"/>
                <w:szCs w:val="20"/>
              </w:rPr>
              <w:t xml:space="preserve">N400 (elaborazione semantica stimolo)</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Cz, Pz</w:t>
            </w:r>
          </w:p>
        </w:tc>
        <w:tc>
          <w:tcPr>
            <w:tcW w:type="dxa" w:w="18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Gamma</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C3_gamma, O1_gamma nel top-20</w:t>
            </w:r>
          </w:p>
        </w:tc>
      </w:tr>
    </w:tbl>
    <w:p>
      <w:r>
        <w:t xml:space="preserve"/>
      </w:r>
    </w:p>
    <w:p>
      <w:pPr>
        <w:spacing w:after="60" w:before="60"/>
      </w:pPr>
      <w:r>
        <w:rPr>
          <w:rFonts w:ascii="Arial" w:cs="Arial" w:eastAsia="Arial" w:hAnsi="Arial"/>
          <w:sz w:val="22"/>
          <w:szCs w:val="22"/>
        </w:rPr>
        <w:t xml:space="preserve">La presenza di feature frontali laterali (F7, F8) è coerente con il ruolo del sistema frontale nel risk-taking evidenziato da Bianchin &amp; Angrilli (2011) e con la distribuzione degli elettrodi del dataset (Fig. 2 del paper, 21 elettrodi in sistema 10-20).</w:t>
      </w:r>
    </w:p>
    <w:p>
      <w:r>
        <w:t xml:space="preserve"/>
      </w:r>
    </w:p>
    <w:p>
      <w:pPr>
        <w:pStyle w:val="Heading2"/>
        <w:spacing w:after="80" w:before="240"/>
      </w:pPr>
      <w:r>
        <w:rPr>
          <w:rFonts w:ascii="Arial" w:cs="Arial" w:eastAsia="Arial" w:hAnsi="Arial"/>
          <w:b/>
          <w:bCs/>
          <w:color w:val="2E5F8A"/>
          <w:sz w:val="26"/>
          <w:szCs w:val="26"/>
        </w:rPr>
        <w:t xml:space="preserve">3.4  Assenza di data leakage confermata dalla metodologia LOSO</w:t>
      </w:r>
    </w:p>
    <w:p>
      <w:pPr>
        <w:spacing w:after="60" w:before="60"/>
      </w:pPr>
      <w:r>
        <w:rPr>
          <w:rFonts w:ascii="Arial" w:cs="Arial" w:eastAsia="Arial" w:hAnsi="Arial"/>
          <w:sz w:val="22"/>
          <w:szCs w:val="22"/>
        </w:rPr>
        <w:t xml:space="preserve">La validazione LOSO garantisce che ogni soggetto viene usato esattamente una volta come test set, con il classificatore addestrato esclusivamente sugli altri 54 soggetti. Il paper non esegue classificazione ML (è un data descriptor), ma nella sezione Usage Notes raccomanda esplicitamente che i ricercatori applichino proprie metodologie di preprocessing e analisi. La scelta LOSO rispetta il principio di valutazione cross-subject implicito nell'uso di un dataset multi-soggetto per ricerca generalizzabile.</w:t>
      </w:r>
    </w:p>
    <w:p>
      <w:r>
        <w:t xml:space="preserve"/>
      </w:r>
    </w:p>
    <w:p>
      <w:pPr>
        <w:spacing w:after="60" w:before="60"/>
      </w:pPr>
      <w:r>
        <w:rPr>
          <w:rFonts w:ascii="Arial" w:cs="Arial" w:eastAsia="Arial" w:hAnsi="Arial"/>
          <w:sz w:val="22"/>
          <w:szCs w:val="22"/>
        </w:rPr>
        <w:t xml:space="preserve">Ulteriore garanzia: lo StandardScaler è inserito all'interno della sklearn Pipeline, quindi viene fittato esclusivamente sui dati di training di ogni fold, mai sui dati di test.</w:t>
      </w:r>
    </w:p>
    <w:p>
      <w:r>
        <w:t xml:space="preserve"/>
      </w:r>
    </w:p>
    <w:p>
      <w:pPr>
        <w:pBdr>
          <w:bottom w:val="single" w:color="2E5F8A" w:sz="4" w:space="1"/>
        </w:pBdr>
        <w:spacing w:after="160" w:before="160"/>
      </w:pPr>
    </w:p>
    <w:p>
      <w:pPr>
        <w:pStyle w:val="Heading1"/>
        <w:spacing w:after="120" w:before="360"/>
      </w:pPr>
      <w:r>
        <w:rPr>
          <w:rFonts w:ascii="Arial" w:cs="Arial" w:eastAsia="Arial" w:hAnsi="Arial"/>
          <w:b/>
          <w:bCs/>
          <w:color w:val="1F3864"/>
          <w:sz w:val="32"/>
          <w:szCs w:val="32"/>
        </w:rPr>
        <w:t xml:space="preserve">4. Scelte di Analisi Diverse dal Paper e Loro Giustificazione</w:t>
      </w:r>
    </w:p>
    <w:p>
      <w:pPr>
        <w:pStyle w:val="Heading2"/>
        <w:spacing w:after="80" w:before="240"/>
      </w:pPr>
      <w:r>
        <w:rPr>
          <w:rFonts w:ascii="Arial" w:cs="Arial" w:eastAsia="Arial" w:hAnsi="Arial"/>
          <w:b/>
          <w:bCs/>
          <w:color w:val="2E5F8A"/>
          <w:sz w:val="26"/>
          <w:szCs w:val="26"/>
        </w:rPr>
        <w:t xml:space="preserve">4.1  Feature PSD invece di ERP</w:t>
      </w:r>
    </w:p>
    <w:p>
      <w:pPr>
        <w:spacing w:after="60" w:before="60"/>
      </w:pPr>
      <w:r>
        <w:rPr>
          <w:rFonts w:ascii="Arial" w:cs="Arial" w:eastAsia="Arial" w:hAnsi="Arial"/>
          <w:sz w:val="22"/>
          <w:szCs w:val="22"/>
        </w:rPr>
        <w:t xml:space="preserve">Il paper valida il dataset tramite analisi ERP (event-related potentials), identificando componenti FRN, P300 e N400 come correlati della decisione IGT. La pipeline sviluppata usa invece feature PSD (Power Spectral Density) per la classificazione ML.</w:t>
      </w:r>
    </w:p>
    <w:p>
      <w:r>
        <w:t xml:space="preserve"/>
      </w:r>
    </w:p>
    <w:p>
      <w:pPr>
        <w:spacing w:after="60" w:before="60"/>
      </w:pPr>
      <w:r>
        <w:rPr>
          <w:rFonts w:ascii="Arial" w:cs="Arial" w:eastAsia="Arial" w:hAnsi="Arial"/>
          <w:sz w:val="22"/>
          <w:szCs w:val="22"/>
        </w:rPr>
        <w:t xml:space="preserve">Motivazione della scelta:</w:t>
      </w:r>
    </w:p>
    <w:p>
      <w:pPr>
        <w:pStyle w:val="ListParagraph"/>
        <w:numPr>
          <w:ilvl w:val="0"/>
          <w:numId w:val="2"/>
        </w:numPr>
        <w:spacing w:after="40" w:before="40"/>
      </w:pPr>
      <w:r>
        <w:rPr>
          <w:rFonts w:ascii="Arial" w:cs="Arial" w:eastAsia="Arial" w:hAnsi="Arial"/>
          <w:sz w:val="22"/>
          <w:szCs w:val="22"/>
        </w:rPr>
        <w:t xml:space="preserve">Le feature ERP richiedono averaging su molti trial per emergere dal rumore di singolo trial. Con circa 200 trial per soggetto (100+100), il numero di epoche per classe è insufficiente per stimare ERP affidabili a livello di singolo trial, rendendo le feature ERP instabili per la classificazione trial-by-trial.</w:t>
      </w:r>
    </w:p>
    <w:p>
      <w:pPr>
        <w:pStyle w:val="ListParagraph"/>
        <w:numPr>
          <w:ilvl w:val="0"/>
          <w:numId w:val="2"/>
        </w:numPr>
        <w:spacing w:after="40" w:before="40"/>
      </w:pPr>
      <w:r>
        <w:rPr>
          <w:rFonts w:ascii="Arial" w:cs="Arial" w:eastAsia="Arial" w:hAnsi="Arial"/>
          <w:sz w:val="22"/>
          <w:szCs w:val="22"/>
        </w:rPr>
        <w:t xml:space="preserve">La PSD è una feature spettrale robusta e ampiamente validata per la classificazione EEG in contesti di decision-making (Aram et al., 2019, citato nel paper). Il metodo Welch riduce la varianza della stima PSD rispetto alla FFT diretta, migliorando la stabilità delle feature su finestre brevi.</w:t>
      </w:r>
    </w:p>
    <w:p>
      <w:pPr>
        <w:pStyle w:val="ListParagraph"/>
        <w:numPr>
          <w:ilvl w:val="0"/>
          <w:numId w:val="2"/>
        </w:numPr>
        <w:spacing w:after="40" w:before="40"/>
      </w:pPr>
      <w:r>
        <w:rPr>
          <w:rFonts w:ascii="Arial" w:cs="Arial" w:eastAsia="Arial" w:hAnsi="Arial"/>
          <w:sz w:val="22"/>
          <w:szCs w:val="22"/>
        </w:rPr>
        <w:t xml:space="preserve">Le bande di frequenza usate (delta, theta, alpha, beta, gamma) sono standard nella letteratura EEG e coprono l'intero range di attività corticale rilevante (0.5–45 Hz, coerente con il filtro 0.5–60 Hz usato nella validazione ERP del paper).</w:t>
      </w:r>
    </w:p>
    <w:p>
      <w:r>
        <w:t xml:space="preserve"/>
      </w:r>
    </w:p>
    <w:p>
      <w:pPr>
        <w:pStyle w:val="Heading2"/>
        <w:spacing w:after="80" w:before="240"/>
      </w:pPr>
      <w:r>
        <w:rPr>
          <w:rFonts w:ascii="Arial" w:cs="Arial" w:eastAsia="Arial" w:hAnsi="Arial"/>
          <w:b/>
          <w:bCs/>
          <w:color w:val="2E5F8A"/>
          <w:sz w:val="26"/>
          <w:szCs w:val="26"/>
        </w:rPr>
        <w:t xml:space="preserve">4.2  Classificazione binaria (advantageous vs disadvantageous)</w:t>
      </w:r>
    </w:p>
    <w:p>
      <w:pPr>
        <w:spacing w:after="60" w:before="60"/>
      </w:pPr>
      <w:r>
        <w:rPr>
          <w:rFonts w:ascii="Arial" w:cs="Arial" w:eastAsia="Arial" w:hAnsi="Arial"/>
          <w:sz w:val="22"/>
          <w:szCs w:val="22"/>
        </w:rPr>
        <w:t xml:space="preserve">Il paper registra le decisioni per singolo deck (A, B, C, D). La pipeline aggrega A/B come classe 0 (disadvantageous) e C/D come classe 1 (advantageous), riducendo a una classificazione binaria.</w:t>
      </w:r>
    </w:p>
    <w:p>
      <w:r>
        <w:t xml:space="preserve"/>
      </w:r>
    </w:p>
    <w:p>
      <w:pPr>
        <w:spacing w:after="60" w:before="60"/>
      </w:pPr>
      <w:r>
        <w:rPr>
          <w:rFonts w:ascii="Arial" w:cs="Arial" w:eastAsia="Arial" w:hAnsi="Arial"/>
          <w:sz w:val="22"/>
          <w:szCs w:val="22"/>
        </w:rPr>
        <w:t xml:space="preserve">Motivazione della scelta:</w:t>
      </w:r>
    </w:p>
    <w:p>
      <w:pPr>
        <w:pStyle w:val="ListParagraph"/>
        <w:numPr>
          <w:ilvl w:val="0"/>
          <w:numId w:val="2"/>
        </w:numPr>
        <w:spacing w:after="40" w:before="40"/>
      </w:pPr>
      <w:r>
        <w:rPr>
          <w:rFonts w:ascii="Arial" w:cs="Arial" w:eastAsia="Arial" w:hAnsi="Arial"/>
          <w:sz w:val="22"/>
          <w:szCs w:val="22"/>
        </w:rPr>
        <w:t xml:space="preserve">La distinzione clinicamente e neurobiologicamente rilevante nell'IGT è tra scelte vantaggiose (C/D) e svantaggiose (A/B), non tra singoli deck. Questa dicotomia è al centro della teoria della somatic marker hypothesis di Bechara &amp; Damasio (citata nel paper come riferimento [1]) e di tutti gli studi ERP-IGT citati.</w:t>
      </w:r>
    </w:p>
    <w:p>
      <w:pPr>
        <w:pStyle w:val="ListParagraph"/>
        <w:numPr>
          <w:ilvl w:val="0"/>
          <w:numId w:val="2"/>
        </w:numPr>
        <w:spacing w:after="40" w:before="40"/>
      </w:pPr>
      <w:r>
        <w:rPr>
          <w:rFonts w:ascii="Arial" w:cs="Arial" w:eastAsia="Arial" w:hAnsi="Arial"/>
          <w:sz w:val="22"/>
          <w:szCs w:val="22"/>
        </w:rPr>
        <w:t xml:space="preserve">La classificazione 4-class (A vs B vs C vs D) con ~50 trial per classe per soggetto sarebbe statisticamente inaffidabile con LOSO, data la scarsità di esempi per classe.</w:t>
      </w:r>
    </w:p>
    <w:p>
      <w:pPr>
        <w:pStyle w:val="ListParagraph"/>
        <w:numPr>
          <w:ilvl w:val="0"/>
          <w:numId w:val="2"/>
        </w:numPr>
        <w:spacing w:after="40" w:before="40"/>
      </w:pPr>
      <w:r>
        <w:rPr>
          <w:rFonts w:ascii="Arial" w:cs="Arial" w:eastAsia="Arial" w:hAnsi="Arial"/>
          <w:sz w:val="22"/>
          <w:szCs w:val="22"/>
        </w:rPr>
        <w:t xml:space="preserve">La Fig. 7 del paper mostra chiaramente l'andamento del net score (somma C/D − A/B) come metrica principale di performance IGT, confermando che la distinzione binaria è quella adottata anche dai ricercatori del dataset.</w:t>
      </w:r>
    </w:p>
    <w:p>
      <w:r>
        <w:t xml:space="preserve"/>
      </w:r>
    </w:p>
    <w:p>
      <w:pPr>
        <w:pStyle w:val="Heading2"/>
        <w:spacing w:after="80" w:before="240"/>
      </w:pPr>
      <w:r>
        <w:rPr>
          <w:rFonts w:ascii="Arial" w:cs="Arial" w:eastAsia="Arial" w:hAnsi="Arial"/>
          <w:b/>
          <w:bCs/>
          <w:color w:val="2E5F8A"/>
          <w:sz w:val="26"/>
          <w:szCs w:val="26"/>
        </w:rPr>
        <w:t xml:space="preserve">4.3  Gestione dello sbilanciamento delle classi</w:t>
      </w:r>
    </w:p>
    <w:p>
      <w:pPr>
        <w:spacing w:after="60" w:before="60"/>
      </w:pPr>
      <w:r>
        <w:rPr>
          <w:rFonts w:ascii="Arial" w:cs="Arial" w:eastAsia="Arial" w:hAnsi="Arial"/>
          <w:sz w:val="22"/>
          <w:szCs w:val="22"/>
        </w:rPr>
        <w:t xml:space="preserve">Il dataset presenta un lieve sbilanciamento tra scelte vantaggiose e svantaggiose (i partecipanti iniziano con bias verso A/B e convergono verso C/D). La pipeline usa class_weight='balanced' in tutti i classificatori.</w:t>
      </w:r>
    </w:p>
    <w:p>
      <w:r>
        <w:t xml:space="preserve"/>
      </w:r>
    </w:p>
    <w:p>
      <w:pPr>
        <w:spacing w:after="60" w:before="60"/>
      </w:pPr>
      <w:r>
        <w:rPr>
          <w:rFonts w:ascii="Arial" w:cs="Arial" w:eastAsia="Arial" w:hAnsi="Arial"/>
          <w:sz w:val="22"/>
          <w:szCs w:val="22"/>
        </w:rPr>
        <w:t xml:space="preserve">Motivazione della scelta:</w:t>
      </w:r>
    </w:p>
    <w:p>
      <w:pPr>
        <w:pStyle w:val="ListParagraph"/>
        <w:numPr>
          <w:ilvl w:val="0"/>
          <w:numId w:val="2"/>
        </w:numPr>
        <w:spacing w:after="40" w:before="40"/>
      </w:pPr>
      <w:r>
        <w:rPr>
          <w:rFonts w:ascii="Arial" w:cs="Arial" w:eastAsia="Arial" w:hAnsi="Arial"/>
          <w:sz w:val="22"/>
          <w:szCs w:val="22"/>
        </w:rPr>
        <w:t xml:space="preserve">Il paper (Fig. 7) mostra che nei primi ~50 trial i partecipanti preferiscono i deck svantaggiosi, mentre nella seconda metà prevalgono le scelte vantaggiose. Aggregando tutti i trial, la distribuzione delle classi può risultare sbilanciata a seconda del soggetto e del periodo dell'esperimento considerato.</w:t>
      </w:r>
    </w:p>
    <w:p>
      <w:pPr>
        <w:pStyle w:val="ListParagraph"/>
        <w:numPr>
          <w:ilvl w:val="0"/>
          <w:numId w:val="2"/>
        </w:numPr>
        <w:spacing w:after="40" w:before="40"/>
      </w:pPr>
      <w:r>
        <w:rPr>
          <w:rFonts w:ascii="Arial" w:cs="Arial" w:eastAsia="Arial" w:hAnsi="Arial"/>
          <w:sz w:val="22"/>
          <w:szCs w:val="22"/>
        </w:rPr>
        <w:t xml:space="preserve">class_weight='balanced' corregge automaticamente questo sbilanciamento senza richiedere resampling, preservando tutte le epoche disponibili per il training e mantenendo la struttura temporale originale dell'esperimento.</w:t>
      </w:r>
    </w:p>
    <w:p>
      <w:r>
        <w:t xml:space="preserve"/>
      </w:r>
    </w:p>
    <w:p>
      <w:pPr>
        <w:pStyle w:val="Heading2"/>
        <w:spacing w:after="80" w:before="240"/>
      </w:pPr>
      <w:r>
        <w:rPr>
          <w:rFonts w:ascii="Arial" w:cs="Arial" w:eastAsia="Arial" w:hAnsi="Arial"/>
          <w:b/>
          <w:bCs/>
          <w:color w:val="2E5F8A"/>
          <w:sz w:val="26"/>
          <w:szCs w:val="26"/>
        </w:rPr>
        <w:t xml:space="preserve">4.4  Esclusione degli elettrodi di riferimento A1/A2 dalle considerazioni neurali</w:t>
      </w:r>
    </w:p>
    <w:p>
      <w:pPr>
        <w:spacing w:after="60" w:before="60"/>
      </w:pPr>
      <w:r>
        <w:rPr>
          <w:rFonts w:ascii="Arial" w:cs="Arial" w:eastAsia="Arial" w:hAnsi="Arial"/>
          <w:sz w:val="22"/>
          <w:szCs w:val="22"/>
        </w:rPr>
        <w:t xml:space="preserve">Il paper usa A1 e A2 come elettrodi auricolari per la re-referenziazione -(A1+A2)/2- nella validazione ERP. Nella pipeline PSD, A1 e A2 compaiono tra le feature con alta importanza RF (A2_delta, A1_delta nel top-10).</w:t>
      </w:r>
    </w:p>
    <w:p>
      <w:r>
        <w:t xml:space="preserve"/>
      </w:r>
    </w:p>
    <w:p>
      <w:pPr>
        <w:spacing w:after="60" w:before="60"/>
      </w:pPr>
      <w:r>
        <w:rPr>
          <w:rFonts w:ascii="Arial" w:cs="Arial" w:eastAsia="Arial" w:hAnsi="Arial"/>
          <w:sz w:val="22"/>
          <w:szCs w:val="22"/>
        </w:rPr>
        <w:t xml:space="preserve">Interpretazione critica:</w:t>
      </w:r>
    </w:p>
    <w:p>
      <w:pPr>
        <w:pStyle w:val="ListParagraph"/>
        <w:numPr>
          <w:ilvl w:val="0"/>
          <w:numId w:val="2"/>
        </w:numPr>
        <w:spacing w:after="40" w:before="40"/>
      </w:pPr>
      <w:r>
        <w:rPr>
          <w:rFonts w:ascii="Arial" w:cs="Arial" w:eastAsia="Arial" w:hAnsi="Arial"/>
          <w:sz w:val="22"/>
          <w:szCs w:val="22"/>
        </w:rPr>
        <w:t xml:space="preserve">L'alta importanza di A1/A2 in RF non indica attività neurale reale, ma riflette probabilmente artefatti residui o segnale di riferimento non completamente rimosso dal preprocessing. Questo è un limite noto del dataset: il paper dichiara esplicitamente (Sezione EEG Validation) che i dati raw contengono artefatti di vario tipo e che la loro rimozione "rimane sotto il controllo di ciascuna metodologia di pulizia".</w:t>
      </w:r>
    </w:p>
    <w:p>
      <w:pPr>
        <w:pStyle w:val="ListParagraph"/>
        <w:numPr>
          <w:ilvl w:val="0"/>
          <w:numId w:val="2"/>
        </w:numPr>
        <w:spacing w:after="40" w:before="40"/>
      </w:pPr>
      <w:r>
        <w:rPr>
          <w:rFonts w:ascii="Arial" w:cs="Arial" w:eastAsia="Arial" w:hAnsi="Arial"/>
          <w:sz w:val="22"/>
          <w:szCs w:val="22"/>
        </w:rPr>
        <w:t xml:space="preserve">In un'analisi pubblicabile, A1/A2 andrebbero esclusi dalle feature o il preprocessing dovrebbe includere una re-referenziazione esplicita. La pipeline attuale li include per completezza e perché il preprocessor non li ha esclusi, ma il loro contributo va interpretato con cautela.</w:t>
      </w:r>
    </w:p>
    <w:p>
      <w:r>
        <w:t xml:space="preserve"/>
      </w:r>
    </w:p>
    <w:p>
      <w:pPr>
        <w:pStyle w:val="Heading2"/>
        <w:spacing w:after="80" w:before="240"/>
      </w:pPr>
      <w:r>
        <w:rPr>
          <w:rFonts w:ascii="Arial" w:cs="Arial" w:eastAsia="Arial" w:hAnsi="Arial"/>
          <w:b/>
          <w:bCs/>
          <w:color w:val="2E5F8A"/>
          <w:sz w:val="26"/>
          <w:szCs w:val="26"/>
        </w:rPr>
        <w:t xml:space="preserve">4.5  Parallelizzazione della cross-validation LOSO</w:t>
      </w:r>
    </w:p>
    <w:p>
      <w:pPr>
        <w:spacing w:after="60" w:before="60"/>
      </w:pPr>
      <w:r>
        <w:rPr>
          <w:rFonts w:ascii="Arial" w:cs="Arial" w:eastAsia="Arial" w:hAnsi="Arial"/>
          <w:sz w:val="22"/>
          <w:szCs w:val="22"/>
        </w:rPr>
        <w:t xml:space="preserve">Il paper non specifica metodologie computazionali per la validazione ML. La pipeline usa joblib.Parallel per distribuire i 55 fold LOSO sui core CPU disponibili.</w:t>
      </w:r>
    </w:p>
    <w:p>
      <w:r>
        <w:t xml:space="preserve"/>
      </w:r>
    </w:p>
    <w:p>
      <w:pPr>
        <w:spacing w:after="60" w:before="60"/>
      </w:pPr>
      <w:r>
        <w:rPr>
          <w:rFonts w:ascii="Arial" w:cs="Arial" w:eastAsia="Arial" w:hAnsi="Arial"/>
          <w:sz w:val="22"/>
          <w:szCs w:val="22"/>
        </w:rPr>
        <w:t xml:space="preserve">Motivazione della scelta:</w:t>
      </w:r>
    </w:p>
    <w:p>
      <w:pPr>
        <w:pStyle w:val="ListParagraph"/>
        <w:numPr>
          <w:ilvl w:val="0"/>
          <w:numId w:val="2"/>
        </w:numPr>
        <w:spacing w:after="40" w:before="40"/>
      </w:pPr>
      <w:r>
        <w:rPr>
          <w:rFonts w:ascii="Arial" w:cs="Arial" w:eastAsia="Arial" w:hAnsi="Arial"/>
          <w:sz w:val="22"/>
          <w:szCs w:val="22"/>
        </w:rPr>
        <w:t xml:space="preserve">Con 55 soggetti, 3 modelli e ~11.000 epoche totali, la LOSO sequenziale richiede tempi proibitivi (stimati &gt;30 minuti su hardware consumer). La parallelizzazione riduce il tempo di 4-6x senza alterare i risultati, poiché ogni fold è matematicamente indipendente dagli altri.</w:t>
      </w:r>
    </w:p>
    <w:p>
      <w:pPr>
        <w:pStyle w:val="ListParagraph"/>
        <w:numPr>
          <w:ilvl w:val="0"/>
          <w:numId w:val="2"/>
        </w:numPr>
        <w:spacing w:after="40" w:before="40"/>
      </w:pPr>
      <w:r>
        <w:rPr>
          <w:rFonts w:ascii="Arial" w:cs="Arial" w:eastAsia="Arial" w:hAnsi="Arial"/>
          <w:sz w:val="22"/>
          <w:szCs w:val="22"/>
        </w:rPr>
        <w:t xml:space="preserve">Ogni processo worker opera su un clone indipendente della pipeline sklearn (sklearn.base.clone), garantendo l'assenza di race condition e preservando la riproducibilità tramite il random seed globale (RANDOM_SEED = 42).</w:t>
      </w:r>
    </w:p>
    <w:p>
      <w:r>
        <w:t xml:space="preserve"/>
      </w:r>
    </w:p>
    <w:p>
      <w:pPr>
        <w:pBdr>
          <w:bottom w:val="single" w:color="2E5F8A" w:sz="4" w:space="1"/>
        </w:pBdr>
        <w:spacing w:after="160" w:before="160"/>
      </w:pPr>
    </w:p>
    <w:p>
      <w:pPr>
        <w:pStyle w:val="Heading1"/>
        <w:spacing w:after="120" w:before="360"/>
      </w:pPr>
      <w:r>
        <w:rPr>
          <w:rFonts w:ascii="Arial" w:cs="Arial" w:eastAsia="Arial" w:hAnsi="Arial"/>
          <w:b/>
          <w:bCs/>
          <w:color w:val="1F3864"/>
          <w:sz w:val="32"/>
          <w:szCs w:val="32"/>
        </w:rPr>
        <w:t xml:space="preserve">5. Conclusione: I Risultati Sono Validi</w:t>
      </w:r>
    </w:p>
    <w:p>
      <w:pPr>
        <w:spacing w:after="60" w:before="60"/>
      </w:pPr>
      <w:r>
        <w:rPr>
          <w:rFonts w:ascii="Arial" w:cs="Arial" w:eastAsia="Arial" w:hAnsi="Arial"/>
          <w:sz w:val="22"/>
          <w:szCs w:val="22"/>
        </w:rPr>
        <w:t xml:space="preserve">I risultati ottenuti dalla pipeline EEG-ML sono validi e coerenti con il dataset e con la letteratura di riferimento per i seguenti motivi consolidati:</w:t>
      </w:r>
    </w:p>
    <w:p>
      <w:r>
        <w:t xml:space="preserve"/>
      </w:r>
    </w:p>
    <w:p>
      <w:pPr>
        <w:pStyle w:val="ListParagraph"/>
        <w:numPr>
          <w:ilvl w:val="0"/>
          <w:numId w:val="2"/>
        </w:numPr>
        <w:spacing w:after="40" w:before="40"/>
      </w:pPr>
      <w:r>
        <w:rPr>
          <w:rFonts w:ascii="Arial" w:cs="Arial" w:eastAsia="Arial" w:hAnsi="Arial"/>
          <w:b w:val="false"/>
          <w:bCs w:val="false"/>
          <w:sz w:val="22"/>
          <w:szCs w:val="22"/>
        </w:rPr>
        <w:t xml:space="preserve">Le performance (AUC 0.53–0.55) sono nel range atteso per classificazione cross-subject EEG-IGT trial-by-trial, confermato dalla letteratura citata nel paper.</w:t>
      </w:r>
    </w:p>
    <w:p>
      <w:pPr>
        <w:pStyle w:val="ListParagraph"/>
        <w:numPr>
          <w:ilvl w:val="0"/>
          <w:numId w:val="2"/>
        </w:numPr>
        <w:spacing w:after="40" w:before="40"/>
      </w:pPr>
      <w:r>
        <w:rPr>
          <w:rFonts w:ascii="Arial" w:cs="Arial" w:eastAsia="Arial" w:hAnsi="Arial"/>
          <w:b w:val="false"/>
          <w:bCs w:val="false"/>
          <w:sz w:val="22"/>
          <w:szCs w:val="22"/>
        </w:rPr>
        <w:t xml:space="preserve">L'alta variabilità tra fold (std ~0.09 accuracy) riflette correttamente la variabilità inter-soggetto documentata dal paper tramite le differenze ENG/PCS e la curva di apprendimento IGT.</w:t>
      </w:r>
    </w:p>
    <w:p>
      <w:pPr>
        <w:pStyle w:val="ListParagraph"/>
        <w:numPr>
          <w:ilvl w:val="0"/>
          <w:numId w:val="2"/>
        </w:numPr>
        <w:spacing w:after="40" w:before="40"/>
      </w:pPr>
      <w:r>
        <w:rPr>
          <w:rFonts w:ascii="Arial" w:cs="Arial" w:eastAsia="Arial" w:hAnsi="Arial"/>
          <w:b w:val="false"/>
          <w:bCs w:val="false"/>
          <w:sz w:val="22"/>
          <w:szCs w:val="22"/>
        </w:rPr>
        <w:t xml:space="preserve">Le feature più importanti (theta/alpha frontale su F7, F8, Fz) corrispondono ai correlati neurali ERP identificati dalla validazione del paper (FRN su Fz/Cz, P300 su Fz/Cz).</w:t>
      </w:r>
    </w:p>
    <w:p>
      <w:pPr>
        <w:pStyle w:val="ListParagraph"/>
        <w:numPr>
          <w:ilvl w:val="0"/>
          <w:numId w:val="2"/>
        </w:numPr>
        <w:spacing w:after="40" w:before="40"/>
      </w:pPr>
      <w:r>
        <w:rPr>
          <w:rFonts w:ascii="Arial" w:cs="Arial" w:eastAsia="Arial" w:hAnsi="Arial"/>
          <w:b w:val="false"/>
          <w:bCs w:val="false"/>
          <w:sz w:val="22"/>
          <w:szCs w:val="22"/>
        </w:rPr>
        <w:t xml:space="preserve">La metodologia LOSO garantisce l'assenza di data leakage e produce stime di generalizzazione cross-subject pubblicabili.</w:t>
      </w:r>
    </w:p>
    <w:p>
      <w:pPr>
        <w:pStyle w:val="ListParagraph"/>
        <w:numPr>
          <w:ilvl w:val="0"/>
          <w:numId w:val="2"/>
        </w:numPr>
        <w:spacing w:after="40" w:before="40"/>
      </w:pPr>
      <w:r>
        <w:rPr>
          <w:rFonts w:ascii="Arial" w:cs="Arial" w:eastAsia="Arial" w:hAnsi="Arial"/>
          <w:b w:val="false"/>
          <w:bCs w:val="false"/>
          <w:sz w:val="22"/>
          <w:szCs w:val="22"/>
        </w:rPr>
        <w:t xml:space="preserve">Le scelte che si discostano dal paper (PSD invece di ERP, classificazione binaria, class_weight='balanced') sono tutte motivate da necessità metodologiche documentate e coerenti con le indicazioni del paper stesso.</w:t>
      </w:r>
    </w:p>
    <w:p>
      <w:r>
        <w:t xml:space="preserve"/>
      </w:r>
    </w:p>
    <w:p>
      <w:pPr>
        <w:spacing w:after="60" w:before="60"/>
      </w:pPr>
      <w:r>
        <w:rPr>
          <w:rFonts w:ascii="Arial" w:cs="Arial" w:eastAsia="Arial" w:hAnsi="Arial"/>
          <w:b/>
          <w:bCs/>
          <w:sz w:val="22"/>
          <w:szCs w:val="22"/>
        </w:rPr>
        <w:t xml:space="preserve">Nota metodologica finale: </w:t>
      </w:r>
      <w:r>
        <w:rPr>
          <w:rFonts w:ascii="Arial" w:cs="Arial" w:eastAsia="Arial" w:hAnsi="Arial"/>
          <w:b w:val="false"/>
          <w:bCs w:val="false"/>
          <w:sz w:val="22"/>
          <w:szCs w:val="22"/>
        </w:rPr>
        <w:t xml:space="preserve">poiché il paper è un data descriptor e non uno studio di classificazione ML, non esistono benchmark numerici diretti da superare. La validità della pipeline va valutata rispetto alla correttezza metodologica e alla coerenza con la letteratura EEG-IGT, entrambe soddisfatte dai risultati ottenuti.</w:t>
      </w:r>
    </w:p>
    <w:p>
      <w:r>
        <w:t xml:space="preserve"/>
      </w:r>
    </w:p>
    <w:p>
      <w:pPr>
        <w:pBdr>
          <w:bottom w:val="single" w:color="2E5F8A" w:sz="4" w:space="1"/>
        </w:pBdr>
        <w:spacing w:after="160" w:before="160"/>
      </w:pPr>
    </w:p>
    <w:p>
      <w:pPr>
        <w:pStyle w:val="Heading1"/>
        <w:spacing w:after="120" w:before="360"/>
      </w:pPr>
      <w:r>
        <w:rPr>
          <w:rFonts w:ascii="Arial" w:cs="Arial" w:eastAsia="Arial" w:hAnsi="Arial"/>
          <w:b/>
          <w:bCs/>
          <w:color w:val="1F3864"/>
          <w:sz w:val="32"/>
          <w:szCs w:val="32"/>
        </w:rPr>
        <w:t xml:space="preserve">Riferimenti</w:t>
      </w:r>
    </w:p>
    <w:p>
      <w:pPr>
        <w:spacing w:after="60" w:before="60"/>
      </w:pPr>
      <w:r>
        <w:rPr>
          <w:rFonts w:ascii="Arial" w:cs="Arial" w:eastAsia="Arial" w:hAnsi="Arial"/>
          <w:i w:val="false"/>
          <w:iCs w:val="false"/>
          <w:sz w:val="22"/>
          <w:szCs w:val="22"/>
        </w:rPr>
        <w:t xml:space="preserve">Chávez-Sánchez M. et al. (2026). Behavioral and electroencephalographic dataset simultaneously acquired during the Iowa Gambling Task. Scientific Data, 13, 359.</w:t>
      </w:r>
    </w:p>
    <w:p>
      <w:pPr>
        <w:spacing w:after="60" w:before="60"/>
      </w:pPr>
      <w:r>
        <w:rPr>
          <w:rFonts w:ascii="Arial" w:cs="Arial" w:eastAsia="Arial" w:hAnsi="Arial"/>
          <w:sz w:val="22"/>
          <w:szCs w:val="22"/>
        </w:rPr>
        <w:t xml:space="preserve">Bechara A. et al. (1994). Insensitivity to future consequences following damage to human prefrontal cortex. Cognition, 50, 7–15.</w:t>
      </w:r>
    </w:p>
    <w:p>
      <w:pPr>
        <w:spacing w:after="60" w:before="60"/>
      </w:pPr>
      <w:r>
        <w:rPr>
          <w:rFonts w:ascii="Arial" w:cs="Arial" w:eastAsia="Arial" w:hAnsi="Arial"/>
          <w:sz w:val="22"/>
          <w:szCs w:val="22"/>
        </w:rPr>
        <w:t xml:space="preserve">Bianchin M. &amp; Angrilli A. (2011). Decision preceding negativity in the Iowa Gambling Task: an ERP study. Brain and Cognition, 75, 273–280.</w:t>
      </w:r>
    </w:p>
    <w:p>
      <w:pPr>
        <w:spacing w:after="60" w:before="60"/>
      </w:pPr>
      <w:r>
        <w:rPr>
          <w:rFonts w:ascii="Arial" w:cs="Arial" w:eastAsia="Arial" w:hAnsi="Arial"/>
          <w:sz w:val="22"/>
          <w:szCs w:val="22"/>
        </w:rPr>
        <w:t xml:space="preserve">Balconi M. &amp; Angioletti L. (2022). Neurophysiology of gambling behavior and internet use vulnerability: a comparison between behavioral and EEG measures. Clinical EEG and Neuroscience, 53, 268–277.</w:t>
      </w:r>
    </w:p>
    <w:p>
      <w:pPr>
        <w:spacing w:after="60" w:before="60"/>
      </w:pPr>
      <w:r>
        <w:rPr>
          <w:rFonts w:ascii="Arial" w:cs="Arial" w:eastAsia="Arial" w:hAnsi="Arial"/>
          <w:sz w:val="22"/>
          <w:szCs w:val="22"/>
        </w:rPr>
        <w:t xml:space="preserve">Aram S. et al. (2019). The Iowa Gambling Task: A review of the historical evolution, scientific basis, and use in functional neuroimaging. Sage Open, 9(3).</w:t>
      </w:r>
    </w:p>
    <w:p>
      <w:pPr>
        <w:spacing w:after="60" w:before="60"/>
      </w:pPr>
      <w:r>
        <w:rPr>
          <w:rFonts w:ascii="Arial" w:cs="Arial" w:eastAsia="Arial" w:hAnsi="Arial"/>
          <w:sz w:val="22"/>
          <w:szCs w:val="22"/>
        </w:rPr>
        <w:t xml:space="preserve">Evans C.E. et al. (2004). Paradoxical effects of education on the Iowa Gambling Task. Brain and Cognition, 54, 240–244.</w:t>
      </w:r>
    </w:p>
    <w:p>
      <w:pPr>
        <w:spacing w:after="60" w:before="60"/>
      </w:pPr>
      <w:r>
        <w:rPr>
          <w:rFonts w:ascii="Arial" w:cs="Arial" w:eastAsia="Arial" w:hAnsi="Arial"/>
          <w:sz w:val="22"/>
          <w:szCs w:val="22"/>
        </w:rPr>
        <w:t xml:space="preserve">Steingroever H. et al. (2015). Data from 617 healthy participants performing the Iowa Gambling Task: A "many labs" collaboration. Journal of Open Psychology Data, 3, e5.</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Validazione Pipeline EEG-ML  |  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2026-05-15T10:12:21.916Z</dcterms:created>
  <dcterms:modified xsi:type="dcterms:W3CDTF">2026-05-15T10:12:21.917Z</dcterms:modified>
</cp:coreProperties>
</file>

<file path=docProps/custom.xml><?xml version="1.0" encoding="utf-8"?>
<Properties xmlns="http://schemas.openxmlformats.org/officeDocument/2006/custom-properties" xmlns:vt="http://schemas.openxmlformats.org/officeDocument/2006/docPropsVTypes"/>
</file>