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x63r8f7az1ah" w:id="0"/>
      <w:bookmarkEnd w:id="0"/>
      <w:r w:rsidDel="00000000" w:rsidR="00000000" w:rsidRPr="00000000">
        <w:rPr>
          <w:rtl w:val="0"/>
        </w:rPr>
        <w:t xml:space="preserve">CSV Description</w:t>
      </w:r>
    </w:p>
    <w:p w:rsidR="00000000" w:rsidDel="00000000" w:rsidP="00000000" w:rsidRDefault="00000000" w:rsidRPr="00000000" w14:paraId="00000002">
      <w:pPr>
        <w:jc w:val="both"/>
        <w:rPr/>
      </w:pPr>
      <w:r w:rsidDel="00000000" w:rsidR="00000000" w:rsidRPr="00000000">
        <w:rPr>
          <w:rtl w:val="0"/>
        </w:rPr>
        <w:t xml:space="preserve">Each column represents a node in the knowledge graph, created based on information available for monuments in the records. In cases where the information is not available in the data source, it is marked as 'n/a.' If the information is present, it is inserted accordingly. This approach is adopted due to the limitation in Neo4J, where null values cannot be inserted. Below is the description of each of the 42 columns in this file and their contents. The CSV can be used for bulk loading the data utilized in the graph implementation</w:t>
      </w:r>
    </w:p>
    <w:p w:rsidR="00000000" w:rsidDel="00000000" w:rsidP="00000000" w:rsidRDefault="00000000" w:rsidRPr="00000000" w14:paraId="00000003">
      <w:pPr>
        <w:jc w:val="both"/>
        <w:rPr>
          <w:b w:val="1"/>
        </w:rPr>
      </w:pPr>
      <w:r w:rsidDel="00000000" w:rsidR="00000000" w:rsidRPr="00000000">
        <w:rPr>
          <w:rtl w:val="0"/>
        </w:rPr>
      </w:r>
    </w:p>
    <w:p w:rsidR="00000000" w:rsidDel="00000000" w:rsidP="00000000" w:rsidRDefault="00000000" w:rsidRPr="00000000" w14:paraId="00000004">
      <w:pPr>
        <w:jc w:val="both"/>
        <w:rPr>
          <w:b w:val="1"/>
        </w:rPr>
      </w:pPr>
      <w:r w:rsidDel="00000000" w:rsidR="00000000" w:rsidRPr="00000000">
        <w:rPr>
          <w:b w:val="1"/>
          <w:rtl w:val="0"/>
        </w:rPr>
        <w:t xml:space="preserve">The provided CSV file contains 42 columns, each of which is detailed below:</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b w:val="1"/>
          <w:rtl w:val="0"/>
        </w:rPr>
        <w:t xml:space="preserve">IDGlobal</w:t>
      </w:r>
      <w:r w:rsidDel="00000000" w:rsidR="00000000" w:rsidRPr="00000000">
        <w:rPr>
          <w:rtl w:val="0"/>
        </w:rPr>
        <w:t xml:space="preserve">: The unique identifier for the source of the data.</w:t>
      </w:r>
    </w:p>
    <w:p w:rsidR="00000000" w:rsidDel="00000000" w:rsidP="00000000" w:rsidRDefault="00000000" w:rsidRPr="00000000" w14:paraId="00000007">
      <w:pPr>
        <w:numPr>
          <w:ilvl w:val="0"/>
          <w:numId w:val="15"/>
        </w:numPr>
        <w:ind w:left="720" w:hanging="360"/>
        <w:jc w:val="both"/>
      </w:pPr>
      <w:r w:rsidDel="00000000" w:rsidR="00000000" w:rsidRPr="00000000">
        <w:rPr>
          <w:rtl w:val="0"/>
        </w:rPr>
        <w:t xml:space="preserve">Ideally, even if data about a specific monument comes from multiple sources with varying original IDs,</w:t>
      </w:r>
      <w:r w:rsidDel="00000000" w:rsidR="00000000" w:rsidRPr="00000000">
        <w:rPr>
          <w:b w:val="1"/>
          <w:rtl w:val="0"/>
        </w:rPr>
        <w:t xml:space="preserve"> we assign a consistent IDGlobal</w:t>
      </w:r>
      <w:r w:rsidDel="00000000" w:rsidR="00000000" w:rsidRPr="00000000">
        <w:rPr>
          <w:rtl w:val="0"/>
        </w:rPr>
        <w:t xml:space="preserve"> to indicate it's the same monument. This consistency is determined based on shared names and/or locations among sources.</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b w:val="1"/>
          <w:rtl w:val="0"/>
        </w:rPr>
        <w:t xml:space="preserve">DataSource</w:t>
      </w:r>
      <w:r w:rsidDel="00000000" w:rsidR="00000000" w:rsidRPr="00000000">
        <w:rPr>
          <w:b w:val="1"/>
          <w:rtl w:val="0"/>
        </w:rPr>
        <w:t xml:space="preserve">: </w:t>
      </w:r>
      <w:r w:rsidDel="00000000" w:rsidR="00000000" w:rsidRPr="00000000">
        <w:rPr>
          <w:rtl w:val="0"/>
        </w:rPr>
        <w:t xml:space="preserve">This refers to the specific reference from which the data originates. </w:t>
      </w:r>
    </w:p>
    <w:p w:rsidR="00000000" w:rsidDel="00000000" w:rsidP="00000000" w:rsidRDefault="00000000" w:rsidRPr="00000000" w14:paraId="0000000A">
      <w:pPr>
        <w:numPr>
          <w:ilvl w:val="0"/>
          <w:numId w:val="4"/>
        </w:numPr>
        <w:ind w:left="720" w:hanging="360"/>
        <w:jc w:val="both"/>
        <w:rPr>
          <w:u w:val="none"/>
        </w:rPr>
      </w:pPr>
      <w:r w:rsidDel="00000000" w:rsidR="00000000" w:rsidRPr="00000000">
        <w:rPr>
          <w:rtl w:val="0"/>
        </w:rPr>
        <w:t xml:space="preserve">In this context, the designation "PA - MAP WEB" signifies data sourced from the "Portal do Arqueólogo."</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b w:val="1"/>
          <w:rtl w:val="0"/>
        </w:rPr>
        <w:t xml:space="preserve">DataSourceID</w:t>
      </w:r>
      <w:r w:rsidDel="00000000" w:rsidR="00000000" w:rsidRPr="00000000">
        <w:rPr>
          <w:rtl w:val="0"/>
        </w:rPr>
        <w:t xml:space="preserve">:The unique identifier given by the data source itself. </w:t>
      </w:r>
    </w:p>
    <w:p w:rsidR="00000000" w:rsidDel="00000000" w:rsidP="00000000" w:rsidRDefault="00000000" w:rsidRPr="00000000" w14:paraId="0000000D">
      <w:pPr>
        <w:numPr>
          <w:ilvl w:val="0"/>
          <w:numId w:val="12"/>
        </w:numPr>
        <w:ind w:left="720" w:hanging="360"/>
        <w:jc w:val="both"/>
        <w:rPr>
          <w:u w:val="none"/>
        </w:rPr>
      </w:pPr>
      <w:r w:rsidDel="00000000" w:rsidR="00000000" w:rsidRPr="00000000">
        <w:rPr>
          <w:rtl w:val="0"/>
        </w:rPr>
        <w:t xml:space="preserve">For this dataset, it corresponds to the IDs provided by "PA - MAP WEB" from the "Portal do Arqueólogo."</w:t>
      </w:r>
    </w:p>
    <w:p w:rsidR="00000000" w:rsidDel="00000000" w:rsidP="00000000" w:rsidRDefault="00000000" w:rsidRPr="00000000" w14:paraId="0000000E">
      <w:pPr>
        <w:numPr>
          <w:ilvl w:val="0"/>
          <w:numId w:val="12"/>
        </w:numPr>
        <w:ind w:left="720" w:hanging="360"/>
        <w:jc w:val="both"/>
        <w:rPr>
          <w:u w:val="none"/>
        </w:rPr>
      </w:pPr>
      <w:r w:rsidDel="00000000" w:rsidR="00000000" w:rsidRPr="00000000">
        <w:rPr>
          <w:rtl w:val="0"/>
        </w:rPr>
        <w:t xml:space="preserve">Entries are only made in this column when the data source explicitly mentions this information.</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b w:val="1"/>
          <w:rtl w:val="0"/>
        </w:rPr>
        <w:t xml:space="preserve">Designation</w:t>
      </w:r>
      <w:r w:rsidDel="00000000" w:rsidR="00000000" w:rsidRPr="00000000">
        <w:rPr>
          <w:rtl w:val="0"/>
        </w:rPr>
        <w:t xml:space="preserve">: The official or given name of the archaeological site/monument.</w:t>
      </w:r>
    </w:p>
    <w:p w:rsidR="00000000" w:rsidDel="00000000" w:rsidP="00000000" w:rsidRDefault="00000000" w:rsidRPr="00000000" w14:paraId="00000011">
      <w:pPr>
        <w:numPr>
          <w:ilvl w:val="0"/>
          <w:numId w:val="7"/>
        </w:numPr>
        <w:ind w:left="720" w:hanging="360"/>
        <w:jc w:val="both"/>
        <w:rPr>
          <w:u w:val="none"/>
        </w:rPr>
      </w:pPr>
      <w:r w:rsidDel="00000000" w:rsidR="00000000" w:rsidRPr="00000000">
        <w:rPr>
          <w:rtl w:val="0"/>
        </w:rPr>
        <w:t xml:space="preserve">Represents the various names or titles attributed to a monument. A single monument can have multiple designations, depending on the source or context. In this column, multiple designations for a monument are separated by a semicolon (";").</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b w:val="1"/>
          <w:rtl w:val="0"/>
        </w:rPr>
        <w:t xml:space="preserve">Type</w:t>
      </w:r>
      <w:r w:rsidDel="00000000" w:rsidR="00000000" w:rsidRPr="00000000">
        <w:rPr>
          <w:rtl w:val="0"/>
        </w:rPr>
        <w:t xml:space="preserve">: Specifies the type of the archaeological monument,</w:t>
      </w:r>
    </w:p>
    <w:p w:rsidR="00000000" w:rsidDel="00000000" w:rsidP="00000000" w:rsidRDefault="00000000" w:rsidRPr="00000000" w14:paraId="00000014">
      <w:pPr>
        <w:numPr>
          <w:ilvl w:val="0"/>
          <w:numId w:val="5"/>
        </w:numPr>
        <w:ind w:left="720" w:hanging="360"/>
        <w:jc w:val="both"/>
        <w:rPr>
          <w:u w:val="none"/>
        </w:rPr>
      </w:pPr>
      <w:r w:rsidDel="00000000" w:rsidR="00000000" w:rsidRPr="00000000">
        <w:rPr>
          <w:rtl w:val="0"/>
        </w:rPr>
        <w:t xml:space="preserve"> e.g., dolmen, burial mound, etc.</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b w:val="1"/>
          <w:rtl w:val="0"/>
        </w:rPr>
        <w:t xml:space="preserve">Period</w:t>
      </w:r>
      <w:r w:rsidDel="00000000" w:rsidR="00000000" w:rsidRPr="00000000">
        <w:rPr>
          <w:rtl w:val="0"/>
        </w:rPr>
        <w:t xml:space="preserve">: The historical or archaeological time period the monument is associated with. </w:t>
      </w:r>
    </w:p>
    <w:p w:rsidR="00000000" w:rsidDel="00000000" w:rsidP="00000000" w:rsidRDefault="00000000" w:rsidRPr="00000000" w14:paraId="00000017">
      <w:pPr>
        <w:numPr>
          <w:ilvl w:val="0"/>
          <w:numId w:val="14"/>
        </w:numPr>
        <w:ind w:left="720" w:hanging="360"/>
        <w:jc w:val="both"/>
        <w:rPr>
          <w:u w:val="none"/>
        </w:rPr>
      </w:pPr>
      <w:r w:rsidDel="00000000" w:rsidR="00000000" w:rsidRPr="00000000">
        <w:rPr>
          <w:rtl w:val="0"/>
        </w:rPr>
        <w:t xml:space="preserve">The temporal period is assigned in this column precisely as it's presented in the original data source document.</w:t>
      </w:r>
    </w:p>
    <w:p w:rsidR="00000000" w:rsidDel="00000000" w:rsidP="00000000" w:rsidRDefault="00000000" w:rsidRPr="00000000" w14:paraId="00000018">
      <w:pPr>
        <w:numPr>
          <w:ilvl w:val="0"/>
          <w:numId w:val="14"/>
        </w:numPr>
        <w:ind w:left="720" w:hanging="360"/>
        <w:jc w:val="both"/>
        <w:rPr>
          <w:u w:val="none"/>
        </w:rPr>
      </w:pPr>
      <w:r w:rsidDel="00000000" w:rsidR="00000000" w:rsidRPr="00000000">
        <w:rPr>
          <w:rtl w:val="0"/>
        </w:rPr>
        <w:t xml:space="preserve">Entries are only made in this column when the data source explicitly mentions this information.</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b w:val="1"/>
          <w:rtl w:val="0"/>
        </w:rPr>
        <w:t xml:space="preserve">AcquiredData</w:t>
      </w:r>
      <w:r w:rsidDel="00000000" w:rsidR="00000000" w:rsidRPr="00000000">
        <w:rPr>
          <w:rtl w:val="0"/>
        </w:rPr>
        <w:t xml:space="preserve">: The date when this specific piece of data was collected and subsequently recorded by us in the KG.</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b w:val="1"/>
          <w:rtl w:val="0"/>
        </w:rPr>
        <w:t xml:space="preserve">DataSourceDate</w:t>
      </w:r>
      <w:r w:rsidDel="00000000" w:rsidR="00000000" w:rsidRPr="00000000">
        <w:rPr>
          <w:rtl w:val="0"/>
        </w:rPr>
        <w:t xml:space="preserve">: Indicates the date when the data source was either originally published or most recently updated.</w:t>
      </w:r>
    </w:p>
    <w:p w:rsidR="00000000" w:rsidDel="00000000" w:rsidP="00000000" w:rsidRDefault="00000000" w:rsidRPr="00000000" w14:paraId="0000001D">
      <w:pPr>
        <w:numPr>
          <w:ilvl w:val="0"/>
          <w:numId w:val="13"/>
        </w:numPr>
        <w:ind w:left="720" w:hanging="360"/>
        <w:jc w:val="both"/>
        <w:rPr>
          <w:u w:val="none"/>
        </w:rPr>
      </w:pPr>
      <w:r w:rsidDel="00000000" w:rsidR="00000000" w:rsidRPr="00000000">
        <w:rPr>
          <w:rtl w:val="0"/>
        </w:rPr>
        <w:t xml:space="preserve">Entries are only made in this column when the data source explicitly mentions this information.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Township</w:t>
      </w:r>
      <w:r w:rsidDel="00000000" w:rsidR="00000000" w:rsidRPr="00000000">
        <w:rPr>
          <w:rtl w:val="0"/>
        </w:rPr>
        <w:t xml:space="preserve">: The smaller administrative division or locality where the monument is located.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Municipality</w:t>
      </w:r>
      <w:r w:rsidDel="00000000" w:rsidR="00000000" w:rsidRPr="00000000">
        <w:rPr>
          <w:rtl w:val="0"/>
        </w:rPr>
        <w:t xml:space="preserve">: The larger administrative division overseeing the township.</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 xml:space="preserve">Latitude &amp; Longitude:</w:t>
      </w:r>
      <w:r w:rsidDel="00000000" w:rsidR="00000000" w:rsidRPr="00000000">
        <w:rPr>
          <w:rtl w:val="0"/>
        </w:rPr>
        <w:t xml:space="preserve"> Geographic coordinates specifying the monument's location.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b w:val="1"/>
          <w:rtl w:val="0"/>
        </w:rPr>
        <w:t xml:space="preserve">Datum</w:t>
      </w:r>
      <w:r w:rsidDel="00000000" w:rsidR="00000000" w:rsidRPr="00000000">
        <w:rPr>
          <w:rtl w:val="0"/>
        </w:rPr>
        <w:t xml:space="preserve">: The reference base for the given geographic coordinates.</w:t>
      </w:r>
    </w:p>
    <w:p w:rsidR="00000000" w:rsidDel="00000000" w:rsidP="00000000" w:rsidRDefault="00000000" w:rsidRPr="00000000" w14:paraId="00000026">
      <w:pPr>
        <w:numPr>
          <w:ilvl w:val="0"/>
          <w:numId w:val="10"/>
        </w:numPr>
        <w:ind w:left="720" w:hanging="360"/>
        <w:rPr>
          <w:u w:val="none"/>
        </w:rPr>
      </w:pPr>
      <w:r w:rsidDel="00000000" w:rsidR="00000000" w:rsidRPr="00000000">
        <w:rPr>
          <w:rtl w:val="0"/>
        </w:rPr>
        <w:t xml:space="preserve">Entries are only made in this column when the data source explicitly mentions this information.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Scale</w:t>
      </w:r>
      <w:r w:rsidDel="00000000" w:rsidR="00000000" w:rsidRPr="00000000">
        <w:rPr>
          <w:rtl w:val="0"/>
        </w:rPr>
        <w:t xml:space="preserve">: Represents the proportion of the map to the ground or the scale of the map used.</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Entries are only made in this column when the data source explicitly mentions this information.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MeasurementUnit: </w:t>
      </w:r>
      <w:r w:rsidDel="00000000" w:rsidR="00000000" w:rsidRPr="00000000">
        <w:rPr>
          <w:rtl w:val="0"/>
        </w:rPr>
        <w:t xml:space="preserve">The unit in which dimensions are measured, e.g., meters, feet.</w:t>
      </w:r>
    </w:p>
    <w:p w:rsidR="00000000" w:rsidDel="00000000" w:rsidP="00000000" w:rsidRDefault="00000000" w:rsidRPr="00000000" w14:paraId="0000002C">
      <w:pPr>
        <w:numPr>
          <w:ilvl w:val="0"/>
          <w:numId w:val="8"/>
        </w:numPr>
        <w:ind w:left="720" w:hanging="360"/>
        <w:rPr>
          <w:u w:val="none"/>
        </w:rPr>
      </w:pPr>
      <w:r w:rsidDel="00000000" w:rsidR="00000000" w:rsidRPr="00000000">
        <w:rPr>
          <w:rtl w:val="0"/>
        </w:rPr>
        <w:t xml:space="preserve">While various units can be used, for this dataset we have standardized and opted for meters. However, the column retains the flexibility to accommodate other units if a non-standard entry arises.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b w:val="1"/>
          <w:rtl w:val="0"/>
        </w:rPr>
        <w:t xml:space="preserve">ChamberMaterial</w:t>
      </w:r>
      <w:r w:rsidDel="00000000" w:rsidR="00000000" w:rsidRPr="00000000">
        <w:rPr>
          <w:rtl w:val="0"/>
        </w:rPr>
        <w:t xml:space="preserve">: The material used in the construction of the chamber.</w:t>
      </w:r>
    </w:p>
    <w:p w:rsidR="00000000" w:rsidDel="00000000" w:rsidP="00000000" w:rsidRDefault="00000000" w:rsidRPr="00000000" w14:paraId="0000002F">
      <w:pPr>
        <w:numPr>
          <w:ilvl w:val="0"/>
          <w:numId w:val="9"/>
        </w:numPr>
        <w:ind w:left="720" w:hanging="360"/>
        <w:rPr/>
      </w:pPr>
      <w:r w:rsidDel="00000000" w:rsidR="00000000" w:rsidRPr="00000000">
        <w:rPr>
          <w:rtl w:val="0"/>
        </w:rPr>
        <w:t xml:space="preserve">Entries are only made in this column when the data source explicitly mentions this information.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 xml:space="preserve">ChamberPresence</w:t>
      </w:r>
      <w:r w:rsidDel="00000000" w:rsidR="00000000" w:rsidRPr="00000000">
        <w:rPr>
          <w:rtl w:val="0"/>
        </w:rPr>
        <w:t xml:space="preserve">: Denotes the presence of a chamber.</w:t>
      </w:r>
    </w:p>
    <w:p w:rsidR="00000000" w:rsidDel="00000000" w:rsidP="00000000" w:rsidRDefault="00000000" w:rsidRPr="00000000" w14:paraId="00000032">
      <w:pPr>
        <w:numPr>
          <w:ilvl w:val="0"/>
          <w:numId w:val="11"/>
        </w:numPr>
        <w:ind w:left="720" w:hanging="360"/>
        <w:jc w:val="both"/>
        <w:rPr>
          <w:u w:val="none"/>
        </w:rPr>
      </w:pPr>
      <w:r w:rsidDel="00000000" w:rsidR="00000000" w:rsidRPr="00000000">
        <w:rPr>
          <w:rtl w:val="0"/>
        </w:rPr>
        <w:t xml:space="preserve">This column was established to record the existence of a chamber when specifically mentioned in the data source. </w:t>
      </w:r>
    </w:p>
    <w:p w:rsidR="00000000" w:rsidDel="00000000" w:rsidP="00000000" w:rsidRDefault="00000000" w:rsidRPr="00000000" w14:paraId="00000033">
      <w:pPr>
        <w:numPr>
          <w:ilvl w:val="0"/>
          <w:numId w:val="11"/>
        </w:numPr>
        <w:ind w:left="720" w:hanging="360"/>
        <w:jc w:val="both"/>
        <w:rPr>
          <w:u w:val="none"/>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ChamberState</w:t>
      </w:r>
      <w:r w:rsidDel="00000000" w:rsidR="00000000" w:rsidRPr="00000000">
        <w:rPr>
          <w:rtl w:val="0"/>
        </w:rPr>
        <w:t xml:space="preserve">: Current condition or state of the chamber.</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b w:val="1"/>
          <w:rtl w:val="0"/>
        </w:rPr>
        <w:t xml:space="preserve">BurialMoundMeasureMethod </w:t>
      </w:r>
      <w:r w:rsidDel="00000000" w:rsidR="00000000" w:rsidRPr="00000000">
        <w:rPr>
          <w:rtl w:val="0"/>
        </w:rPr>
        <w:t xml:space="preserve">&amp; </w:t>
      </w:r>
      <w:r w:rsidDel="00000000" w:rsidR="00000000" w:rsidRPr="00000000">
        <w:rPr>
          <w:b w:val="1"/>
          <w:rtl w:val="0"/>
        </w:rPr>
        <w:t xml:space="preserve">CorridorMeasureMethod </w:t>
      </w:r>
      <w:r w:rsidDel="00000000" w:rsidR="00000000" w:rsidRPr="00000000">
        <w:rPr>
          <w:rtl w:val="0"/>
        </w:rPr>
        <w:t xml:space="preserve">&amp; </w:t>
      </w:r>
      <w:r w:rsidDel="00000000" w:rsidR="00000000" w:rsidRPr="00000000">
        <w:rPr>
          <w:b w:val="1"/>
          <w:rtl w:val="0"/>
        </w:rPr>
        <w:t xml:space="preserve">ChamberMeasureMethod</w:t>
      </w:r>
      <w:r w:rsidDel="00000000" w:rsidR="00000000" w:rsidRPr="00000000">
        <w:rPr>
          <w:rtl w:val="0"/>
        </w:rPr>
        <w:t xml:space="preserve">: The method used to measure the respective archaeological structures.</w:t>
      </w:r>
    </w:p>
    <w:p w:rsidR="00000000" w:rsidDel="00000000" w:rsidP="00000000" w:rsidRDefault="00000000" w:rsidRPr="00000000" w14:paraId="00000037">
      <w:pPr>
        <w:numPr>
          <w:ilvl w:val="0"/>
          <w:numId w:val="2"/>
        </w:numPr>
        <w:ind w:left="720" w:hanging="360"/>
        <w:jc w:val="both"/>
      </w:pPr>
      <w:r w:rsidDel="00000000" w:rsidR="00000000" w:rsidRPr="00000000">
        <w:rPr>
          <w:rtl w:val="0"/>
        </w:rPr>
        <w:t xml:space="preserve">Entries are only made in this column when the data source explicitly mentions this information.</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b w:val="1"/>
          <w:rtl w:val="0"/>
        </w:rPr>
        <w:t xml:space="preserve">Shape</w:t>
      </w:r>
      <w:r w:rsidDel="00000000" w:rsidR="00000000" w:rsidRPr="00000000">
        <w:rPr>
          <w:rtl w:val="0"/>
        </w:rPr>
        <w:t xml:space="preserve">: The shape or form of the chamber;</w:t>
      </w:r>
    </w:p>
    <w:p w:rsidR="00000000" w:rsidDel="00000000" w:rsidP="00000000" w:rsidRDefault="00000000" w:rsidRPr="00000000" w14:paraId="0000003A">
      <w:pPr>
        <w:numPr>
          <w:ilvl w:val="0"/>
          <w:numId w:val="3"/>
        </w:numPr>
        <w:ind w:left="720" w:hanging="360"/>
        <w:jc w:val="both"/>
      </w:pPr>
      <w:r w:rsidDel="00000000" w:rsidR="00000000" w:rsidRPr="00000000">
        <w:rPr>
          <w:rtl w:val="0"/>
        </w:rPr>
        <w:t xml:space="preserve">Entries are only made in this column when the data source explicitly mentions this information..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b w:val="1"/>
          <w:rtl w:val="0"/>
        </w:rPr>
        <w:t xml:space="preserve">Diameter</w:t>
      </w:r>
      <w:r w:rsidDel="00000000" w:rsidR="00000000" w:rsidRPr="00000000">
        <w:rPr>
          <w:rtl w:val="0"/>
        </w:rPr>
        <w:t xml:space="preserve">, </w:t>
      </w:r>
      <w:r w:rsidDel="00000000" w:rsidR="00000000" w:rsidRPr="00000000">
        <w:rPr>
          <w:b w:val="1"/>
          <w:rtl w:val="0"/>
        </w:rPr>
        <w:t xml:space="preserve">Length</w:t>
      </w:r>
      <w:r w:rsidDel="00000000" w:rsidR="00000000" w:rsidRPr="00000000">
        <w:rPr>
          <w:rtl w:val="0"/>
        </w:rPr>
        <w:t xml:space="preserve">, </w:t>
      </w:r>
      <w:r w:rsidDel="00000000" w:rsidR="00000000" w:rsidRPr="00000000">
        <w:rPr>
          <w:b w:val="1"/>
          <w:rtl w:val="0"/>
        </w:rPr>
        <w:t xml:space="preserve">width</w:t>
      </w:r>
      <w:r w:rsidDel="00000000" w:rsidR="00000000" w:rsidRPr="00000000">
        <w:rPr>
          <w:rtl w:val="0"/>
        </w:rPr>
        <w:t xml:space="preserve">, </w:t>
      </w:r>
      <w:r w:rsidDel="00000000" w:rsidR="00000000" w:rsidRPr="00000000">
        <w:rPr>
          <w:b w:val="1"/>
          <w:rtl w:val="0"/>
        </w:rPr>
        <w:t xml:space="preserve">eixoEW</w:t>
      </w:r>
      <w:r w:rsidDel="00000000" w:rsidR="00000000" w:rsidRPr="00000000">
        <w:rPr>
          <w:rtl w:val="0"/>
        </w:rPr>
        <w:t xml:space="preserve">, </w:t>
      </w:r>
      <w:r w:rsidDel="00000000" w:rsidR="00000000" w:rsidRPr="00000000">
        <w:rPr>
          <w:b w:val="1"/>
          <w:rtl w:val="0"/>
        </w:rPr>
        <w:t xml:space="preserve">eixoNS</w:t>
      </w:r>
      <w:r w:rsidDel="00000000" w:rsidR="00000000" w:rsidRPr="00000000">
        <w:rPr>
          <w:rtl w:val="0"/>
        </w:rPr>
        <w:t xml:space="preserve">, </w:t>
      </w:r>
      <w:r w:rsidDel="00000000" w:rsidR="00000000" w:rsidRPr="00000000">
        <w:rPr>
          <w:b w:val="1"/>
          <w:rtl w:val="0"/>
        </w:rPr>
        <w:t xml:space="preserve">HeightMin</w:t>
      </w:r>
      <w:r w:rsidDel="00000000" w:rsidR="00000000" w:rsidRPr="00000000">
        <w:rPr>
          <w:rtl w:val="0"/>
        </w:rPr>
        <w:t xml:space="preserve">, &amp; </w:t>
      </w:r>
      <w:r w:rsidDel="00000000" w:rsidR="00000000" w:rsidRPr="00000000">
        <w:rPr>
          <w:b w:val="1"/>
          <w:rtl w:val="0"/>
        </w:rPr>
        <w:t xml:space="preserve">HeightMax</w:t>
      </w:r>
      <w:r w:rsidDel="00000000" w:rsidR="00000000" w:rsidRPr="00000000">
        <w:rPr>
          <w:rtl w:val="0"/>
        </w:rPr>
        <w:t xml:space="preserve">: These are the dimensions pertaining to the monument's chamber. </w:t>
      </w:r>
    </w:p>
    <w:p w:rsidR="00000000" w:rsidDel="00000000" w:rsidP="00000000" w:rsidRDefault="00000000" w:rsidRPr="00000000" w14:paraId="0000003D">
      <w:pPr>
        <w:numPr>
          <w:ilvl w:val="0"/>
          <w:numId w:val="6"/>
        </w:numPr>
        <w:ind w:left="720" w:hanging="360"/>
        <w:rPr>
          <w:u w:val="none"/>
        </w:rPr>
      </w:pPr>
      <w:r w:rsidDel="00000000" w:rsidR="00000000" w:rsidRPr="00000000">
        <w:rPr>
          <w:rtl w:val="0"/>
        </w:rPr>
        <w:t xml:space="preserve">We have retained all types of measurements encountered in the source data and populate these fields precisely as they are referenced in the original data source.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b w:val="1"/>
          <w:rtl w:val="0"/>
        </w:rPr>
        <w:t xml:space="preserve">OrthostatInSitu </w:t>
      </w:r>
      <w:r w:rsidDel="00000000" w:rsidR="00000000" w:rsidRPr="00000000">
        <w:rPr>
          <w:rtl w:val="0"/>
        </w:rPr>
        <w:t xml:space="preserve">&amp; </w:t>
      </w:r>
      <w:r w:rsidDel="00000000" w:rsidR="00000000" w:rsidRPr="00000000">
        <w:rPr>
          <w:b w:val="1"/>
          <w:rtl w:val="0"/>
        </w:rPr>
        <w:t xml:space="preserve">OrthostatExSitu</w:t>
      </w:r>
      <w:r w:rsidDel="00000000" w:rsidR="00000000" w:rsidRPr="00000000">
        <w:rPr>
          <w:rtl w:val="0"/>
        </w:rPr>
        <w:t xml:space="preserve">: Information on the original and current positions of orthostats.</w:t>
      </w:r>
    </w:p>
    <w:p w:rsidR="00000000" w:rsidDel="00000000" w:rsidP="00000000" w:rsidRDefault="00000000" w:rsidRPr="00000000" w14:paraId="00000040">
      <w:pPr>
        <w:numPr>
          <w:ilvl w:val="0"/>
          <w:numId w:val="3"/>
        </w:numPr>
        <w:ind w:left="720" w:hanging="360"/>
        <w:jc w:val="both"/>
      </w:pPr>
      <w:r w:rsidDel="00000000" w:rsidR="00000000" w:rsidRPr="00000000">
        <w:rPr>
          <w:rtl w:val="0"/>
        </w:rPr>
        <w:t xml:space="preserve">Entries are only made in this column when the data source explicitly mentions this information..</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b w:val="1"/>
          <w:rtl w:val="0"/>
        </w:rPr>
        <w:t xml:space="preserve">CapstonePresence </w:t>
      </w:r>
      <w:r w:rsidDel="00000000" w:rsidR="00000000" w:rsidRPr="00000000">
        <w:rPr>
          <w:rtl w:val="0"/>
        </w:rPr>
        <w:t xml:space="preserve">&amp; </w:t>
      </w:r>
      <w:r w:rsidDel="00000000" w:rsidR="00000000" w:rsidRPr="00000000">
        <w:rPr>
          <w:b w:val="1"/>
          <w:rtl w:val="0"/>
        </w:rPr>
        <w:t xml:space="preserve">CapstoneState</w:t>
      </w:r>
      <w:r w:rsidDel="00000000" w:rsidR="00000000" w:rsidRPr="00000000">
        <w:rPr>
          <w:rtl w:val="0"/>
        </w:rPr>
        <w:t xml:space="preserve">: Presence and current condition of the capstone.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b w:val="1"/>
          <w:rtl w:val="0"/>
        </w:rPr>
        <w:t xml:space="preserve">CorridorPresence</w:t>
      </w:r>
      <w:r w:rsidDel="00000000" w:rsidR="00000000" w:rsidRPr="00000000">
        <w:rPr>
          <w:rtl w:val="0"/>
        </w:rPr>
        <w:t xml:space="preserve">, </w:t>
      </w:r>
      <w:r w:rsidDel="00000000" w:rsidR="00000000" w:rsidRPr="00000000">
        <w:rPr>
          <w:b w:val="1"/>
          <w:rtl w:val="0"/>
        </w:rPr>
        <w:t xml:space="preserve">CorridorOrthostats</w:t>
      </w:r>
      <w:r w:rsidDel="00000000" w:rsidR="00000000" w:rsidRPr="00000000">
        <w:rPr>
          <w:rtl w:val="0"/>
        </w:rPr>
        <w:t xml:space="preserve">, </w:t>
      </w:r>
      <w:r w:rsidDel="00000000" w:rsidR="00000000" w:rsidRPr="00000000">
        <w:rPr>
          <w:b w:val="1"/>
          <w:rtl w:val="0"/>
        </w:rPr>
        <w:t xml:space="preserve">CorridorOrthostatsSouth</w:t>
      </w:r>
      <w:r w:rsidDel="00000000" w:rsidR="00000000" w:rsidRPr="00000000">
        <w:rPr>
          <w:rtl w:val="0"/>
        </w:rPr>
        <w:t xml:space="preserve">, &amp; </w:t>
      </w:r>
      <w:r w:rsidDel="00000000" w:rsidR="00000000" w:rsidRPr="00000000">
        <w:rPr>
          <w:b w:val="1"/>
          <w:rtl w:val="0"/>
        </w:rPr>
        <w:t xml:space="preserve">CorridorOrthostatsNorth</w:t>
      </w:r>
      <w:r w:rsidDel="00000000" w:rsidR="00000000" w:rsidRPr="00000000">
        <w:rPr>
          <w:rtl w:val="0"/>
        </w:rPr>
        <w:t xml:space="preserve">: Details about the corridor and its orthostats.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b w:val="1"/>
          <w:rtl w:val="0"/>
        </w:rPr>
        <w:t xml:space="preserve">LengthCorridor</w:t>
      </w:r>
      <w:r w:rsidDel="00000000" w:rsidR="00000000" w:rsidRPr="00000000">
        <w:rPr>
          <w:rtl w:val="0"/>
        </w:rPr>
        <w:t xml:space="preserve">, </w:t>
      </w:r>
      <w:r w:rsidDel="00000000" w:rsidR="00000000" w:rsidRPr="00000000">
        <w:rPr>
          <w:b w:val="1"/>
          <w:rtl w:val="0"/>
        </w:rPr>
        <w:t xml:space="preserve">Height</w:t>
      </w:r>
      <w:r w:rsidDel="00000000" w:rsidR="00000000" w:rsidRPr="00000000">
        <w:rPr>
          <w:rtl w:val="0"/>
        </w:rPr>
        <w:t xml:space="preserve">, &amp; </w:t>
      </w:r>
      <w:r w:rsidDel="00000000" w:rsidR="00000000" w:rsidRPr="00000000">
        <w:rPr>
          <w:b w:val="1"/>
          <w:rtl w:val="0"/>
        </w:rPr>
        <w:t xml:space="preserve">widthMax</w:t>
      </w:r>
      <w:r w:rsidDel="00000000" w:rsidR="00000000" w:rsidRPr="00000000">
        <w:rPr>
          <w:rtl w:val="0"/>
        </w:rPr>
        <w:t xml:space="preserve">: Dimensions related to the corridor.</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b w:val="1"/>
          <w:rtl w:val="0"/>
        </w:rPr>
        <w:t xml:space="preserve">BurialMoundState </w:t>
      </w:r>
      <w:r w:rsidDel="00000000" w:rsidR="00000000" w:rsidRPr="00000000">
        <w:rPr>
          <w:rtl w:val="0"/>
        </w:rPr>
        <w:t xml:space="preserve">&amp; </w:t>
      </w:r>
      <w:r w:rsidDel="00000000" w:rsidR="00000000" w:rsidRPr="00000000">
        <w:rPr>
          <w:b w:val="1"/>
          <w:rtl w:val="0"/>
        </w:rPr>
        <w:t xml:space="preserve">BurialMoundPresence</w:t>
      </w:r>
      <w:r w:rsidDel="00000000" w:rsidR="00000000" w:rsidRPr="00000000">
        <w:rPr>
          <w:rtl w:val="0"/>
        </w:rPr>
        <w:t xml:space="preserve">: State and presence details of the burial mound.</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b w:val="1"/>
          <w:rtl w:val="0"/>
        </w:rPr>
        <w:t xml:space="preserve">DiameterBurialMound </w:t>
      </w:r>
      <w:r w:rsidDel="00000000" w:rsidR="00000000" w:rsidRPr="00000000">
        <w:rPr>
          <w:rtl w:val="0"/>
        </w:rPr>
        <w:t xml:space="preserve">&amp; </w:t>
      </w:r>
      <w:r w:rsidDel="00000000" w:rsidR="00000000" w:rsidRPr="00000000">
        <w:rPr>
          <w:b w:val="1"/>
          <w:rtl w:val="0"/>
        </w:rPr>
        <w:t xml:space="preserve">HeightBurialMound</w:t>
      </w:r>
      <w:r w:rsidDel="00000000" w:rsidR="00000000" w:rsidRPr="00000000">
        <w:rPr>
          <w:rtl w:val="0"/>
        </w:rPr>
        <w:t xml:space="preserve">: Dimensions of the burial mound.</w:t>
      </w:r>
    </w:p>
    <w:p w:rsidR="00000000" w:rsidDel="00000000" w:rsidP="00000000" w:rsidRDefault="00000000" w:rsidRPr="00000000" w14:paraId="0000004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right" w:leader="none" w:pos="9025.511811023624"/>
      </w:tabs>
      <w:spacing w:after="80" w:before="60" w:line="240" w:lineRule="auto"/>
    </w:pPr>
    <w:rPr>
      <w:b w:val="1"/>
    </w:rPr>
  </w:style>
  <w:style w:type="paragraph" w:styleId="Heading2">
    <w:name w:val="heading 2"/>
    <w:basedOn w:val="Normal"/>
    <w:next w:val="Normal"/>
    <w:pPr>
      <w:keepNext w:val="1"/>
      <w:keepLines w:val="1"/>
      <w:tabs>
        <w:tab w:val="right" w:leader="none" w:pos="9025.511811023624"/>
      </w:tabs>
    </w:pPr>
    <w:rPr>
      <w:b w:val="1"/>
    </w:rPr>
  </w:style>
  <w:style w:type="paragraph" w:styleId="Heading3">
    <w:name w:val="heading 3"/>
    <w:basedOn w:val="Normal"/>
    <w:next w:val="Normal"/>
    <w:pPr>
      <w:keepNext w:val="1"/>
      <w:keepLines w:val="1"/>
      <w:tabs>
        <w:tab w:val="right" w:leader="none" w:pos="9025.511811023624"/>
      </w:tabs>
      <w:spacing w:after="80" w:before="60" w:line="240" w:lineRule="auto"/>
    </w:pPr>
    <w:rPr>
      <w:b w:val="1"/>
    </w:rPr>
  </w:style>
  <w:style w:type="paragraph" w:styleId="Heading4">
    <w:name w:val="heading 4"/>
    <w:basedOn w:val="Normal"/>
    <w:next w:val="Normal"/>
    <w:pPr>
      <w:keepNext w:val="1"/>
      <w:keepLines w:val="1"/>
      <w:tabs>
        <w:tab w:val="right" w:leader="none" w:pos="9025.511811023624"/>
      </w:tabs>
      <w:spacing w:after="80" w:before="60" w:line="240" w:lineRule="auto"/>
    </w:pPr>
    <w:rPr>
      <w:b w:val="1"/>
    </w:rPr>
  </w:style>
  <w:style w:type="paragraph" w:styleId="Heading5">
    <w:name w:val="heading 5"/>
    <w:basedOn w:val="Normal"/>
    <w:next w:val="Normal"/>
    <w:pPr>
      <w:keepNext w:val="1"/>
      <w:keepLines w:val="1"/>
      <w:jc w:val="both"/>
    </w:pPr>
    <w:rPr>
      <w:b w:val="1"/>
    </w:rPr>
  </w:style>
  <w:style w:type="paragraph" w:styleId="Heading6">
    <w:name w:val="heading 6"/>
    <w:basedOn w:val="Normal"/>
    <w:next w:val="Normal"/>
    <w:pPr>
      <w:keepNext w:val="1"/>
      <w:keepLines w:val="1"/>
      <w:pBdr>
        <w:top w:color="auto" w:space="0" w:sz="0" w:val="none"/>
        <w:bottom w:color="auto" w:space="0" w:sz="0" w:val="none"/>
        <w:right w:color="auto" w:space="0" w:sz="0" w:val="none"/>
        <w:between w:color="auto" w:space="0" w:sz="0" w:val="none"/>
      </w:pBdr>
      <w:shd w:fill="ffffff" w:val="clear"/>
      <w:ind w:left="1080" w:hanging="360"/>
      <w:jc w:val="both"/>
    </w:pPr>
    <w:rPr>
      <w:b w:val="1"/>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