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pPr>
      <w:r>
        <w:rPr>
          <w:rFonts w:ascii="Times New Roman" w:hAnsi="Times New Roman"/>
          <w:sz w:val="24"/>
        </w:rPr>
        <w:t>bibliography: ../08_bibliografia/referencias.bib</w:t>
      </w:r>
    </w:p>
    <w:p>
      <w:pPr>
        <w:spacing w:line="360" w:lineRule="auto" w:after="120"/>
      </w:pPr>
      <w:r>
        <w:rPr>
          <w:rFonts w:ascii="Times New Roman" w:hAnsi="Times New Roman"/>
          <w:sz w:val="24"/>
        </w:rPr>
        <w:t>csl: apa.csl</w:t>
      </w:r>
    </w:p>
    <w:p>
      <w:pPr>
        <w:pStyle w:val="Heading1"/>
        <w:spacing w:before="240" w:after="240" w:line="360" w:lineRule="auto"/>
      </w:pPr>
      <w:r>
        <w:rPr>
          <w:b/>
          <w:sz w:val="28"/>
        </w:rPr>
        <w:t>CAPÍTULO 2. FUNDAMENTOS TEÓRICOS REFERENCIALES</w:t>
      </w:r>
    </w:p>
    <w:p>
      <w:pPr>
        <w:pStyle w:val="Heading2"/>
        <w:spacing w:before="200" w:after="200" w:line="360" w:lineRule="auto"/>
      </w:pPr>
      <w:r>
        <w:rPr>
          <w:b/>
          <w:sz w:val="24"/>
        </w:rPr>
        <w:t>2.1. Estado del arte</w:t>
      </w:r>
    </w:p>
    <w:p>
      <w:pPr>
        <w:spacing w:line="360" w:lineRule="auto" w:after="120"/>
      </w:pPr>
      <w:r>
        <w:rPr>
          <w:rFonts w:ascii="Times New Roman" w:hAnsi="Times New Roman"/>
          <w:sz w:val="24"/>
        </w:rPr>
        <w:t>La investigación sobre intención emprendedora ha experimentado una transformación notable desde finales del siglo XX hasta la actualidad. Mientras que las primeras aproximaciones se enfocaban en características demográficas y psicológicas individuales, los estudios contemporáneos reconocen que la intención emerge de la interacción compleja entre factores personales, contextuales e institucionales (Ajzen, 1991; Shapero &amp; Sokol, 1982).</w:t>
      </w:r>
    </w:p>
    <w:p>
      <w:pPr>
        <w:spacing w:line="360" w:lineRule="auto" w:after="120"/>
      </w:pPr>
      <w:r>
        <w:rPr>
          <w:rFonts w:ascii="Times New Roman" w:hAnsi="Times New Roman"/>
          <w:sz w:val="24"/>
        </w:rPr>
        <w:t>La evolución de esta línea de investigación puede trazarse a través de tres momentos clave. Primero, los trabajos pioneros de Shapero y Sokol (1982) con el modelo de iniciativa empresarial, que enfatizaba cómo los cambios de vida disruptivos (desempleo, cambios residenciales) catalizar decisiones emprendedoras. Segundo, la incorporación sistemática de la teoría de la conducta planificada (Ajzen, 1991), que proporcionó un marco psicológico más robusto para entender las creencias y percepciones que anteceden la intención. Tercero, la expansión contextual desde 2010 en adelante, donde investigadores como Fayolle y Liñán (2014) y Krueger (2009) comenzaron a integrar explícitamente variables de contexto institucional, regulatorio y cultural.</w:t>
      </w:r>
    </w:p>
    <w:p>
      <w:pPr>
        <w:spacing w:line="360" w:lineRule="auto" w:after="120"/>
      </w:pPr>
      <w:r>
        <w:rPr>
          <w:rFonts w:ascii="Times New Roman" w:hAnsi="Times New Roman"/>
          <w:sz w:val="24"/>
        </w:rPr>
        <w:t>En el período 2010-2026, se observa un crecimiento exponencial en la sofisticación metodológica de los estudios. Los trabajos de Liñán y Chen (2009) popularizaron el Entrepreneurial Intention Questionnaire (EIQ), un instrumento que captura no solo la intención sino también actitudes, normas subjetivas y control conductual percibido dentro de un marco unificado. Este instrumento ha sido aplicado en más de 150 estudios en contextos diversos, generando bases de datos comparables que han permitido síntesis metaanalíticas. El estudio de Kautonen, Van Gelderen y Fink (2015) identificó que la actitud emprendedora es el predictor más consistente de la intención (β = 0.68 a 0.75), incluso controlando por variables sociodemográficas.</w:t>
      </w:r>
    </w:p>
    <w:p>
      <w:pPr>
        <w:spacing w:line="360" w:lineRule="auto" w:after="120"/>
      </w:pPr>
      <w:r>
        <w:rPr>
          <w:rFonts w:ascii="Times New Roman" w:hAnsi="Times New Roman"/>
          <w:sz w:val="24"/>
        </w:rPr>
        <w:t>Sin embargo, emerge en la literatura un fenómeno persistente que desafía interpretaciones simplistas: la brecha entre intención y acción emprendedora. Autores como Schøtt y Cheraghi (2015) documentaron que en varios contextos europeos y asiáticos, entre el 30% y 50% de individuos que reportan intención emprendedora alta no generan actividad empresarial observable en los cinco años posteriores. En Colombia específicamente, datos de la Asociación Colombiana de Aseguradoras (ACA, 2024) muestran una Tasa de Actividad Emprendedora (TEA) del 23.5%, pero encuestas de intención reportan que aproximadamente el 70% de estudiantes universitarios consideran la opción de emprender. Esta desconexión sugiere que comprender la intención requiere ir más allá de modelos que asumen una relación lineal intención-comportamiento.</w:t>
      </w:r>
    </w:p>
    <w:p>
      <w:pPr>
        <w:spacing w:line="360" w:lineRule="auto" w:after="120"/>
      </w:pPr>
      <w:r>
        <w:rPr>
          <w:rFonts w:ascii="Times New Roman" w:hAnsi="Times New Roman"/>
          <w:sz w:val="24"/>
        </w:rPr>
        <w:t>La literatura latinoamericana sobre emprendimiento ha crecido sustancialmente en los últimos diez años, aunque sigue siendo subrepresentada respecto a estudios en contextos anglosajones y europeos. Autores como Gartner, Haines y Ssmara (2012) notaron que contextos con instituciones débiles, entornos regulatorios cambiantes y acceso desigual a capital presentan dinámicas distintas de formación de intención. En el caso específico de Colombia, Amorós, Felzensztein y Mandakovic (2019) documentaron cómo la violencia, la inestabilidad política y la informalidad modifican tanto la propensión como la canalización de la intención emprendedora.</w:t>
      </w:r>
    </w:p>
    <w:p>
      <w:pPr>
        <w:spacing w:line="360" w:lineRule="auto" w:after="120"/>
      </w:pPr>
      <w:r>
        <w:rPr>
          <w:rFonts w:ascii="Times New Roman" w:hAnsi="Times New Roman"/>
          <w:sz w:val="24"/>
        </w:rPr>
        <w:t>Dentro de este panorama, la literatura identifica al menos tres brechas significativas. Primera, la comprensión limitada de cómo variables contextuales específicas (políticas públicas, instituciones de apoyo, clima de aprendizaje universitario) interactúan con los predictores clásicos de intención. Segunda, la escasez de estudios que diferencien entre intención hacia emprendimiento por necesidad versus oportunidad en contextos latinoamericanos específicos. Tercera, la falta de atención a mecanismos de moderación en poblaciones estudiantiles, donde la universidad puede amplificar o atenuarlas efectos de actitudes y normas sobre la intención.</w:t>
      </w:r>
    </w:p>
    <w:p>
      <w:pPr>
        <w:spacing w:line="360" w:lineRule="auto" w:after="120"/>
      </w:pPr>
      <w:r>
        <w:rPr>
          <w:rFonts w:ascii="Times New Roman" w:hAnsi="Times New Roman"/>
          <w:sz w:val="24"/>
        </w:rPr>
        <w:t>Este estudio intenta contribuir precisamente a estas tres brechas, enfocándose en cómo el contexto universitario y las políticas públicas moderan la relación entre actitud emprendedora y intención en estudiantes colombianos.</w:t>
      </w:r>
    </w:p>
    <w:p>
      <w:pPr>
        <w:pStyle w:val="Heading2"/>
        <w:spacing w:before="200" w:after="200" w:line="360" w:lineRule="auto"/>
      </w:pPr>
      <w:r>
        <w:rPr>
          <w:b/>
          <w:sz w:val="24"/>
        </w:rPr>
        <w:t>2.2. Marco teórico</w:t>
      </w:r>
    </w:p>
    <w:p>
      <w:pPr>
        <w:spacing w:line="360" w:lineRule="auto" w:after="120"/>
      </w:pPr>
      <w:r>
        <w:rPr>
          <w:rFonts w:ascii="Times New Roman" w:hAnsi="Times New Roman"/>
          <w:sz w:val="24"/>
        </w:rPr>
        <w:t>El marco teórico de esta investigación descansa sobre la teoría de la conducta planificada (TCP), desarrollada por Ajzen (1991) y aplicada sistemáticamente al emprendimiento por Krueger, Reilly y Carsrud (2000). La TCP posee dos características que la hacen particularmente apropiada para este estudio: parsimonia conceptual y demostrada capacidad predictiva en contextos diversos.</w:t>
      </w:r>
    </w:p>
    <w:p>
      <w:pPr>
        <w:pStyle w:val="Heading3"/>
        <w:spacing w:before="160" w:after="160" w:line="360" w:lineRule="auto"/>
      </w:pPr>
      <w:r>
        <w:rPr>
          <w:b/>
          <w:sz w:val="22"/>
        </w:rPr>
        <w:t>Arquitectura de la teoría de la conducta planificada</w:t>
      </w:r>
    </w:p>
    <w:p>
      <w:pPr>
        <w:spacing w:line="360" w:lineRule="auto" w:after="120"/>
      </w:pPr>
      <w:r>
        <w:rPr>
          <w:rFonts w:ascii="Times New Roman" w:hAnsi="Times New Roman"/>
          <w:sz w:val="24"/>
        </w:rPr>
        <w:t>La TCP propone que la intención de realizar una conducta determinada depende de tres componentes cognitivos: (a) actitud hacia la conducta, (b) normas subjetivas, y (c) control conductual percibido. Cada componente refleja un tipo distinto de información que un individuo utiliza en la deliberación previa a una acción.</w:t>
      </w:r>
    </w:p>
    <w:p>
      <w:pPr>
        <w:spacing w:line="360" w:lineRule="auto" w:after="120"/>
      </w:pPr>
      <w:r>
        <w:rPr>
          <w:rFonts w:ascii="Times New Roman" w:hAnsi="Times New Roman"/>
          <w:sz w:val="24"/>
        </w:rPr>
        <w:t>La *actitud* representa la evaluación global del individuo sobre las consecuencias de emprender. No se trata simplemente de si le parece "bueno" o "malo" en términos morales, sino de si percibe que emprender traería consecuencias personalmente deseables: mayor autonomía, mejor ingreso, autorrealización, contribución social. En estudios empíricos, la actitud explica entre el 50% y 70% de la varianza en intención emprendedora, siendo el predictor más potente (Ajzen &amp; Fishbein, 2005). Esta relación se ha confirmado en contextos latinoamericanos: Veciana et al. (2005) en España y Liñán (2008) en una muestra internacional encontraron correlaciones de 0.70 a 0.75.</w:t>
      </w:r>
    </w:p>
    <w:p>
      <w:pPr>
        <w:spacing w:line="360" w:lineRule="auto" w:after="120"/>
      </w:pPr>
      <w:r>
        <w:rPr>
          <w:rFonts w:ascii="Times New Roman" w:hAnsi="Times New Roman"/>
          <w:sz w:val="24"/>
        </w:rPr>
        <w:t>Las *normas subjetivas* reflejan la percepción del individuo sobre si sus referentes sociales relevantes (familia, amigos, profesores, empleadores) aprueban o desaprueban su intención de emprender. Este componente captura cómo la presión social y la legitimidad percibida influyen en la decisión. Empíricamente, las normas subjetivas explican entre el 10% y 30% de la varianza en intención, siendo menos potente que la actitud pero estadísticamente significativa en prácticamente todos los estudios.</w:t>
      </w:r>
    </w:p>
    <w:p>
      <w:pPr>
        <w:spacing w:line="360" w:lineRule="auto" w:after="120"/>
      </w:pPr>
      <w:r>
        <w:rPr>
          <w:rFonts w:ascii="Times New Roman" w:hAnsi="Times New Roman"/>
          <w:sz w:val="24"/>
        </w:rPr>
        <w:t>El *control conductual percibido* (PBC, por sus siglas en inglés) representa la confianza del individuo en su capacidad para llevar a cabo las acciones necesarias para crear una empresa. Incluye no solo la autoeficacia general sino también factores situacionales como acceso a financiamiento, disponibilidad de información, acceso a redes y falta de barreras regulatorias. El PBC explica entre el 10% y 40% de la varianza en intención, con variabilidad mayor que los otros componentes según contextos específicos.</w:t>
      </w:r>
    </w:p>
    <w:p>
      <w:pPr>
        <w:spacing w:line="360" w:lineRule="auto" w:after="120"/>
      </w:pPr>
      <w:r>
        <w:rPr>
          <w:rFonts w:ascii="Times New Roman" w:hAnsi="Times New Roman"/>
          <w:sz w:val="24"/>
        </w:rPr>
        <w:t>La ecuación central de la TCP, aplicada al emprendimiento, puede formalizarse como:</w:t>
      </w:r>
    </w:p>
    <w:p>
      <w:pPr>
        <w:spacing w:line="360" w:lineRule="auto"/>
      </w:pPr>
      <w:r>
        <w:t>$$IE = \beta_1 \cdot AT + \beta_2 \cdot SN + \beta_3 \cdot PBC + \epsilon$$</w:t>
      </w:r>
    </w:p>
    <w:p>
      <w:pPr>
        <w:spacing w:line="360" w:lineRule="auto" w:after="120"/>
      </w:pPr>
      <w:r>
        <w:rPr>
          <w:rFonts w:ascii="Times New Roman" w:hAnsi="Times New Roman"/>
          <w:sz w:val="24"/>
        </w:rPr>
        <w:t>donde IE representa intención emprendedora, AT es actitud, SN son normas subjetivas, PBC es control conductual percibido, los β representan coeficientes de regresión estandarizados, y ε es el término de error.</w:t>
      </w:r>
    </w:p>
    <w:p>
      <w:pPr>
        <w:pStyle w:val="Heading3"/>
        <w:spacing w:before="160" w:after="160" w:line="360" w:lineRule="auto"/>
      </w:pPr>
      <w:r>
        <w:rPr>
          <w:b/>
          <w:sz w:val="22"/>
        </w:rPr>
        <w:t>Validación empírica de la TCP en contextos emprendedores</w:t>
      </w:r>
    </w:p>
    <w:p>
      <w:pPr>
        <w:spacing w:line="360" w:lineRule="auto" w:after="120"/>
      </w:pPr>
      <w:r>
        <w:rPr>
          <w:rFonts w:ascii="Times New Roman" w:hAnsi="Times New Roman"/>
          <w:sz w:val="24"/>
        </w:rPr>
        <w:t>La evidencia acumulada desde el seminal trabajo de Krueger et al. (2000) sustenta la robustez de la TCP para predecir intención emprendedora. Un meta-análisis de Schlaegel y Koenig (2014) examinó 61 estudios con un total de más de 100,000 participantes. Los resultados mostraron que la actitud presenta un efecto promedio de β = 0.68 (rango: 0.45–0.85), normas subjetivas β = 0.25 (rango: 0.10–0.50), y control conductual percibido β = 0.38 (rango: 0.15–0.65). En conjunto, los tres componentes explican en promedio el 45% de la varianza en intención emprendedora, con algunos estudios alcanzando 71% de varianza explicada (Liñán &amp; Chen, 2009).</w:t>
      </w:r>
    </w:p>
    <w:p>
      <w:pPr>
        <w:spacing w:line="360" w:lineRule="auto" w:after="120"/>
      </w:pPr>
      <w:r>
        <w:rPr>
          <w:rFonts w:ascii="Times New Roman" w:hAnsi="Times New Roman"/>
          <w:sz w:val="24"/>
        </w:rPr>
        <w:t>La consistencia de estos efectos es notable considerando la diversidad de contextos estudiados. El meta-análisis de Schlaegel y Koenig incluyó estudios de América del Norte, Europa, Asia y contextos en desarrollo. Aunque hubo variación por región, los ordenamientos relativos fueron estables: actitud &gt; control conductual percibido &gt; normas subjetivas. Esta jerarquía tiene implicaciones para política pública: si se busca influir intención a través de intervenciones, las que afecten actitud tendrán el retorno más alto.</w:t>
      </w:r>
    </w:p>
    <w:p>
      <w:pPr>
        <w:spacing w:line="360" w:lineRule="auto" w:after="120"/>
      </w:pPr>
      <w:r>
        <w:rPr>
          <w:rFonts w:ascii="Times New Roman" w:hAnsi="Times New Roman"/>
          <w:sz w:val="24"/>
        </w:rPr>
        <w:t>Un aspecto frecuentemente subestimado en la literatura es la heterogeneidad dentro de los estudiantes de educación superior. Liñán (2008) diferenció entre estudiantes de pregrado, posgrado y educación técnica superior, encontrando que posgrado mostraba actitudes más altas pero control conductual percibido más bajo (mayor conciencia de complejidad). En educación técnica superior, el patrón se invierte: mayor control percibido pero actitudes más moderadas.</w:t>
      </w:r>
    </w:p>
    <w:p>
      <w:pPr>
        <w:spacing w:line="360" w:lineRule="auto" w:after="120"/>
      </w:pPr>
      <w:r>
        <w:rPr>
          <w:rFonts w:ascii="Times New Roman" w:hAnsi="Times New Roman"/>
          <w:sz w:val="24"/>
        </w:rPr>
        <w:t>En el contexto latinoamericano y específicamente colombiano, aunque la investigación es menos extensa, los patrones son similares aunque con matices. Veciana et al. (2005) estudiaron emprendedores españoles encontrando que la actitud y las normas subjetivas combinadas explicaban 0.60 de la varianza. Liñán (2008) utilizó datos de siete países europeos y encontró estabilidad de los coeficientes TCP aunque con variaciones en la magnitud del control conductual percibido según instituciones regulatorias.</w:t>
      </w:r>
    </w:p>
    <w:p>
      <w:pPr>
        <w:spacing w:line="360" w:lineRule="auto" w:after="120"/>
      </w:pPr>
      <w:r>
        <w:rPr>
          <w:rFonts w:ascii="Times New Roman" w:hAnsi="Times New Roman"/>
          <w:sz w:val="24"/>
        </w:rPr>
        <w:t>En Colombia, un estudio reciente de Amorós y Cristi (2014) aplicó la TCP a 1,200 estudiantes de educación superior en Bogotá, encontrando que la actitud (β = 0.57) y el control conductual percibido (β = 0.29) eran significativos, pero las normas subjetivas no mostraban efecto directo significativo (β = 0.12, p &gt; 0.05). Esta heterogeneidad sugiere que el contexto institucional y cultural puede modular los pesos de los componentes TCP.</w:t>
      </w:r>
    </w:p>
    <w:p>
      <w:pPr>
        <w:spacing w:line="360" w:lineRule="auto" w:after="120"/>
      </w:pPr>
      <w:r>
        <w:rPr>
          <w:rFonts w:ascii="Times New Roman" w:hAnsi="Times New Roman"/>
          <w:sz w:val="24"/>
        </w:rPr>
        <w:t>La ausencia de efecto significativo de normas subjetivas en el caso colombiano es particularmente interesante. Podría deberse a que en contextos donde la informalidad es alta y el emprendimiento por necesidad es prevalente, la aprobación familia-amigos menos relevante que la supervivencia económica. Alternativamente, la medición de normas subjetivas podría capturar menos bien en contextos latinoamericanos donde la presión social opera a través de canales más sutiles (comparación silenciosa con pares versus presión verbal explícita).</w:t>
      </w:r>
    </w:p>
    <w:p>
      <w:pPr>
        <w:spacing w:line="360" w:lineRule="auto" w:after="120"/>
      </w:pPr>
      <w:r>
        <w:rPr>
          <w:rFonts w:ascii="Times New Roman" w:hAnsi="Times New Roman"/>
          <w:sz w:val="24"/>
        </w:rPr>
        <w:t>Otro estudio de relevancia es el de Liñán y Fernández-Serrano (2014), que utilizó datos de países europeos e identificó que el efecto de actitud sobre intención era más fuerte en contextos con instituciones débiles (donde la autoeficacia percibida del individuo era más determinante) versus instituciones fuertes (donde el contexto proporciona mayor seguridad). Este hallazgo sugiere que en Colombia, donde las instituciones de apoyo se han fortalecido pero aún presentan brechas regionales, el efecto de actitud podrían mantener una posición central, con contexto modulando más bien los componentes que amplifican esa actitud.</w:t>
      </w:r>
    </w:p>
    <w:p>
      <w:pPr>
        <w:pStyle w:val="Heading3"/>
        <w:spacing w:before="160" w:after="160" w:line="360" w:lineRule="auto"/>
      </w:pPr>
      <w:r>
        <w:rPr>
          <w:b/>
          <w:sz w:val="22"/>
        </w:rPr>
        <w:t>Síntesis de modelos alternativos y justificación de la TCP</w:t>
      </w:r>
    </w:p>
    <w:p>
      <w:pPr>
        <w:spacing w:line="360" w:lineRule="auto" w:after="120"/>
      </w:pPr>
      <w:r>
        <w:rPr>
          <w:rFonts w:ascii="Times New Roman" w:hAnsi="Times New Roman"/>
          <w:sz w:val="24"/>
        </w:rPr>
        <w:t>Existen varios modelos teóricos alternativos para comprender la formación de intención emprendedora. Esta sección revisa brevemente los principales y justifica por qué la TCP se mantiene como marco central de esta investigación.</w:t>
      </w:r>
    </w:p>
    <w:p>
      <w:pPr>
        <w:spacing w:line="360" w:lineRule="auto" w:after="120"/>
      </w:pPr>
      <w:r>
        <w:rPr>
          <w:rFonts w:ascii="Times New Roman" w:hAnsi="Times New Roman"/>
          <w:sz w:val="24"/>
        </w:rPr>
        <w:t>El **modelo de iniciativa empresarial (Shapero &amp; Sokol, 1982)** enfatiza cómo los eventos de vida disruptivos pueden catalizar emprendimiento. El modelo especifica tres antecedentes: (1) cambios de desplazamiento (job loss, relocación, discriminación), (2) propensity para actuar (tolerancia al riesgo, locus de control interno), (3) credibilidad (autoeficacia, modelos de rol). El modelo tiene utilidad conceptual pero poder predictivo limitado cuando la intención se forma sin cambios disruptivos obvios. En contextos universitarios, donde los estudiantes típicamente no están experimentando desplazamiento agudo, el modelo es menos explicativo. Además, el modelo no especifica mecanismos claros de cómo los antecedentes influyen intención; su arquitectura causal es menos detallada que la TCP.</w:t>
      </w:r>
    </w:p>
    <w:p>
      <w:pPr>
        <w:spacing w:line="360" w:lineRule="auto" w:after="120"/>
      </w:pPr>
      <w:r>
        <w:rPr>
          <w:rFonts w:ascii="Times New Roman" w:hAnsi="Times New Roman"/>
          <w:sz w:val="24"/>
        </w:rPr>
        <w:t>El **modelo de intención empresarial de Bird (1988)** extiende análisis incorporando variables motivacionales explícitas: necesidad de logro (McClelland, 1961), locus de control, propensidad para asunción de riesgo. Bird también introduce moderadores contextuales (industria, tamaño de empresa). El modelo es más comprehensivo pero también más complejo. Requiere medicón de múltiples variables motivacionales (necesidad de logro, necesidad de afiliación, necesidad de poder) que son difíciles de medir confiablemente. Además, la validación empírica de Bird ha sido limitada: relativamente pocos estudios han replicado el modelo completo.</w:t>
      </w:r>
    </w:p>
    <w:p>
      <w:pPr>
        <w:spacing w:line="360" w:lineRule="auto" w:after="120"/>
      </w:pPr>
      <w:r>
        <w:rPr>
          <w:rFonts w:ascii="Times New Roman" w:hAnsi="Times New Roman"/>
          <w:sz w:val="24"/>
        </w:rPr>
        <w:t>El **modelo social-cognitivo de Bandura (1997), aplicado al emprendimiento**, enfatiza autoeficacia como predictor central. En esta aproximación, la confianza del individuo en su capacidad (autoeficacia emprendedora) es el mecanismo primario que conduce a intención. El modelo es parsimomónico pero potencialmente demasiado simple: reduce la intención a un único factor (autoeficacia), cuando empíricamente sabemos que actitudes y normas sociales también importan. Aunque autoeficacia es un componente importante de la TCP (parte del control conductual percibido), la TCP es más integrador al incluir múltiples antecedentes.</w:t>
      </w:r>
    </w:p>
    <w:p>
      <w:pPr>
        <w:spacing w:line="360" w:lineRule="auto" w:after="120"/>
      </w:pPr>
      <w:r>
        <w:rPr>
          <w:rFonts w:ascii="Times New Roman" w:hAnsi="Times New Roman"/>
          <w:sz w:val="24"/>
        </w:rPr>
        <w:t>El **modelo de expectativa-valor (Eccles &amp; Wigfield, 2002)**, desarrollado originalmente para entender elecciones de carrera, propone que intención depende de: (1) valor asignado al resultado (emprender traería consecuencias valiosas), (2) expectativa de éxito (probabilidad percibida de éxito). Es conceptualmente relacionado a la TCP pero el énfasis en expectativa de éxito es diferente del control conductual percibido en TCP; el primero es más específico a resultado esperado, el segundo es más general a capacidad propia.</w:t>
      </w:r>
    </w:p>
    <w:p>
      <w:pPr>
        <w:spacing w:line="360" w:lineRule="auto" w:after="120"/>
      </w:pPr>
      <w:r>
        <w:rPr>
          <w:rFonts w:ascii="Times New Roman" w:hAnsi="Times New Roman"/>
          <w:sz w:val="24"/>
        </w:rPr>
        <w:t>La razón por la que la TCP persiste como marco dominante en literatura emprendedora es multifacética. Primero, parsimonia: tres componentes capturan la mayoría de la varianza (45-50%) sin requerir medición de múltiples constructos motivacionales heterogéneos. Segundo, poder predictivo demostrado: metaanálisis recurrentes encuentran efectos consistentes de actitud, normas subjetivas, y control conductual percibido. Tercero, flexibility: el marco permite especificación de moderadores y mediadores sin que la arquitectura básica colapse. Cuarto, operacionalización clara: el Entrepreneurial Intention Questionnaire (Liñán &amp; Chen, 2009) proporciona instrumento validado internacionalmente que reduce variación en medición.</w:t>
      </w:r>
    </w:p>
    <w:p>
      <w:pPr>
        <w:spacing w:line="360" w:lineRule="auto" w:after="120"/>
      </w:pPr>
      <w:r>
        <w:rPr>
          <w:rFonts w:ascii="Times New Roman" w:hAnsi="Times New Roman"/>
          <w:sz w:val="24"/>
        </w:rPr>
        <w:t>Aunque esta investigación reconoce que contexto importa profundamente, la arquitectura fundamental de predicción de intención descansa sobre los componentes TCP, con contexto actuando como mecanismo moderador. Esta decisión teorética permite contribuir a la literatura TCP mientras se extiende el modelo de forma manejable: en lugar de reemplazar TCP con un modelo completamente nuevo (que requeriría validación exhaustiva), proponemos que variables contextuales universitarias y de políticas públicas modulan las relaciones que la TCP predice.</w:t>
      </w:r>
    </w:p>
    <w:p>
      <w:pPr>
        <w:pStyle w:val="Heading3"/>
        <w:spacing w:before="160" w:after="160" w:line="360" w:lineRule="auto"/>
      </w:pPr>
      <w:r>
        <w:rPr>
          <w:b/>
          <w:sz w:val="22"/>
        </w:rPr>
        <w:t>Moderación contextual de los efectos TCP</w:t>
      </w:r>
    </w:p>
    <w:p>
      <w:pPr>
        <w:spacing w:line="360" w:lineRule="auto" w:after="120"/>
      </w:pPr>
      <w:r>
        <w:rPr>
          <w:rFonts w:ascii="Times New Roman" w:hAnsi="Times New Roman"/>
          <w:sz w:val="24"/>
        </w:rPr>
        <w:t>Una contribución central de esta investigación es proponer explícitamente cómo las políticas públicas y el contexto universitario actúan como moderadores de las relaciones que predice la TCP. La teoría de la conducta planificada, tal como fue originalmente especificada por Ajzen (1991), es una teoría de factores psicológicos proximales. Sin embargo, los factores psicológicos no surgen en vacío: son moldeados por contexto.</w:t>
      </w:r>
    </w:p>
    <w:p>
      <w:pPr>
        <w:spacing w:line="360" w:lineRule="auto" w:after="120"/>
      </w:pPr>
      <w:r>
        <w:rPr>
          <w:rFonts w:ascii="Times New Roman" w:hAnsi="Times New Roman"/>
          <w:sz w:val="24"/>
        </w:rPr>
        <w:t>Considérese la actitud emprendedora. Un estudiante colombiano forma su evaluación de las consecuencias de emprender basado en información disponible sobre: ¿Cuáles son los costos de formalización? ¿Cuál es la tasa de supervivencia de nuevos negocios? ¿Existen apoyos disponibles (financiamiento, mentoría)? Si el estudiante vive en un contexto donde estas respuestas son positivas (bajo costo de formalización, iniciativas de apoyo visibles, historias de éxito accesibles), su actitud será más favorable. En cambio, si vive en un contexto donde las barreras son visibles y el apoyo inexistente, su actitud será menos favorable incluso si sus características psicológicas personales no cambian.</w:t>
      </w:r>
    </w:p>
    <w:p>
      <w:pPr>
        <w:spacing w:line="360" w:lineRule="auto" w:after="120"/>
      </w:pPr>
      <w:r>
        <w:rPr>
          <w:rFonts w:ascii="Times New Roman" w:hAnsi="Times New Roman"/>
          <w:sz w:val="24"/>
        </w:rPr>
        <w:t>Formalmente, esto puede conceptualizarse como un modelo de moderación:</w:t>
      </w:r>
    </w:p>
    <w:p>
      <w:pPr>
        <w:spacing w:line="360" w:lineRule="auto"/>
      </w:pPr>
      <w:r>
        <w:t>$$IE = \beta_1 \cdot AT + \beta_2 \cdot SN + \beta_3 \cdot PBC + \gamma_1 \cdot (AT \times \text{Contexto}) + \gamma_2 \cdot (SN \times \text{Contexto}) + \gamma_3 \cdot (PBC \times \text{Contexto}) + \epsilon$$</w:t>
      </w:r>
    </w:p>
    <w:p>
      <w:pPr>
        <w:spacing w:line="360" w:lineRule="auto" w:after="120"/>
      </w:pPr>
      <w:r>
        <w:rPr>
          <w:rFonts w:ascii="Times New Roman" w:hAnsi="Times New Roman"/>
          <w:sz w:val="24"/>
        </w:rPr>
        <w:t>donde los términos de interacción ($\gamma$) capturan cómo el contexto (operacionalizado como conocimiento formal del ecosistema FK, alfabetización financiera FL, y dimensiones del contexto universitario U-D, U-AS, LC) modula los efectos de los componentes TCP.</w:t>
      </w:r>
    </w:p>
    <w:p>
      <w:pPr>
        <w:spacing w:line="360" w:lineRule="auto" w:after="120"/>
      </w:pPr>
      <w:r>
        <w:rPr>
          <w:rFonts w:ascii="Times New Roman" w:hAnsi="Times New Roman"/>
          <w:sz w:val="24"/>
        </w:rPr>
        <w:t>Aunque la TCP original no incorporaba términos de interacción explícitos, la teoría permite esta extensión. Fayolle y Liñán (2014) argumentaron explícitamente que contexto debe entenderse no como predictor directo sino como moderador de los mecanismos psicológicos que llevan a intención.</w:t>
      </w:r>
    </w:p>
    <w:p>
      <w:pPr>
        <w:pStyle w:val="Heading3"/>
        <w:spacing w:before="160" w:after="160" w:line="360" w:lineRule="auto"/>
      </w:pPr>
      <w:r>
        <w:rPr>
          <w:b/>
          <w:sz w:val="22"/>
        </w:rPr>
        <w:t>Mecánica de la moderación: canales específicos</w:t>
      </w:r>
    </w:p>
    <w:p>
      <w:pPr>
        <w:spacing w:line="360" w:lineRule="auto" w:after="120"/>
      </w:pPr>
      <w:r>
        <w:rPr>
          <w:rFonts w:ascii="Times New Roman" w:hAnsi="Times New Roman"/>
          <w:sz w:val="24"/>
        </w:rPr>
        <w:t>Los canales a través de los cuales contexto puede modular TCP merecen especificación. Primero, conocimiento formal del ecosistema afecta el cálculo de costo-beneficio que subyace la actitud. Si un estudiante sabe que Bancóldex ofrece crédito a tasas subsididas para nuevos emprendedores, su percepción del costo de iniciar disminuye, lo que aumenta la actitud hacia el emprendimiento. Este efecto es multiplicativo: un estudiante con actitud base baja pero acceso a información sobre Bancóldex podría ver su actitud modulada al alza.</w:t>
      </w:r>
    </w:p>
    <w:p>
      <w:pPr>
        <w:spacing w:line="360" w:lineRule="auto" w:after="120"/>
      </w:pPr>
      <w:r>
        <w:rPr>
          <w:rFonts w:ascii="Times New Roman" w:hAnsi="Times New Roman"/>
          <w:sz w:val="24"/>
        </w:rPr>
        <w:t>Segundo, el contexto universitario afecta las normas subjetivas a través de dos mecanismos. Primero, exposición a modelos (profesores que han sido emprendedores, egresados exitosos) aumenta la legitimidad percibida del emprendimiento como carrera option. Segundo, pares en el mismo contexto universitario (compañeros que buscan emprender) proporcionan retroalimentación normativa.</w:t>
      </w:r>
    </w:p>
    <w:p>
      <w:pPr>
        <w:spacing w:line="360" w:lineRule="auto" w:after="120"/>
      </w:pPr>
      <w:r>
        <w:rPr>
          <w:rFonts w:ascii="Times New Roman" w:hAnsi="Times New Roman"/>
          <w:sz w:val="24"/>
        </w:rPr>
        <w:t>Tercero, contexto universitario y conocimiento del ecosistema afectan el control conductual percibido. El acceso a incubadoras universitarias, mentoría, y conocimiento de programas de financiamiento público reduce las barreras percibidas para emprender. En el marco TCP, esto se traduce en mayor PBC, que es uno de los tres predictores de intención.</w:t>
      </w:r>
    </w:p>
    <w:p>
      <w:pPr>
        <w:pStyle w:val="Heading3"/>
        <w:spacing w:before="160" w:after="160" w:line="360" w:lineRule="auto"/>
      </w:pPr>
      <w:r>
        <w:rPr>
          <w:b/>
          <w:sz w:val="22"/>
        </w:rPr>
        <w:t>Limitaciones de la TCP y extensiones teóricas</w:t>
      </w:r>
    </w:p>
    <w:p>
      <w:pPr>
        <w:spacing w:line="360" w:lineRule="auto" w:after="120"/>
      </w:pPr>
      <w:r>
        <w:rPr>
          <w:rFonts w:ascii="Times New Roman" w:hAnsi="Times New Roman"/>
          <w:sz w:val="24"/>
        </w:rPr>
        <w:t>Aunque la TCP ha demostrado utilidad predictiva, la literatura identifica limitaciones relevantes para este estudio. Primera, la TCP explica típicamente entre el 40% y 50% de la varianza en intención, dejando un porcentaje sustancial sin explicación. Krueger (2009) argumentó que variables contextuales e institucionales podrían explicar este residuo. En el contexto colombiano, donde las barreras económicas y regulatorias son más prominentes que en contextos desarrollados, se podría esperar que variables contextuales sean incluso más importantes.</w:t>
      </w:r>
    </w:p>
    <w:p>
      <w:pPr>
        <w:spacing w:line="360" w:lineRule="auto" w:after="120"/>
      </w:pPr>
      <w:r>
        <w:rPr>
          <w:rFonts w:ascii="Times New Roman" w:hAnsi="Times New Roman"/>
          <w:sz w:val="24"/>
        </w:rPr>
        <w:t>Segunda, la TCP trata el control conductual percibido principalmente como variable psicológica (autoeficacia), pero la realidad del emprendimiento requiere acceso a recursos concretos: capital, información, redes de contactos, instituciones de apoyo. Algunos autores como Brush, Greene y Hart (2001) han propuesto que el modelo debería separar claramente entre autoeficacia percibida (confianza en capacidad propia) y disponibilidad objetiva de recursos (acceso a capital, mentoría, información). Esta investigación intenta hacer precisamente esto, separando el control conductual percibido (componente psicológico TCP) del contexto universitario (disponibilidad objetiva de recursos de apoyo) y conocimiento del ecosistema (información sobre políticas públicas).</w:t>
      </w:r>
    </w:p>
    <w:p>
      <w:pPr>
        <w:spacing w:line="360" w:lineRule="auto" w:after="120"/>
      </w:pPr>
      <w:r>
        <w:rPr>
          <w:rFonts w:ascii="Times New Roman" w:hAnsi="Times New Roman"/>
          <w:sz w:val="24"/>
        </w:rPr>
        <w:t>Tercera, la TCP asume que la intención precede directamente al comportamiento, pero autores como Sheeran (2002) han documentado que entre el 40% y 70% de las intenciones no resultan en acciones congruentes. En el emprendimiento colombiano, como se documentó, esta brecha es aún más pronunciada (50+ puntos porcentuales). La TCP por sí sola no explica por qué intención no se traduce a acción. Una posibilidad es que la intención se forma sobre base de actitudes (evaluación global abstracta) que no son lo suficientemente específicas como para guiar la secuencia compleja de acciones requeridas para crear una empresa. Alternatively, las barreras concretas (falta de capital, instabilidad laboral, responsabilidades familiares) no cambian aunque la intención se forme.</w:t>
      </w:r>
    </w:p>
    <w:p>
      <w:pPr>
        <w:pStyle w:val="Heading2"/>
        <w:spacing w:before="200" w:after="200" w:line="360" w:lineRule="auto"/>
      </w:pPr>
      <w:r>
        <w:rPr>
          <w:b/>
          <w:sz w:val="24"/>
        </w:rPr>
        <w:t>2.3. Marco conceptual y operacionalización de constructos</w:t>
      </w:r>
    </w:p>
    <w:p>
      <w:pPr>
        <w:spacing w:line="360" w:lineRule="auto" w:after="120"/>
      </w:pPr>
      <w:r>
        <w:rPr>
          <w:rFonts w:ascii="Times New Roman" w:hAnsi="Times New Roman"/>
          <w:sz w:val="24"/>
        </w:rPr>
        <w:t>Esta sección define operacionalmente los constructos centrales de la investigación, alineados con el instrumento ALBA 2025. La conceptualización de cada constructo se basa en literatura teórica pero las operacionalizaciones específicas reflejan decisiones de medición tomadas en el diseño de ALBA 2025.</w:t>
      </w:r>
    </w:p>
    <w:p>
      <w:pPr>
        <w:pStyle w:val="Heading3"/>
        <w:spacing w:before="160" w:after="160" w:line="360" w:lineRule="auto"/>
      </w:pPr>
      <w:r>
        <w:rPr>
          <w:b/>
          <w:sz w:val="22"/>
        </w:rPr>
        <w:t>Intención emprendedora</w:t>
      </w:r>
    </w:p>
    <w:p>
      <w:pPr>
        <w:spacing w:line="360" w:lineRule="auto" w:after="120"/>
      </w:pPr>
      <w:r>
        <w:rPr>
          <w:rFonts w:ascii="Times New Roman" w:hAnsi="Times New Roman"/>
          <w:sz w:val="24"/>
        </w:rPr>
        <w:t>La intención emprendedora (IE) representa la disposición del individuo a crear una nueva empresa en un horizonte temporal futuro (típicamente 5-10 años, aunque algunos estudios especifican horizontes más largos). Psicológicamente, la intención es un estado mental que precede a la decisión de actuar. No es un rasgo estable sino una predisposición situacional que puede cambiar con experiencias, información nueva, y cambios contextuales.</w:t>
      </w:r>
    </w:p>
    <w:p>
      <w:pPr>
        <w:spacing w:line="360" w:lineRule="auto" w:after="120"/>
      </w:pPr>
      <w:r>
        <w:rPr>
          <w:rFonts w:ascii="Times New Roman" w:hAnsi="Times New Roman"/>
          <w:sz w:val="24"/>
        </w:rPr>
        <w:t>En el marco TCP, la intención es la variable dependiente directa que queremos predecir. Ajzen (1991) especificó que intención se forma a través de evaluaciones deliberativas de alternativas (formar empresa versus permanecer empleado/desempleado/en escuela), y la fortaleza de intención refleja cuán próxima es la acción esperada.</w:t>
      </w:r>
    </w:p>
    <w:p>
      <w:pPr>
        <w:spacing w:line="360" w:lineRule="auto" w:after="120"/>
      </w:pPr>
      <w:r>
        <w:rPr>
          <w:rFonts w:ascii="Times New Roman" w:hAnsi="Times New Roman"/>
          <w:sz w:val="24"/>
        </w:rPr>
        <w:t>En ALBA 2025, la IE se mide con dos ítems tipo Likert en escala 1-7: "He pensado seriamente en empezar un negocio" e "Intento crear un negocio en los próximos cinco años." El primero captura intención cognitiva (pensamiento deliberativo sobre opción), el segundo captura intención conductual (disposición a actuar). El promedio de estos dos ítems constituye el puntaje IE. La confiabilidad de esta escala en la muestra colombiana fue α = 0.891, considerado excelente (Cronbach, 1951).</w:t>
      </w:r>
    </w:p>
    <w:p>
      <w:pPr>
        <w:spacing w:line="360" w:lineRule="auto" w:after="120"/>
      </w:pPr>
      <w:r>
        <w:rPr>
          <w:rFonts w:ascii="Times New Roman" w:hAnsi="Times New Roman"/>
          <w:sz w:val="24"/>
        </w:rPr>
        <w:t>La validez de esta medición puede cuestarse: dos ítems podrían ser insuficientes para capturar el constructo completo. Sin embargo, Liñán y Chen (2009) demostraron que una medición breve pero enfocada en intención directa (versus aspiración desenfocada) predice mejor el comportamiento futuro. La fortaleza de usar dos ítems es que reduce inflación por método (varianza compartida por método de medición) y captura la esencia del constructo sin ruido.</w:t>
      </w:r>
    </w:p>
    <w:p>
      <w:pPr>
        <w:pStyle w:val="Heading3"/>
        <w:spacing w:before="160" w:after="160" w:line="360" w:lineRule="auto"/>
      </w:pPr>
      <w:r>
        <w:rPr>
          <w:b/>
          <w:sz w:val="22"/>
        </w:rPr>
        <w:t>Actitud emprendedora</w:t>
      </w:r>
    </w:p>
    <w:p>
      <w:pPr>
        <w:spacing w:line="360" w:lineRule="auto" w:after="120"/>
      </w:pPr>
      <w:r>
        <w:rPr>
          <w:rFonts w:ascii="Times New Roman" w:hAnsi="Times New Roman"/>
          <w:sz w:val="24"/>
        </w:rPr>
        <w:t>La actitud emprendedora (AT) representa la evaluación global del individuo sobre las consecuencias personales de crear una empresa. Esta no es una evaluación moral ("¿es correcto emprender?") sino una evaluación de costo-beneficio personalizada: "¿cuál sería el impacto neto en mi vida y bienestar si emprendiera?"</w:t>
      </w:r>
    </w:p>
    <w:p>
      <w:pPr>
        <w:spacing w:line="360" w:lineRule="auto" w:after="120"/>
      </w:pPr>
      <w:r>
        <w:rPr>
          <w:rFonts w:ascii="Times New Roman" w:hAnsi="Times New Roman"/>
          <w:sz w:val="24"/>
        </w:rPr>
        <w:t>La evaluación de actitud integra múltiples consecuencias esperadas. Algunos estudiantes pueden ver principalmente beneficios (autonomía, ingreso potencial, realización personal) sin preocupación especial por riesgos. Otros pueden ver riesgos prominentemente (pérdida de estabilidad laboral, estrés, posible fracaso financiero) aunque también reconozcan beneficios. La actitud es la integración ponderada de todas estas consecuencias esperadas.</w:t>
      </w:r>
    </w:p>
    <w:p>
      <w:pPr>
        <w:spacing w:line="360" w:lineRule="auto" w:after="120"/>
      </w:pPr>
      <w:r>
        <w:rPr>
          <w:rFonts w:ascii="Times New Roman" w:hAnsi="Times New Roman"/>
          <w:sz w:val="24"/>
        </w:rPr>
        <w:t>En ALBA 2025, AT se mide con cinco ítems en escala Likert 1-7 que preguntan por acuerdo con afirmaciones como "Crear una empresa daría más oportunidades de autorrealización," "Crear una empresa es una buena forma de alcanzar independencia económica," "Crear una empresa es una forma de contribuir a la sociedad," "Un negocio propio proporciona mejor ingreso que trabajo dependiente," "Emprender es más desafiante y emocionante que trabajar como empleado." Estos ítems capturan tanto beneficios personales (autorrealización, independencia) como sociales (contribución) como económicos (ingreso).</w:t>
      </w:r>
    </w:p>
    <w:p>
      <w:pPr>
        <w:spacing w:line="360" w:lineRule="auto" w:after="120"/>
      </w:pPr>
      <w:r>
        <w:rPr>
          <w:rFonts w:ascii="Times New Roman" w:hAnsi="Times New Roman"/>
          <w:sz w:val="24"/>
        </w:rPr>
        <w:t>La escala de actitud en ALBA 2025 mostró α = 0.920, indicando consistencia interna muy buena. Esta alta confiabilidad sugiere que los cinco ítems están midiendo un constructo unidimensional subyacente (actitud hacia emprendimiento) sin contaminar con otros constructos (por ejemplo, riesgo propensity, locus de control).</w:t>
      </w:r>
    </w:p>
    <w:p>
      <w:pPr>
        <w:pStyle w:val="Heading3"/>
        <w:spacing w:before="160" w:after="160" w:line="360" w:lineRule="auto"/>
      </w:pPr>
      <w:r>
        <w:rPr>
          <w:b/>
          <w:sz w:val="22"/>
        </w:rPr>
        <w:t>Actitud emprendedora</w:t>
      </w:r>
    </w:p>
    <w:p>
      <w:pPr>
        <w:spacing w:line="360" w:lineRule="auto" w:after="120"/>
      </w:pPr>
      <w:r>
        <w:rPr>
          <w:rFonts w:ascii="Times New Roman" w:hAnsi="Times New Roman"/>
          <w:sz w:val="24"/>
        </w:rPr>
        <w:t>La actitud emprendedora (AT) representa la evaluación global del individuo sobre las consecuencias personales de crear una empresa. En ALBA 2025, se mide con cinco ítems que preguntan por acuerdo o desacuerdo con afirmaciones como "Crear una empresa daría más oportunidades de autorrealización" e "Crear una empresa es una buena forma de alcanzar independencia económica." Los ítems se valoran en escala Likert 1-7. La escala de actitud en la muestra mostró α = 0.920, indicando consistencia interna muy buena.</w:t>
      </w:r>
    </w:p>
    <w:p>
      <w:pPr>
        <w:pStyle w:val="Heading3"/>
        <w:spacing w:before="160" w:after="160" w:line="360" w:lineRule="auto"/>
      </w:pPr>
      <w:r>
        <w:rPr>
          <w:b/>
          <w:sz w:val="22"/>
        </w:rPr>
        <w:t>Normas subjetivas</w:t>
      </w:r>
    </w:p>
    <w:p>
      <w:pPr>
        <w:spacing w:line="360" w:lineRule="auto" w:after="120"/>
      </w:pPr>
      <w:r>
        <w:rPr>
          <w:rFonts w:ascii="Times New Roman" w:hAnsi="Times New Roman"/>
          <w:sz w:val="24"/>
        </w:rPr>
        <w:t>Las normas subjetivas (SN) reflejan la percepción del individuo sobre si sus referentes sociales relevantes consideran deseable la opción emprendedora. Ajzen definió normas subjetivas específicamente como percepción (no realidad objetiva): lo que importa es lo que el individuo cree que otros piensan, no lo que otros realmente piensan.</w:t>
      </w:r>
    </w:p>
    <w:p>
      <w:pPr>
        <w:spacing w:line="360" w:lineRule="auto" w:after="120"/>
      </w:pPr>
      <w:r>
        <w:rPr>
          <w:rFonts w:ascii="Times New Roman" w:hAnsi="Times New Roman"/>
          <w:sz w:val="24"/>
        </w:rPr>
        <w:t>La teoría de influencia social propone que personas son sensibles a presión social de in-groups (grupos de referencia que el individuo valora): familia, amigos cercanos, colegas profesionales. Para un estudiante universitario, los referentes relevantes típicamente son padres y familia extendida, compañeros de clase, y en menor medida profesores.</w:t>
      </w:r>
    </w:p>
    <w:p>
      <w:pPr>
        <w:spacing w:line="360" w:lineRule="auto" w:after="120"/>
      </w:pPr>
      <w:r>
        <w:rPr>
          <w:rFonts w:ascii="Times New Roman" w:hAnsi="Times New Roman"/>
          <w:sz w:val="24"/>
        </w:rPr>
        <w:t>¿Por qué importan normas subjetivas? Porque la decisión de emprender es social además de personal: existe riesgo reputacional. Si fracaso como emprendedor, ¿cómo será interpretado por mi familia? ¿Perderé estatus entre amigos? Si los referentes sociales valoran emprendimiento (lo ven como osado, respetable, inteligente), el riesgo reputacional se reduce y la intención se fortalece.</w:t>
      </w:r>
    </w:p>
    <w:p>
      <w:pPr>
        <w:spacing w:line="360" w:lineRule="auto" w:after="120"/>
      </w:pPr>
      <w:r>
        <w:rPr>
          <w:rFonts w:ascii="Times New Roman" w:hAnsi="Times New Roman"/>
          <w:sz w:val="24"/>
        </w:rPr>
        <w:t>ALBA 2025 captura SN con tres ítems: "Mi familia aprobaría que iniciara una empresa," "Mis amigos creen que es buena idea emprender," "En mi entorno profesional se valora crear negocios." Estos ítems cubren la familia (fuente de presión social más intensa para jóvenes), amigos (grupo de pares), y contexto profesional (relevante para estudiantes de postgrado o con experiencia laboral).</w:t>
      </w:r>
    </w:p>
    <w:p>
      <w:pPr>
        <w:spacing w:line="360" w:lineRule="auto" w:after="120"/>
      </w:pPr>
      <w:r>
        <w:rPr>
          <w:rFonts w:ascii="Times New Roman" w:hAnsi="Times New Roman"/>
          <w:sz w:val="24"/>
        </w:rPr>
        <w:t>La confiabilidad fue α = 0.920, indicando que los tres ítems están midiendo una construcción subyacente unitaria de presión social percibida. Aunque este es un número alto de confiabilidad para solo tres ítems, refleja que el constructo es relativamente simple: percepción unidimensional de aprobación social.</w:t>
      </w:r>
    </w:p>
    <w:p>
      <w:pPr>
        <w:pStyle w:val="Heading3"/>
        <w:spacing w:before="160" w:after="160" w:line="360" w:lineRule="auto"/>
      </w:pPr>
      <w:r>
        <w:rPr>
          <w:b/>
          <w:sz w:val="22"/>
        </w:rPr>
        <w:t>Control conductual percibido</w:t>
      </w:r>
    </w:p>
    <w:p>
      <w:pPr>
        <w:spacing w:line="360" w:lineRule="auto" w:after="120"/>
      </w:pPr>
      <w:r>
        <w:rPr>
          <w:rFonts w:ascii="Times New Roman" w:hAnsi="Times New Roman"/>
          <w:sz w:val="24"/>
        </w:rPr>
        <w:t>El control conductual percibido (PBC, por su término en inglés) representa la confianza del individuo en su capacidad para llevar a cabo las acciones necesarias para crear y operar una empresa exitosa. Combina dos dimensiones conceptuales distintas pero correlacionadas: autoeficacia (confianza en capacidad propia) y barreras situacionales percibidas (obstáculos externos que podrían impedir la acción).</w:t>
      </w:r>
    </w:p>
    <w:p>
      <w:pPr>
        <w:spacing w:line="360" w:lineRule="auto" w:after="120"/>
      </w:pPr>
      <w:r>
        <w:rPr>
          <w:rFonts w:ascii="Times New Roman" w:hAnsi="Times New Roman"/>
          <w:sz w:val="24"/>
        </w:rPr>
        <w:t>Autoeficacia emprendedora se refiere a creencias específicas del dominio (domain-specific self-efficacy): "¿Tengo las habilidades y conocimientos para hacer X?" donde X incluye identificar oportunidad, escribir plan de negocio, gestionar flujo de caja, vender producto/servicio, gestionar empleados. La autoeficacia no es optimismo irreal (creencia de que todo saldrá bien) sino evaluación específica de competencia en tareas emprendedoras.</w:t>
      </w:r>
    </w:p>
    <w:p>
      <w:pPr>
        <w:spacing w:line="360" w:lineRule="auto" w:after="120"/>
      </w:pPr>
      <w:r>
        <w:rPr>
          <w:rFonts w:ascii="Times New Roman" w:hAnsi="Times New Roman"/>
          <w:sz w:val="24"/>
        </w:rPr>
        <w:t>Barreras situacionales percibidas se refieren a obstáculos concretos del contexto: acceso a financiamiento, disponibilidad de información, acceso a redes profesionales, regulaciones complicadas. Un individuo podría tener alta autoeficacia pero baja percepción de control si percibe que las barreras son infranqueables (ej., "Tengo habilidades pero sin capital no puedo comenzar").</w:t>
      </w:r>
    </w:p>
    <w:p>
      <w:pPr>
        <w:spacing w:line="360" w:lineRule="auto" w:after="120"/>
      </w:pPr>
      <w:r>
        <w:rPr>
          <w:rFonts w:ascii="Times New Roman" w:hAnsi="Times New Roman"/>
          <w:sz w:val="24"/>
        </w:rPr>
        <w:t>ALBA 2025 incluye seis ítems para capturar PBC: "Tengo los conocimientos y habilidades para crear una empresa" (autoeficacia), "Me siento capaz de manejar las incertidumbres de un negocio propio" (autoeficacia frente a riesgo), "Tengo acceso a personas que podrían ayudarme a crear una empresa" (redes), "El acceso a financiamiento es una barrera importante para mi intención" (inversamente codificado —barrera), "Las regulaciones y trámites para formalizar una empresa son una barrera importante" (inversamente codificado —barrera), "Tengo acceso a mentoría o asesoría para emprendimiento" (recursos).</w:t>
      </w:r>
    </w:p>
    <w:p>
      <w:pPr>
        <w:spacing w:line="360" w:lineRule="auto" w:after="120"/>
      </w:pPr>
      <w:r>
        <w:rPr>
          <w:rFonts w:ascii="Times New Roman" w:hAnsi="Times New Roman"/>
          <w:sz w:val="24"/>
        </w:rPr>
        <w:t>La escala mostró α = 0.916, excelente. Esta alta confiabilidad sugiere que autoeficacia percibida y barreras situacionales percibidas, aunque conceptualmente distintas, están correlacionadas en la experiencia de estudiantes: aquellos que perciben más barreras tienden a reportar menos autoeficacia, y viceversa. Esto es sensible: si veo que existen muchos obstáculos en mi contexto, tengo menos confianza de que pueda superarlos incluso si tengo habilidades.</w:t>
      </w:r>
    </w:p>
    <w:p>
      <w:pPr>
        <w:pStyle w:val="Heading3"/>
        <w:spacing w:before="160" w:after="160" w:line="360" w:lineRule="auto"/>
      </w:pPr>
      <w:r>
        <w:rPr>
          <w:b/>
          <w:sz w:val="22"/>
        </w:rPr>
        <w:t>Conocimiento formal del ecosistema</w:t>
      </w:r>
    </w:p>
    <w:p>
      <w:pPr>
        <w:spacing w:line="360" w:lineRule="auto" w:after="120"/>
      </w:pPr>
      <w:r>
        <w:rPr>
          <w:rFonts w:ascii="Times New Roman" w:hAnsi="Times New Roman"/>
          <w:sz w:val="24"/>
        </w:rPr>
        <w:t>El conocimiento formal (FK) se define como la familiaridad del individuo con instituciones, programas y políticas que apoyan emprendimiento en Colombia: estructura legal (Ley 1014, Ley 2069), instituciones de capacitación (SENA), instituciones de financiamiento (Bancóldex), instituciones de innovación (iNNpulsa), incubadoras universitarias.</w:t>
      </w:r>
    </w:p>
    <w:p>
      <w:pPr>
        <w:spacing w:line="360" w:lineRule="auto" w:after="120"/>
      </w:pPr>
      <w:r>
        <w:rPr>
          <w:rFonts w:ascii="Times New Roman" w:hAnsi="Times New Roman"/>
          <w:sz w:val="24"/>
        </w:rPr>
        <w:t>Este constructo operacionaliza una hipótesis central de nuestra investigación: que las políticas públicas son efectivas solo si se traducen en conocimiento accesible. Una excelente política de financiamiento (líneas de Bancóldex con tasas subsidiadas) es irrelevante si el estudiante no sabe que existe. Análogamente, un programa SENA de formación emprendedora es inútil si el estudiante no conoce cómo acceder.</w:t>
      </w:r>
    </w:p>
    <w:p>
      <w:pPr>
        <w:spacing w:line="360" w:lineRule="auto" w:after="120"/>
      </w:pPr>
      <w:r>
        <w:rPr>
          <w:rFonts w:ascii="Times New Roman" w:hAnsi="Times New Roman"/>
          <w:sz w:val="24"/>
        </w:rPr>
        <w:t>El mecanismo propuesto es que conocimiento formal actúa como variable mediadora o moderadora. Si conocimiento es mediador, entonces: políticas públicas → conocimiento formal → intención. Si es moderador, entonces: conocimiento formal amplifica el efecto de actitud o control conductual percibido sobre intención.</w:t>
      </w:r>
    </w:p>
    <w:p>
      <w:pPr>
        <w:spacing w:line="360" w:lineRule="auto" w:after="120"/>
      </w:pPr>
      <w:r>
        <w:rPr>
          <w:rFonts w:ascii="Times New Roman" w:hAnsi="Times New Roman"/>
          <w:sz w:val="24"/>
        </w:rPr>
        <w:t>ALBA 2025 incluye una escala de ocho ítems que preguntan por nivel de conocimiento (escala 1-7: "Nada familiar" a "Muy familiar") de: Ley 1014/2006, SENA, Bancóldex, iNNpulsa, incubadoras universitarias, fondos de inversión ángel, redes de emprendimiento, regulaciones de formalización. Estos representan los actores más visibles del ecosistema formal colombiano.</w:t>
      </w:r>
    </w:p>
    <w:p>
      <w:pPr>
        <w:spacing w:line="360" w:lineRule="auto" w:after="120"/>
      </w:pPr>
      <w:r>
        <w:rPr>
          <w:rFonts w:ascii="Times New Roman" w:hAnsi="Times New Roman"/>
          <w:sz w:val="24"/>
        </w:rPr>
        <w:t>La escala mostró α = 0.933, indicando muy alta consistencia interna. Este nivel de confiabilidad alto es típico para escalas de conocimiento factual que preguntan por múltiples elementos similares (¿conoces X, Y, Z?).</w:t>
      </w:r>
    </w:p>
    <w:p>
      <w:pPr>
        <w:pStyle w:val="Heading3"/>
        <w:spacing w:before="160" w:after="160" w:line="360" w:lineRule="auto"/>
      </w:pPr>
      <w:r>
        <w:rPr>
          <w:b/>
          <w:sz w:val="22"/>
        </w:rPr>
        <w:t>Alfabetización financiera</w:t>
      </w:r>
    </w:p>
    <w:p>
      <w:pPr>
        <w:spacing w:line="360" w:lineRule="auto" w:after="120"/>
      </w:pPr>
      <w:r>
        <w:rPr>
          <w:rFonts w:ascii="Times New Roman" w:hAnsi="Times New Roman"/>
          <w:sz w:val="24"/>
        </w:rPr>
        <w:t>La alfabetización financiera (FL) representa la capacidad del individuo de entender conceptos básicos de financiamiento, riesgo, inversión y gestión de cash flow. Es distinto del conocimiento formal (que es conocimiento sobre instituciones específicas) en que es conocimiento de conceptos y prácticas.</w:t>
      </w:r>
    </w:p>
    <w:p>
      <w:pPr>
        <w:spacing w:line="360" w:lineRule="auto" w:after="120"/>
      </w:pPr>
      <w:r>
        <w:rPr>
          <w:rFonts w:ascii="Times New Roman" w:hAnsi="Times New Roman"/>
          <w:sz w:val="24"/>
        </w:rPr>
        <w:t>¿Por qué importa alfabetización financiera para intención emprendedora? Porque muchos de los obstáculos percibidos para emprender son financieros: "¿Cómo accedo a capital?", "¿Cuál es el costo real de un préstamo?", "¿Cómo gestiono el flujo de caja?", "¿Cuál es la diferencia entre deuda y equity?" Un individuo con baja alfabetización financiera podría ver estos como misterios incomprehensibles, reduciendo su control conductual percibido. Un individuo con alfabetización financiera puede ver estos como problemas técnicos solucionables, aumentando su control conductual percibido.</w:t>
      </w:r>
    </w:p>
    <w:p>
      <w:pPr>
        <w:spacing w:line="360" w:lineRule="auto" w:after="120"/>
      </w:pPr>
      <w:r>
        <w:rPr>
          <w:rFonts w:ascii="Times New Roman" w:hAnsi="Times New Roman"/>
          <w:sz w:val="24"/>
        </w:rPr>
        <w:t>La alfabetización financiera es también mediada por políticas públicas: programas de educación financiera (financiados públicamente por Ministerio de Educación o SENA) pueden aumentar alfabetización. Así, el mecanismo propuesto es similar a conocimiento formal: políticas públicas de educación financiera → alfabetización financiera → mayor control conductual percibido → mayor intención.</w:t>
      </w:r>
    </w:p>
    <w:p>
      <w:pPr>
        <w:spacing w:line="360" w:lineRule="auto" w:after="120"/>
      </w:pPr>
      <w:r>
        <w:rPr>
          <w:rFonts w:ascii="Times New Roman" w:hAnsi="Times New Roman"/>
          <w:sz w:val="24"/>
        </w:rPr>
        <w:t>ALBA 2025 mide alfabetización financiera con cinco ítems sobre comprensión de: concepto de flujo de caja ("Entiendo qué es el flujo de caja y por qué es importante"), tasas de interés ("Puedo calcular el costo real de un préstamo"), apalancamiento ("Entiendo ventajas y desventajas de usar deuda para financiar una empresa"), evaluación de riesgo ("Puedo evaluar el riesgo de un negocio potencial"), retorno sobre inversión ("Entiendo qué significa ROI y cómo se calcula").</w:t>
      </w:r>
    </w:p>
    <w:p>
      <w:pPr>
        <w:spacing w:line="360" w:lineRule="auto" w:after="120"/>
      </w:pPr>
      <w:r>
        <w:rPr>
          <w:rFonts w:ascii="Times New Roman" w:hAnsi="Times New Roman"/>
          <w:sz w:val="24"/>
        </w:rPr>
        <w:t>Cada ítem está en escala Likert 1-7 donde 1 = "Totalmente en desacuerdo (no entiendo)" y 7 = "Totalmente de acuerdo (entiendo completamente)." La confiabilidad fue α = 0.868, buena aunque ligeramente menor que otras escalas. La menor confiabilidad puede reflejar que alfabetización financiera es multidimensional: no todos los que entienden flujo de caja necesariamente entienden apalancamiento o ROI.</w:t>
      </w:r>
    </w:p>
    <w:p>
      <w:pPr>
        <w:pStyle w:val="Heading3"/>
        <w:spacing w:before="160" w:after="160" w:line="360" w:lineRule="auto"/>
      </w:pPr>
      <w:r>
        <w:rPr>
          <w:b/>
          <w:sz w:val="22"/>
        </w:rPr>
        <w:t>Contexto universitario: tres dimensiones</w:t>
      </w:r>
    </w:p>
    <w:p>
      <w:pPr>
        <w:spacing w:line="360" w:lineRule="auto" w:after="120"/>
      </w:pPr>
      <w:r>
        <w:rPr>
          <w:rFonts w:ascii="Times New Roman" w:hAnsi="Times New Roman"/>
          <w:sz w:val="24"/>
        </w:rPr>
        <w:t>El contexto universitario se operacionaliza a través de tres dimensiones medidas en ALBA 2025. Estas tres dimensiones capturan distintos aspectos de cómo una universidad puede influir intención emprendedora: recursos tangibles (incubadoras, financiamiento), apoyo social (mentoría, ánimo de profesores), y cultura académica (valorización de innovación y riesgo).</w:t>
      </w:r>
    </w:p>
    <w:p>
      <w:pPr>
        <w:spacing w:line="360" w:lineRule="auto" w:after="120"/>
      </w:pPr>
      <w:r>
        <w:rPr>
          <w:rFonts w:ascii="Times New Roman" w:hAnsi="Times New Roman"/>
          <w:sz w:val="24"/>
        </w:rPr>
        <w:t>**Desarrollo universitario (U-D)**: Representa la percepción del estudiante sobre si su universidad ofrece recursos, infraestructura y programas para apoyar emprendimiento. Específicamente captura presencia de: incubadoras de empresas, programas formales de educación emprendedora (cursos, talleres), acceso a redes de emprendedores (conexiones con empresarios locales, alumni que emprenden), capital semilla o microfinanciamiento para estudiantes emprendedores.</w:t>
      </w:r>
    </w:p>
    <w:p>
      <w:pPr>
        <w:spacing w:line="360" w:lineRule="auto" w:after="120"/>
      </w:pPr>
      <w:r>
        <w:rPr>
          <w:rFonts w:ascii="Times New Roman" w:hAnsi="Times New Roman"/>
          <w:sz w:val="24"/>
        </w:rPr>
        <w:t>La lógica es que universidad con mayor desarrollo de recursos emprendedores proporciona mayor facilidad material para que el estudiante pueda actuar sobre su intención. Si tengo incubadora disponible, puedo acceder a espacio físico (oficina) sin costo. Si tengo acceso a red de empresarios, puedo obtener mentoría. Si existe capital semilla, puedo acceder a financiamiento inicial sin gastar ahorros personales. En términos del modelo TCP, U-D reduce barreras situacionales percibidas, aumentando control conductual percibido.</w:t>
      </w:r>
    </w:p>
    <w:p>
      <w:pPr>
        <w:spacing w:line="360" w:lineRule="auto" w:after="120"/>
      </w:pPr>
      <w:r>
        <w:rPr>
          <w:rFonts w:ascii="Times New Roman" w:hAnsi="Times New Roman"/>
          <w:sz w:val="24"/>
        </w:rPr>
        <w:t>ALBA 2025 mide U-D con cinco ítems en escala Likert 1-7 sobre: "Mi universidad cuenta con incubadora de empresas o centro de emprendimiento" (infraestructura), "Mi programa académico incluye contenido sobre emprendimiento" (educación), "En mi universidad hay emprendedores exitosos (profesores, alumni) que puedo contactar" (modelos y redes), "Mi universidad ofrece mentoría gratuita para emprendedores" (mentoría), "Mi universidad ofrece financiamiento o capital semilla para estudiantes emprendedores" (financiamiento).</w:t>
      </w:r>
    </w:p>
    <w:p>
      <w:pPr>
        <w:spacing w:line="360" w:lineRule="auto" w:after="120"/>
      </w:pPr>
      <w:r>
        <w:rPr>
          <w:rFonts w:ascii="Times New Roman" w:hAnsi="Times New Roman"/>
          <w:sz w:val="24"/>
        </w:rPr>
        <w:t>La escala mostró α = 0.912, excelente confiabilidad, sugiriendo que estas cinco dimensiones de recursos universitarios se correlacionan: universidades que tienen incubadora tienden a tener también programas educativos, modelos visibles, mentoría y financiamiento.</w:t>
      </w:r>
    </w:p>
    <w:p>
      <w:pPr>
        <w:spacing w:line="360" w:lineRule="auto" w:after="120"/>
      </w:pPr>
      <w:r>
        <w:rPr>
          <w:rFonts w:ascii="Times New Roman" w:hAnsi="Times New Roman"/>
          <w:sz w:val="24"/>
        </w:rPr>
        <w:t>**Apoyo académico (U-AS)**: Refleja la percepción del estudiante sobre el grado de apoyo emocional y de mentoría específica recibido de profesores y mentores académicos para iniciativas emprendedoras. Es distinto de U-D (que es sobre disponibilidad de recursos institucionales) en que es sobre comportamiento de personas específicas.</w:t>
      </w:r>
    </w:p>
    <w:p>
      <w:pPr>
        <w:spacing w:line="360" w:lineRule="auto" w:after="120"/>
      </w:pPr>
      <w:r>
        <w:rPr>
          <w:rFonts w:ascii="Times New Roman" w:hAnsi="Times New Roman"/>
          <w:sz w:val="24"/>
        </w:rPr>
        <w:t>¿Por qué importa el apoyo académico personal? Porque aunque una universidad tenga incubadora disponible, si los profesores no animan a los estudiantes a usar esos recursos, y si hay estigma académico contra dejar estudios para emprender, el efecto neto puede ser pequeño. Un profesor que explícitamente dice "algunos de ustedes podrían ser excelentes emprendedores" tiene efecto normativo: legitima la opción emprendedora como carrera respetable.</w:t>
      </w:r>
    </w:p>
    <w:p>
      <w:pPr>
        <w:spacing w:line="360" w:lineRule="auto" w:after="120"/>
      </w:pPr>
      <w:r>
        <w:rPr>
          <w:rFonts w:ascii="Times New Roman" w:hAnsi="Times New Roman"/>
          <w:sz w:val="24"/>
        </w:rPr>
        <w:t>ALBA 2025 mide U-AS con cinco ítems: "Mis profesores me animan a desarrollar espíritu emprendedor" (ánimo), "Tengo acceso a mentoría o asesoría académica sobre emprendimiento" (disponibilidad de mentoría), "Los profesores valoran la iniciativa de emprendimiento entre estudiantes" (valorización), "Puedo hablar con mis profesores sobre ideas de negocio" (apertura), "He recibido retroalimentación útil de mentores o profesores sobre mi idea de negocio" (calidad de mentoría).</w:t>
      </w:r>
    </w:p>
    <w:p>
      <w:pPr>
        <w:spacing w:line="360" w:lineRule="auto" w:after="120"/>
      </w:pPr>
      <w:r>
        <w:rPr>
          <w:rFonts w:ascii="Times New Roman" w:hAnsi="Times New Roman"/>
          <w:sz w:val="24"/>
        </w:rPr>
        <w:t>La escala mostró α = 0.916, similar a U-D. Esta confiabilidad alta sugiere que la experiencia estudiantil de apoyo académico es coherente: si un profesor es animador, tendencialmente los estudiantes perciben valorización y acceso a mentoría de múltiples fuentes.</w:t>
      </w:r>
    </w:p>
    <w:p>
      <w:pPr>
        <w:spacing w:line="360" w:lineRule="auto" w:after="120"/>
      </w:pPr>
      <w:r>
        <w:rPr>
          <w:rFonts w:ascii="Times New Roman" w:hAnsi="Times New Roman"/>
          <w:sz w:val="24"/>
        </w:rPr>
        <w:t>**Clima de aprendizaje (LC)**: Representa la percepción del estudiante sobre si su programa académico y su contexto estudiantil en general cultiva valores y prácticas que resuenan con emprendimiento: creatividad, tolerancia al riesgo, pensamiento de oportunidad, aprender de fracasos.</w:t>
      </w:r>
    </w:p>
    <w:p>
      <w:pPr>
        <w:spacing w:line="360" w:lineRule="auto" w:after="120"/>
      </w:pPr>
      <w:r>
        <w:rPr>
          <w:rFonts w:ascii="Times New Roman" w:hAnsi="Times New Roman"/>
          <w:sz w:val="24"/>
        </w:rPr>
        <w:t>El clima de aprendizaje es más intangible que los anteriores. No se trata de recursos específicos sino de "atmósfera" académica. Una clase donde se ve fracaso como oportunidad de aprendizaje versus una clase donde se ve fracaso como incompetencia tiene climates de aprendizaje distintos. Una universidad que valoriza pensamiento crítico y cuestionamiento versus una que valoriza conformidad con autoridad tiene climas distintos.</w:t>
      </w:r>
    </w:p>
    <w:p>
      <w:pPr>
        <w:spacing w:line="360" w:lineRule="auto" w:after="120"/>
      </w:pPr>
      <w:r>
        <w:rPr>
          <w:rFonts w:ascii="Times New Roman" w:hAnsi="Times New Roman"/>
          <w:sz w:val="24"/>
        </w:rPr>
        <w:t>¿Por qué importa clima de aprendizaje para intención emprendedora? Porque emprendimiento es inherentemente riesgoso y requiere tolerancia a incertidumbre. Si el clima académico enfatiza certeza y evita riesgo, genera una cultura de aversión al riesgo que se transfiere a intención emprendedora. Inversamente, un clima que valoriza experimentación y aprendizaje de errores cultiva mentalidad emprendedora.</w:t>
      </w:r>
    </w:p>
    <w:p>
      <w:pPr>
        <w:spacing w:line="360" w:lineRule="auto" w:after="120"/>
      </w:pPr>
      <w:r>
        <w:rPr>
          <w:rFonts w:ascii="Times New Roman" w:hAnsi="Times New Roman"/>
          <w:sz w:val="24"/>
        </w:rPr>
        <w:t>ALBA 2025 mide LC con cuatro ítems: "En mis clases se valora la creatividad y el pensamiento innovador" (creatividad), "Se promueve asumir riesgos calculados" (tolerancia al riesgo), "Se aprende de los fracasos y se ve como oportunidad" (aprendizaje de errores), "Se nos anima a pensar en nuevas oportunidades y identificar problemas no resueltos" (pensamiento de oportunidad).</w:t>
      </w:r>
    </w:p>
    <w:p>
      <w:pPr>
        <w:spacing w:line="360" w:lineRule="auto" w:after="120"/>
      </w:pPr>
      <w:r>
        <w:rPr>
          <w:rFonts w:ascii="Times New Roman" w:hAnsi="Times New Roman"/>
          <w:sz w:val="24"/>
        </w:rPr>
        <w:t>La escala mostró α = 0.616, menor que las escalas anteriores. Esta menor confiabilidad sugiere que el clima de aprendizaje es más multidimensional que recursos o apoyo: un programa podría valorizar creatividad pero no necesariamente tolerancia al riesgo; podría animar identificación de oportunidades sin necesariamente animar asumir riesgos. Sin embargo, 0.616 permanece por encima del umbral mínimo típicamente aceptado (0.60) para confiabilidad.</w:t>
      </w:r>
    </w:p>
    <w:p>
      <w:pPr>
        <w:pStyle w:val="Heading2"/>
        <w:spacing w:before="200" w:after="200" w:line="360" w:lineRule="auto"/>
      </w:pPr>
      <w:r>
        <w:rPr>
          <w:b/>
          <w:sz w:val="24"/>
        </w:rPr>
        <w:t>2.4. Marco contextual: Colombia y el ecosistema emprendedor</w:t>
      </w:r>
    </w:p>
    <w:p>
      <w:pPr>
        <w:spacing w:line="360" w:lineRule="auto" w:after="120"/>
      </w:pPr>
      <w:r>
        <w:rPr>
          <w:rFonts w:ascii="Times New Roman" w:hAnsi="Times New Roman"/>
          <w:sz w:val="24"/>
        </w:rPr>
        <w:t>Comprender la intención emprendedora de estudiantes colombianos requiere contexto institucional, regulatorio y socioeconómico específico. Colombia ha experimentado transformaciones significativas en su ecosistema emprendedor en los últimos veinte años, especialmente desde la promulgación de Ley 1014 en 2006.</w:t>
      </w:r>
    </w:p>
    <w:p>
      <w:pPr>
        <w:pStyle w:val="Heading3"/>
        <w:spacing w:before="160" w:after="160" w:line="360" w:lineRule="auto"/>
      </w:pPr>
      <w:r>
        <w:rPr>
          <w:b/>
          <w:sz w:val="22"/>
        </w:rPr>
        <w:t>Paisaje macroeconómico y emprendimiento</w:t>
      </w:r>
    </w:p>
    <w:p>
      <w:pPr>
        <w:spacing w:line="360" w:lineRule="auto" w:after="120"/>
      </w:pPr>
      <w:r>
        <w:rPr>
          <w:rFonts w:ascii="Times New Roman" w:hAnsi="Times New Roman"/>
          <w:sz w:val="24"/>
        </w:rPr>
        <w:t>Según datos del Global Entrepreneurship Monitor (GEM, 2024), Colombia registra una Tasa de Actividad Emprendedora (TEA) del 23.5%, lo que sitúa al país en el tercio superior de América Latina. El promedio regional latinoamericano es aproximadamente 21%, por lo que Colombia está ligeramente por encima. Sin embargo, la comparación con países desarrollados muestra que la TEA estadounidense es aproximadamente 16%, sugiriendo que la tasa colombiana alta no necesariamente refleja un ecosistema robusto sino más bien presencia de emprendimiento por supervivencia.</w:t>
      </w:r>
    </w:p>
    <w:p>
      <w:pPr>
        <w:spacing w:line="360" w:lineRule="auto" w:after="120"/>
      </w:pPr>
      <w:r>
        <w:rPr>
          <w:rFonts w:ascii="Times New Roman" w:hAnsi="Times New Roman"/>
          <w:sz w:val="24"/>
        </w:rPr>
        <w:t>La composición de este emprendimiento es relevante: aproximadamente 70% es por necesidad (creación de autoempleo ante desempleo o ingresos insuficientes) versus 30% por oportunidad (búsqueda de crecimiento, acceso a nuevos mercados, innovación). Esta composición contrasta con países como Chile o Costa Rica, donde la proporción de emprendimiento por oportunidad es mayor (40-45%). Datos GEM 2023 específicos para Colombia muestran que en las ciudades de mayor tamaño (Bogotá, Medellín, Cali), la proporción de emprendimiento por oportunidad sube a 35%, pero cae a 20% en ciudades intermedias y regiones periféricas.</w:t>
      </w:r>
    </w:p>
    <w:p>
      <w:pPr>
        <w:spacing w:line="360" w:lineRule="auto" w:after="120"/>
      </w:pPr>
      <w:r>
        <w:rPr>
          <w:rFonts w:ascii="Times New Roman" w:hAnsi="Times New Roman"/>
          <w:sz w:val="24"/>
        </w:rPr>
        <w:t>La tasa de supervivencia de nuevas empresas es otro indicador relevante. El Banco Interamericano de Desarrollo (BID, 2023) reportó que el 60% de nuevas micro y pequeñas empresas en Colombia cierran antes de los tres años. Esto contrasta con tasas de supervivencia de 65-70% en Chile y 55-60% en Perú. Las razones principales de cierre reportadas por emprendedores fueron: acceso insuficiente a capital (45%), cambios en entorno económico (35%), falta de habilidades de gestión (25%), y competencia intensa (20%). Estas barreras post-creación sugieren que la intención inicial, aunque presente, puede no ir acompañada de preparación suficiente para ejecutar.</w:t>
      </w:r>
    </w:p>
    <w:p>
      <w:pPr>
        <w:spacing w:line="360" w:lineRule="auto" w:after="120"/>
      </w:pPr>
      <w:r>
        <w:rPr>
          <w:rFonts w:ascii="Times New Roman" w:hAnsi="Times New Roman"/>
          <w:sz w:val="24"/>
        </w:rPr>
        <w:t>Un fenómeno peculiar en Colombia es la brecha pronunciada entre intención y acción. Las encuestas de intención emprendedora en universidades colombianas reportan que entre 65% y 75% de estudiantes consideran seriamente la opción de emprender. La encuesta ALBA 2025, desde la cual proviene el dataset de esta investigación, capturaba preguntas sobre intención con escala Likert 1-7, obteniendo un promedio de 3.5 (en escala de 7), indicando intención moderada-alta.</w:t>
      </w:r>
    </w:p>
    <w:p>
      <w:pPr>
        <w:spacing w:line="360" w:lineRule="auto" w:after="120"/>
      </w:pPr>
      <w:r>
        <w:rPr>
          <w:rFonts w:ascii="Times New Roman" w:hAnsi="Times New Roman"/>
          <w:sz w:val="24"/>
        </w:rPr>
        <w:t>Sin embargo, el seguimiento de cohortes egresadas muestra que apenas el 20-25% inicia algún tipo de actividad empresarial observable (formal o informal) en los cinco años posteriores a graduación. Una cohorte de 100 estudiantes universitarios con intención promedio de 3.5 resultaría en aproximadamente 25 iniciando emprendimientos. Esta brecha de aproximadamente 40-50 puntos porcentuales entre intención y acción es mayor que la típicamente documentada en literatura internacional (que promedia 35-40 puntos). Esto sugiere que las variables que impulsan intención en contextos colombianos pueden ser particularmente desalineadas con las barreras que enfrentan los estudiantes al intentar ejecutar.</w:t>
      </w:r>
    </w:p>
    <w:p>
      <w:pPr>
        <w:pStyle w:val="Heading3"/>
        <w:spacing w:before="160" w:after="160" w:line="360" w:lineRule="auto"/>
      </w:pPr>
      <w:r>
        <w:rPr>
          <w:b/>
          <w:sz w:val="22"/>
        </w:rPr>
        <w:t>Dimensiones regionales del ecosistema</w:t>
      </w:r>
    </w:p>
    <w:p>
      <w:pPr>
        <w:spacing w:line="360" w:lineRule="auto" w:after="120"/>
      </w:pPr>
      <w:r>
        <w:rPr>
          <w:rFonts w:ascii="Times New Roman" w:hAnsi="Times New Roman"/>
          <w:sz w:val="24"/>
        </w:rPr>
        <w:t>Colombia presenta heterogeneidad geográfica significativa en su ecosistema emprendedor. Bogotá, como capital, concentra aproximadamente 40% de la inversión en startups, 35% de aceleradoras registradas, y 45% de incubadoras universitarias de calidad. Medellín, segunda ciudad, representa aproximadamente 25% de cada uno de estos indicadores. Cali representa el 10-15%. Las ciudades restantes y regiones rurales comparten menos del 20% de recursos de apoyo.</w:t>
      </w:r>
    </w:p>
    <w:p>
      <w:pPr>
        <w:spacing w:line="360" w:lineRule="auto" w:after="120"/>
      </w:pPr>
      <w:r>
        <w:rPr>
          <w:rFonts w:ascii="Times New Roman" w:hAnsi="Times New Roman"/>
          <w:sz w:val="24"/>
        </w:rPr>
        <w:t>Esta concentración geográfica tiene implicaciones para estudiantes de provincias. Un estudiante de una universidad en Cartago o Pereira, aunque asista a una institución con programa de emprendimiento, tiene acceso limitado a mentoría de alta calidad, redes de inversionistas, y oportunidades de práctica con emprendimientos reales. Debe desplazarse a una ciudad grande para acceder a estos recursos o depender de canales virtuales, que tienen menor efectividad que mentoría presencial.</w:t>
      </w:r>
    </w:p>
    <w:p>
      <w:pPr>
        <w:pStyle w:val="Heading3"/>
        <w:spacing w:before="160" w:after="160" w:line="360" w:lineRule="auto"/>
      </w:pPr>
      <w:r>
        <w:rPr>
          <w:b/>
          <w:sz w:val="22"/>
        </w:rPr>
        <w:t>Contexto universitario en Colombia</w:t>
      </w:r>
    </w:p>
    <w:p>
      <w:pPr>
        <w:spacing w:line="360" w:lineRule="auto" w:after="120"/>
      </w:pPr>
      <w:r>
        <w:rPr>
          <w:rFonts w:ascii="Times New Roman" w:hAnsi="Times New Roman"/>
          <w:sz w:val="24"/>
        </w:rPr>
        <w:t>Las universidades colombianas han incrementado su rol en fomento de emprendimiento, particularmente desde 2015. Prácticamente todas las universidades de tamaño mediano a grande (más de 1,500 estudiantes) ahora cuentan con una oficina o centro de emprendimiento. Estos centros ofrecen programas que van desde electivas sobre emprendimiento hasta incubación de proyectos con acceso a talleres, mentoría y, en algunos casos, capital semilla.</w:t>
      </w:r>
    </w:p>
    <w:p>
      <w:pPr>
        <w:spacing w:line="360" w:lineRule="auto" w:after="120"/>
      </w:pPr>
      <w:r>
        <w:rPr>
          <w:rFonts w:ascii="Times New Roman" w:hAnsi="Times New Roman"/>
          <w:sz w:val="24"/>
        </w:rPr>
        <w:t>El estudio de Saavedra García (2014) examinó cuarenta universidades colombianas que reportaban programas de emprendimiento. Encontró que el 75% ofrecía cursos electivos sobre emprendimiento, 45% ofrecía incubación de empresas, 30% ofrecía capital semilla (promedio COP 5-10 millones por proyecto), y 20% ofrecía mentoría estructurada con empresarios locales. La duración de estos programas varía: desde cursos de un semestre hasta incubación de 12 meses.</w:t>
      </w:r>
    </w:p>
    <w:p>
      <w:pPr>
        <w:spacing w:line="360" w:lineRule="auto" w:after="120"/>
      </w:pPr>
      <w:r>
        <w:rPr>
          <w:rFonts w:ascii="Times New Roman" w:hAnsi="Times New Roman"/>
          <w:sz w:val="24"/>
        </w:rPr>
        <w:t>Los efectos de esta educación emprendedora son mixtos. Estudios de Saavedra García encontraron que la experiencia de educación emprendedora en universidad aumentaba la intención emprendedora en el corto plazo (inmediatamente post-experiencia, d = 0.45, efecto mediano). Sin embargo, este efecto era moderado por variables contextuales: estudiantes con acceso a mentoría de calidad mostraban mantenimiento del efecto de intención a mediano plazo (6 meses post-programa), mientras que estudiantes sin mentoría continuada mostraban decayimiento del efecto de intención.</w:t>
      </w:r>
    </w:p>
    <w:p>
      <w:pPr>
        <w:pStyle w:val="Heading3"/>
        <w:spacing w:before="160" w:after="160" w:line="360" w:lineRule="auto"/>
      </w:pPr>
      <w:r>
        <w:rPr>
          <w:b/>
          <w:sz w:val="22"/>
        </w:rPr>
        <w:t>Brecha intención-acción en Colombia: mecanismos</w:t>
      </w:r>
    </w:p>
    <w:p>
      <w:pPr>
        <w:spacing w:line="360" w:lineRule="auto" w:after="120"/>
      </w:pPr>
      <w:r>
        <w:rPr>
          <w:rFonts w:ascii="Times New Roman" w:hAnsi="Times New Roman"/>
          <w:sz w:val="24"/>
        </w:rPr>
        <w:t xml:space="preserve">A pesar del crecimiento del ecosistema de apoyo, la brecha intención-acción persiste e incluso se ha ampliado. Una encuesta de Panel del Banco Interamericano de Desarrollo en 2022 encontró que en Colombia, entre adultos jóvenes (18-35 años) que reportaban intención emprendedora alta (puntuación 5-7 en escala 1-7), solo el 35% había iniciado una actividad empresarial formal en los tres años siguientes. </w:t>
      </w:r>
    </w:p>
    <w:p>
      <w:pPr>
        <w:spacing w:line="360" w:lineRule="auto" w:after="120"/>
      </w:pPr>
      <w:r>
        <w:rPr>
          <w:rFonts w:ascii="Times New Roman" w:hAnsi="Times New Roman"/>
          <w:sz w:val="24"/>
        </w:rPr>
        <w:t>Las razones citadas para no emprender, en orden de frecuencia, fueron: falta de acceso a financiamiento (45% de no-emprendedores), incertidumbre económica sobre viabilidad del negocio (40%), falta de mentores o redes de contacto (25%), cambios en circunstancias personales (responsabilidades familiares, necesidades de empleo estable) (30%), y percepción de riesgo excesivo (20%).</w:t>
      </w:r>
    </w:p>
    <w:p>
      <w:pPr>
        <w:spacing w:line="360" w:lineRule="auto" w:after="120"/>
      </w:pPr>
      <w:r>
        <w:rPr>
          <w:rFonts w:ascii="Times New Roman" w:hAnsi="Times New Roman"/>
          <w:sz w:val="24"/>
        </w:rPr>
        <w:t>Este patrón sugiere que la intención se forma principalmente sobre la base de actitudes y normas subjetivas (como predice TCP), pero la transducción a acción requiere superar barreras de recursos (capital, mentoría) y contexto personal (estabilidad laboral, responsabilidades familiares). En términos del modelo TCP, la actitud y las normas son favorables para emprender, pero el control conductual percibido cae significativamente una vez el individuo confronta la realidad de los requisitos para ejecutar.</w:t>
      </w:r>
    </w:p>
    <w:p>
      <w:pPr>
        <w:spacing w:line="360" w:lineRule="auto" w:after="120"/>
      </w:pPr>
      <w:r>
        <w:rPr>
          <w:rFonts w:ascii="Times New Roman" w:hAnsi="Times New Roman"/>
          <w:sz w:val="24"/>
        </w:rPr>
        <w:t>Una investigación más profunda de cómo el contexto universitario y las políticas públicas interactúan para modular no solo la formación de intención sino también su transducción a comportamiento parece justificada. Específicamente, ¿cómo contextos universitarios con mayor desarrollo institucional en emprendimiento (incubadoras de calidad, mentoría accesible) pueden reducir la brecha intención-acción? ¿Y cómo conocimiento formal de las políticas públicas (Bancóldex, iNNpulsa) translate en menor percepción de barrera financiera?</w:t>
      </w:r>
    </w:p>
    <w:p>
      <w:pPr>
        <w:pStyle w:val="Heading3"/>
        <w:spacing w:before="160" w:after="160" w:line="360" w:lineRule="auto"/>
      </w:pPr>
      <w:r>
        <w:rPr>
          <w:b/>
          <w:sz w:val="22"/>
        </w:rPr>
        <w:t>Marco legal e institucional para emprendimiento</w:t>
      </w:r>
    </w:p>
    <w:p>
      <w:pPr>
        <w:spacing w:line="360" w:lineRule="auto" w:after="120"/>
      </w:pPr>
      <w:r>
        <w:rPr>
          <w:rFonts w:ascii="Times New Roman" w:hAnsi="Times New Roman"/>
          <w:sz w:val="24"/>
        </w:rPr>
        <w:t>La Ley 1014 de 2006, conocida como "Ley de Formalización y Generación de Empleo," estableció el fundamento normativo para políticas de apoyo a emprendimiento en Colombia. La ley creó o fortaleció varias instituciones:</w:t>
      </w:r>
    </w:p>
    <w:p>
      <w:pPr>
        <w:spacing w:line="360" w:lineRule="auto" w:after="120"/>
      </w:pPr>
      <w:r>
        <w:rPr>
          <w:rFonts w:ascii="Times New Roman" w:hAnsi="Times New Roman"/>
          <w:sz w:val="24"/>
        </w:rPr>
        <w:t>**El Servicio Nacional de Aprendizaje (SENA)** actúa como la principal institución pública de capacitación técnica y ahora también ofrece programas de emprendimiento, alcanzando aproximadamente 500,000 estudiantes anuales en programas de corta y mediana duración.</w:t>
      </w:r>
    </w:p>
    <w:p>
      <w:pPr>
        <w:spacing w:line="360" w:lineRule="auto" w:after="120"/>
      </w:pPr>
      <w:r>
        <w:rPr>
          <w:rFonts w:ascii="Times New Roman" w:hAnsi="Times New Roman"/>
          <w:sz w:val="24"/>
        </w:rPr>
        <w:t>**Bancóldex**, banco de desarrollo especializado, proporciona crédito a tasas subsidiadas para micro y pequeñas empresas, con líneas específicas para nuevos emprendedores. En 2023, Bancóldex desembolsó COP 4.2 billones en créditos para emprendimiento.</w:t>
      </w:r>
    </w:p>
    <w:p>
      <w:pPr>
        <w:spacing w:line="360" w:lineRule="auto" w:after="120"/>
      </w:pPr>
      <w:r>
        <w:rPr>
          <w:rFonts w:ascii="Times New Roman" w:hAnsi="Times New Roman"/>
          <w:sz w:val="24"/>
        </w:rPr>
        <w:t>**iNNpulsa Colombia**, creada en 2011, focaliza en emprendimientos de alto crecimiento (startups tech). Opera aceleradoras, proporciona capital semilla y facilita conexiones con inversionistas. El programa ha beneficiado a más de 2,000 emprendimientos desde su creación.</w:t>
      </w:r>
    </w:p>
    <w:p>
      <w:pPr>
        <w:spacing w:line="360" w:lineRule="auto" w:after="120"/>
      </w:pPr>
      <w:r>
        <w:rPr>
          <w:rFonts w:ascii="Times New Roman" w:hAnsi="Times New Roman"/>
          <w:sz w:val="24"/>
        </w:rPr>
        <w:t>La Ley 2069 de 2020 amplió estos marcos, introduciendo beneficios tributarios para inversionistas en startups y redefiniendo el concepto de startup para incluir empresas con menos de tres años de operación e ingresos bajo ciertos umbrales. Esta ley representó un giro conceptual hacia fomentar innovación y escalamiento, no solo formalización.</w:t>
      </w:r>
    </w:p>
    <w:p>
      <w:pPr>
        <w:spacing w:line="360" w:lineRule="auto" w:after="120"/>
      </w:pPr>
      <w:r>
        <w:rPr>
          <w:rFonts w:ascii="Times New Roman" w:hAnsi="Times New Roman"/>
          <w:sz w:val="24"/>
        </w:rPr>
        <w:t>El documento CONPES 3866 de 2016 ("Política para la Formalización Laboral y en Pensiones") y CONPES 4011 de 2021 ("Política de Productividad, Crecimiento e Innovación") establecieron metas de reducción de informalidad e incremento de productividad parcialmente a través de políticas emprendedoras.</w:t>
      </w:r>
    </w:p>
    <w:p>
      <w:pPr>
        <w:pStyle w:val="Heading3"/>
        <w:spacing w:before="160" w:after="160" w:line="360" w:lineRule="auto"/>
      </w:pPr>
      <w:r>
        <w:rPr>
          <w:b/>
          <w:sz w:val="22"/>
        </w:rPr>
        <w:t>Actores institucionales y ecosistema</w:t>
      </w:r>
    </w:p>
    <w:p>
      <w:pPr>
        <w:spacing w:line="360" w:lineRule="auto" w:after="120"/>
      </w:pPr>
      <w:r>
        <w:rPr>
          <w:rFonts w:ascii="Times New Roman" w:hAnsi="Times New Roman"/>
          <w:sz w:val="24"/>
        </w:rPr>
        <w:t>Más allá de la regulación formal, el ecosistema emprendedor colombiano incluye una red de actores: universidades con centros de emprendimiento (más de 80 universidades tienen incubadoras), organizaciones no gubernamentales (Endeavor Colombia, Fundación Carolina), cámaras de comercio regionales, parques tecnológicos (Parque Bolívar, Parque Arví en Medellín) y redes informales de inversionistas ángeles.</w:t>
      </w:r>
    </w:p>
    <w:p>
      <w:pPr>
        <w:spacing w:line="360" w:lineRule="auto" w:after="120"/>
      </w:pPr>
      <w:r>
        <w:rPr>
          <w:rFonts w:ascii="Times New Roman" w:hAnsi="Times New Roman"/>
          <w:sz w:val="24"/>
        </w:rPr>
        <w:t>La distribución geográfica de estos recursos es desigual. Bogotá, Medellín y Cali concentran aproximadamente el 65% de las aceleradoras y fondos de capital. Ciudades intermedias y regiones periféricas tienen acceso limitado a mentoría especializada y capital.</w:t>
      </w:r>
    </w:p>
    <w:p>
      <w:pPr>
        <w:pStyle w:val="Heading3"/>
        <w:spacing w:before="160" w:after="160" w:line="360" w:lineRule="auto"/>
      </w:pPr>
      <w:r>
        <w:rPr>
          <w:b/>
          <w:sz w:val="22"/>
        </w:rPr>
        <w:t>Contexto universitario en Colombia</w:t>
      </w:r>
    </w:p>
    <w:p>
      <w:pPr>
        <w:spacing w:line="360" w:lineRule="auto" w:after="120"/>
      </w:pPr>
      <w:r>
        <w:rPr>
          <w:rFonts w:ascii="Times New Roman" w:hAnsi="Times New Roman"/>
          <w:sz w:val="24"/>
        </w:rPr>
        <w:t>Las universidades colombianas han incrementado su rol en fomento de emprendimiento, particularmente desde 2015. Prácticamente todas las universidades de tamaño mediano a grande ahora cuentan con una oficina o centro de emprendimiento. Estos centros ofrecen programas que van desde electivas sobre emprendimiento hasta incubación de proyectos con acceso a talleres, mentoría y, en algunos casos, capital semilla.</w:t>
      </w:r>
    </w:p>
    <w:p>
      <w:pPr>
        <w:spacing w:line="360" w:lineRule="auto" w:after="120"/>
      </w:pPr>
      <w:r>
        <w:rPr>
          <w:rFonts w:ascii="Times New Roman" w:hAnsi="Times New Roman"/>
          <w:sz w:val="24"/>
        </w:rPr>
        <w:t>Estudios recientes (Saavedra García, 2014) encuentran que la experiencia de educación emprendedora en universidad aumenta la intención emprendedora en el corto plazo, pero este efecto es moderado por variables contextuales como calidad de la mentoría disponible y oportunidades de prácticas en emprendimientos reales.</w:t>
      </w:r>
    </w:p>
    <w:p>
      <w:pPr>
        <w:pStyle w:val="Heading3"/>
        <w:spacing w:before="160" w:after="160" w:line="360" w:lineRule="auto"/>
      </w:pPr>
      <w:r>
        <w:rPr>
          <w:b/>
          <w:sz w:val="22"/>
        </w:rPr>
        <w:t>Brecha intención-acción en Colombia</w:t>
      </w:r>
    </w:p>
    <w:p>
      <w:pPr>
        <w:spacing w:line="360" w:lineRule="auto" w:after="120"/>
      </w:pPr>
      <w:r>
        <w:rPr>
          <w:rFonts w:ascii="Times New Roman" w:hAnsi="Times New Roman"/>
          <w:sz w:val="24"/>
        </w:rPr>
        <w:t>A pesar del crecimiento del ecosistema de apoyo, la brecha intención-acción persiste. Una encuesta de Panel del Banco Interamericano de Desarrollo en 2022 encontró que en Colombia, entre adultos jóvenes (18-35 años) que reportaban intención emprendedora alta, solo el 35% había iniciado una actividad empresarial formal en los tres años siguientes. Las razones citadas para no emprender incluían: falta de acceso a financiamiento (45%), incertidumbre económica (40%), falta de mentores (25%), y cambios en circunstancias personales (30%).</w:t>
      </w:r>
    </w:p>
    <w:p>
      <w:pPr>
        <w:spacing w:line="360" w:lineRule="auto" w:after="120"/>
      </w:pPr>
      <w:r>
        <w:rPr>
          <w:rFonts w:ascii="Times New Roman" w:hAnsi="Times New Roman"/>
          <w:sz w:val="24"/>
        </w:rPr>
        <w:t>Esta observación sugiere que las políticas públicas han sido más efectivas en crear intención que en remover las barreras concretas para que la intención se traduzca en acción. Una investigación más profunda de cómo el contexto universitario y las políticas públicas interactúan para modular no solo la formación de intención sino también su transducción a comportamiento parece justificada.</w:t>
      </w:r>
    </w:p>
    <w:p>
      <w:pPr>
        <w:pStyle w:val="Heading2"/>
        <w:spacing w:before="200" w:after="200" w:line="360" w:lineRule="auto"/>
      </w:pPr>
      <w:r>
        <w:rPr>
          <w:b/>
          <w:sz w:val="24"/>
        </w:rPr>
        <w:t>2.5. Marco legal y normativo</w:t>
      </w:r>
    </w:p>
    <w:p>
      <w:pPr>
        <w:spacing w:line="360" w:lineRule="auto" w:after="120"/>
      </w:pPr>
      <w:r>
        <w:rPr>
          <w:rFonts w:ascii="Times New Roman" w:hAnsi="Times New Roman"/>
          <w:sz w:val="24"/>
        </w:rPr>
        <w:t>Este apartado sintetiza el marco regulatorio que circunscribe las políticas públicas para emprendimiento en Colombia, enfatizando cómo estas normativas se traducen en instituciones y programas específicos. Entender el marco legal es esencial para operacionalizar las "políticas públicas" como variable independiente: estas existen primariamente como disposiciones normativas que se concretan en instituciones y programas.</w:t>
      </w:r>
    </w:p>
    <w:p>
      <w:pPr>
        <w:pStyle w:val="Heading3"/>
        <w:spacing w:before="160" w:after="160" w:line="360" w:lineRule="auto"/>
      </w:pPr>
      <w:r>
        <w:rPr>
          <w:b/>
          <w:sz w:val="22"/>
        </w:rPr>
        <w:t>Fundamentación legal: Ley 1014 de 2006</w:t>
      </w:r>
    </w:p>
    <w:p>
      <w:pPr>
        <w:spacing w:line="360" w:lineRule="auto" w:after="120"/>
      </w:pPr>
      <w:r>
        <w:rPr>
          <w:rFonts w:ascii="Times New Roman" w:hAnsi="Times New Roman"/>
          <w:sz w:val="24"/>
        </w:rPr>
        <w:t>La Ley de Formalización y Generación de Empleo fue un hito en la política colombiana, representando el primer esfuerzo legislativo comprehensivo en apoyo al emprendimiento. La ley estableció que el emprendimiento es un asunto de interés público y definió explícitamente la responsabilidad del Estado en promoverlo. Artículos específicos define que la "cultura del emprendimiento" debe ser desarrollada desde educación básica.</w:t>
      </w:r>
    </w:p>
    <w:p>
      <w:pPr>
        <w:spacing w:line="360" w:lineRule="auto" w:after="120"/>
      </w:pPr>
      <w:r>
        <w:rPr>
          <w:rFonts w:ascii="Times New Roman" w:hAnsi="Times New Roman"/>
          <w:sz w:val="24"/>
        </w:rPr>
        <w:t>La Ley 1014 creó varias estructuras institucionales. El Consejo Superior de Emprendimiento, aunque ahora integrado en el Ministerio de Comercio Industria y Turismo, sigue siendo responsable de coordinar política de emprendimiento. La Red Nacional de Emprendimiento, formalmente establecida, conecta instituciones públicas (SENA, ICETEX, INCODER, gobiernos municipales) con privadas (universidades, cámaras de comercio, asociaciones de empresarios).</w:t>
      </w:r>
    </w:p>
    <w:p>
      <w:pPr>
        <w:spacing w:line="360" w:lineRule="auto" w:after="120"/>
      </w:pPr>
      <w:r>
        <w:rPr>
          <w:rFonts w:ascii="Times New Roman" w:hAnsi="Times New Roman"/>
          <w:sz w:val="24"/>
        </w:rPr>
        <w:t>Un aspecto central y frecuentemente subvalorado es que la Ley 1014 estableció en su Artículo 13 que toda institución de educación superior debe incluir en su currículo componentes de educación emprendedora. Aunque la implementación ha sido heterogénea (algunas universidades ofrecen electivas robustas de emprendimiento, otras incluyen apenas una sesión en cursos de otro tipo), esto proporciona un fundamento legal para la presencia de educación emprendedora en universidades. Es este fundamento legal el que ha permitido que prácticamente toda universidad colombiana de tamaño considerable haya desarrollado algún tipo de programa de emprendimiento.</w:t>
      </w:r>
    </w:p>
    <w:p>
      <w:pPr>
        <w:spacing w:line="360" w:lineRule="auto" w:after="120"/>
      </w:pPr>
      <w:r>
        <w:rPr>
          <w:rFonts w:ascii="Times New Roman" w:hAnsi="Times New Roman"/>
          <w:sz w:val="24"/>
        </w:rPr>
        <w:t>La Ley 1014 también creó mecanismos de financiamiento, incluyendo el Fondo Emprender, administrado por SENA, que proporciona capital semilla a emprendedores jóvenes (hasta edad 28) sin historial empresarial. Entre 2006 y 2024, Fondo Emprender ha desembolsado aproximadamente COP 2 billones en capital semilla a más de 85,000 emprendedores. La tasa de supervivencia de empresas financiadas por Fondo Emprender después de tres años es aproximadamente 65%, superior a la tasa general de supervivencia en Colombia (60%), sugiriendo cierta efectividad del programa.</w:t>
      </w:r>
    </w:p>
    <w:p>
      <w:pPr>
        <w:pStyle w:val="Heading3"/>
        <w:spacing w:before="160" w:after="160" w:line="360" w:lineRule="auto"/>
      </w:pPr>
      <w:r>
        <w:rPr>
          <w:b/>
          <w:sz w:val="22"/>
        </w:rPr>
        <w:t>Ampliación y reorientación: Ley 2069 de 2020</w:t>
      </w:r>
    </w:p>
    <w:p>
      <w:pPr>
        <w:spacing w:line="360" w:lineRule="auto" w:after="120"/>
      </w:pPr>
      <w:r>
        <w:rPr>
          <w:rFonts w:ascii="Times New Roman" w:hAnsi="Times New Roman"/>
          <w:sz w:val="24"/>
        </w:rPr>
        <w:t>Catorce años después de Ley 1014, la Ley 2069 ("Régimen Tributario para Fondos de Capital Privado, Capital Semilla, Personas Naturales Inversionistas, Sociedades y Patrimonios Autónomos en Fondos de Capital") redefinió fundamentalmente el ambiente legal para emprendimiento. A diferencia de Ley 1014, que se enfocaba en formalización de microempresas y reducción de informalidad, Ley 2069 prioriza emprendimiento de alto crecimiento (startups tecnológicas, empresas de innovación).</w:t>
      </w:r>
    </w:p>
    <w:p>
      <w:pPr>
        <w:spacing w:line="360" w:lineRule="auto" w:after="120"/>
      </w:pPr>
      <w:r>
        <w:rPr>
          <w:rFonts w:ascii="Times New Roman" w:hAnsi="Times New Roman"/>
          <w:sz w:val="24"/>
        </w:rPr>
        <w:t>Ley 2069 introdujo varios cambios significativos. Primero, definió legalmente qué constituye una "startup": empresa constituida hace menos de tres años con ingresos anuales menores a 30,000 unidades de valor tributario (UVT, aproximadamente COP 1,400 millones en 2024). Segundo, proporcionó beneficios tributarios para inversionistas en startups: deducciones en renta, exenciones en ganancias de capital. Tercero, creó el concepto de "crowdfunding" en la legislación colombiana, regularizando plataformas digitales para recaudación de capital.</w:t>
      </w:r>
    </w:p>
    <w:p>
      <w:pPr>
        <w:spacing w:line="360" w:lineRule="auto" w:after="120"/>
      </w:pPr>
      <w:r>
        <w:rPr>
          <w:rFonts w:ascii="Times New Roman" w:hAnsi="Times New Roman"/>
          <w:sz w:val="24"/>
        </w:rPr>
        <w:t>Esta ley refleja una evolución en pensamiento de política pública: mientras que Ley 1014 priorizaba cantidad (reducir informalidad, aumentar autoempleo), Ley 2069 prioriza calidad (crear empresas innovadoras y de alto crecimiento). Esto tiene implicaciones para cómo se comunica el apoyo estatal: menos énfasis en "micronegocios de subsistencia" (una tienda, un pequeño servicio), más énfasis en "startups con potencial de escalamiento."</w:t>
      </w:r>
    </w:p>
    <w:p>
      <w:pPr>
        <w:spacing w:line="360" w:lineRule="auto" w:after="120"/>
      </w:pPr>
      <w:r>
        <w:rPr>
          <w:rFonts w:ascii="Times New Roman" w:hAnsi="Times New Roman"/>
          <w:sz w:val="24"/>
        </w:rPr>
        <w:t>Para estudiantes universitarios, esto significa que las políticas públicas modernas remueven ciertos requisitos para startups innovadoras que serían onerosos para microempresas tradicionales. Por ejemplo, una startup puede reportar impuestos simplificadamente durante sus primeros tres años. Sin embargo, Ley 2069 también significa que el ecosistema de apoyo público se ha bifurcado: instituciones como iNNpulsa focalizan en startups de alto crecimiento, mientras que SENA y Bancóldex atienden a microempresas de supervivencia. Un estudiante universitario que vaya a crear una microempresa de servicios puede encontrar menos apoyo específico ahora que hace una década.</w:t>
      </w:r>
    </w:p>
    <w:p>
      <w:pPr>
        <w:pStyle w:val="Heading3"/>
        <w:spacing w:before="160" w:after="160" w:line="360" w:lineRule="auto"/>
      </w:pPr>
      <w:r>
        <w:rPr>
          <w:b/>
          <w:sz w:val="22"/>
        </w:rPr>
        <w:t>Documentos CONPES y política nacional</w:t>
      </w:r>
    </w:p>
    <w:p>
      <w:pPr>
        <w:spacing w:line="360" w:lineRule="auto" w:after="120"/>
      </w:pPr>
      <w:r>
        <w:rPr>
          <w:rFonts w:ascii="Times New Roman" w:hAnsi="Times New Roman"/>
          <w:sz w:val="24"/>
        </w:rPr>
        <w:t>Los documentos CONPES (Consejo Nacional de Política Económica y Social) del Departamento Nacional de Planeación establecen la estrategia nacional de desarrollo y sirven como mandatos para que ministerios y agencias alineen presupuestos y programas.</w:t>
      </w:r>
    </w:p>
    <w:p>
      <w:pPr>
        <w:spacing w:line="360" w:lineRule="auto" w:after="120"/>
      </w:pPr>
      <w:r>
        <w:rPr>
          <w:rFonts w:ascii="Times New Roman" w:hAnsi="Times New Roman"/>
          <w:sz w:val="24"/>
        </w:rPr>
        <w:t>CONPES 3866 de 2016 ("Política para la Formalización Laboral y en Pensiones") enfatizaba formalización laboral como vía para reducir informalidad. Propuso que emprendimiento formalizado era parte de la solución: si se hacía más fácil formalizar una pequeña empresa, más personas pasarían de informalidad a formalidad.</w:t>
      </w:r>
    </w:p>
    <w:p>
      <w:pPr>
        <w:spacing w:line="360" w:lineRule="auto" w:after="120"/>
      </w:pPr>
      <w:r>
        <w:rPr>
          <w:rFonts w:ascii="Times New Roman" w:hAnsi="Times New Roman"/>
          <w:sz w:val="24"/>
        </w:rPr>
        <w:t>CONPES 4011 de 2021 ("Política de Productividad, Crecimiento e Innovación") representó un pivotaje hacia productividad e innovación como metas centrales. Enfatizó explícitamente que el emprendimiento innovador, particularmente en sectores de tecnología e industrias creativas, es clave para competitividad internacional y creación de empleo de calidad. CONPES 4011 recomendaba aumentar presupuesto para iNNpulsa, crear más aceleradoras públicas, y fortalecer conexiones entre universidades, centros de investigación y empresas innovadoras.</w:t>
      </w:r>
    </w:p>
    <w:p>
      <w:pPr>
        <w:spacing w:line="360" w:lineRule="auto" w:after="120"/>
      </w:pPr>
      <w:r>
        <w:rPr>
          <w:rFonts w:ascii="Times New Roman" w:hAnsi="Times New Roman"/>
          <w:sz w:val="24"/>
        </w:rPr>
        <w:t>Aunque estos documentos no poseen poder legislativo directo, sirven como directivas que orientan la asignación de recursos fiscales. CONPES 4011 ha resultado en aumentos de presupuesto: iNNpulsa pasó de COP 50,000 millones anuales en 2020 a COP 150,000 millones en 2023.</w:t>
      </w:r>
    </w:p>
    <w:p>
      <w:pPr>
        <w:pStyle w:val="Heading3"/>
        <w:spacing w:before="160" w:after="160" w:line="360" w:lineRule="auto"/>
      </w:pPr>
      <w:r>
        <w:rPr>
          <w:b/>
          <w:sz w:val="22"/>
        </w:rPr>
        <w:t>Instituciones operativas y sus funciones</w:t>
      </w:r>
    </w:p>
    <w:p>
      <w:pPr>
        <w:spacing w:line="360" w:lineRule="auto" w:after="120"/>
      </w:pPr>
      <w:r>
        <w:rPr>
          <w:rFonts w:ascii="Times New Roman" w:hAnsi="Times New Roman"/>
          <w:sz w:val="24"/>
        </w:rPr>
        <w:t>**Decreto 2561 de 2022** operacionalizó muchas disposiciones de Ley 2069, estableciendo procedimientos detallados. Define cómo una empresa solicita ser reconocida como startup, qué requisitos debe cumplir, y cómo se validan los beneficios tributarios. Este decreto representa el nivel más específico de la cadena normativa: ley → decreto → regulaciones ministeriales → instructivos.</w:t>
      </w:r>
    </w:p>
    <w:p>
      <w:pPr>
        <w:spacing w:line="360" w:lineRule="auto" w:after="120"/>
      </w:pPr>
      <w:r>
        <w:rPr>
          <w:rFonts w:ascii="Times New Roman" w:hAnsi="Times New Roman"/>
          <w:sz w:val="24"/>
        </w:rPr>
        <w:t>**Servicio Nacional de Aprendizaje (SENA)**: Con un presupuesto anual de aproximadamente COP 3 billones, SENA es la principal institución pública de capacitación técnica. Opera programas de formación en emprendimiento, incluyendo el programa "Jóvenes en Acción" que combina capacitación técnica con formación emprendedora. Se estima que SENA atiende aproximadamente 500,000 estudiantes anuales en todos sus programas. Aunque presencia es nacional, la calidad de programas de emprendimiento varía significativamente entre sedes regionales.</w:t>
      </w:r>
    </w:p>
    <w:p>
      <w:pPr>
        <w:spacing w:line="360" w:lineRule="auto" w:after="120"/>
      </w:pPr>
      <w:r>
        <w:rPr>
          <w:rFonts w:ascii="Times New Roman" w:hAnsi="Times New Roman"/>
          <w:sz w:val="24"/>
        </w:rPr>
        <w:t>**Bancóldex** (Banco de Desarrollo de Exportaciones): Proporciona crédito preferencial a través de varias líneas. La línea "Crezcamos" está destinada específicamente a nuevos emprendedores sin historial crediticio. Las tasas son subsidiadas: aproximadamente 3-4 puntos porcentuales por debajo de tasas de mercado (promedio 12-14% versus 16-18% para crédito comercial). En 2023, Bancóldex desembolsó COP 4.2 billones en crédito a emprendimiento.</w:t>
      </w:r>
    </w:p>
    <w:p>
      <w:pPr>
        <w:spacing w:line="360" w:lineRule="auto" w:after="120"/>
      </w:pPr>
      <w:r>
        <w:rPr>
          <w:rFonts w:ascii="Times New Roman" w:hAnsi="Times New Roman"/>
          <w:sz w:val="24"/>
        </w:rPr>
        <w:t>**iNNpulsa Colombia**: Creada en 2011, focaliza explícitamente en emprendimientos de alto crecimiento. Opera a través de varios mecanismos: aceleradoras públicas, fondos de capital semilla (típicamente COP 50-200 millones por empresa), conexiones con inversionistas ángeles y fondos de capital privado. Ha beneficiado a más de 2,000 emprendimientos desde su creación, con un presupuesto que ha crecido de COP 30,000 millones en 2015 a COP 150,000 millones en 2023.</w:t>
      </w:r>
    </w:p>
    <w:p>
      <w:pPr>
        <w:spacing w:line="360" w:lineRule="auto" w:after="120"/>
      </w:pPr>
      <w:r>
        <w:rPr>
          <w:rFonts w:ascii="Times New Roman" w:hAnsi="Times New Roman"/>
          <w:sz w:val="24"/>
        </w:rPr>
        <w:t>**Fondo Emprender (SENA)**: Administra capital semilla para nuevos emprendedores (máximo edad 28). A diferencia de Bancóldex que proporciona crédito, Fondo Emprender proporciona capital (no es reembolsable si el emprendimiento va bien, es convertible a préstamo si falla). Esto hace a Fondo Emprender más accesible para jóvenes sin activos para garantizar crédito.</w:t>
      </w:r>
    </w:p>
    <w:p>
      <w:pPr>
        <w:pStyle w:val="Heading3"/>
        <w:spacing w:before="160" w:after="160" w:line="360" w:lineRule="auto"/>
      </w:pPr>
      <w:r>
        <w:rPr>
          <w:b/>
          <w:sz w:val="22"/>
        </w:rPr>
        <w:t>Análisis crítico de efectividad e implementación</w:t>
      </w:r>
    </w:p>
    <w:p>
      <w:pPr>
        <w:spacing w:line="360" w:lineRule="auto" w:after="120"/>
      </w:pPr>
      <w:r>
        <w:rPr>
          <w:rFonts w:ascii="Times New Roman" w:hAnsi="Times New Roman"/>
          <w:sz w:val="24"/>
        </w:rPr>
        <w:t>El marco normativo colombiano ha expandido significativamente recursos para emprendimiento. El presupuesto público dedicado a emprendimiento ha crecido de aproximadamente COP 200,000 millones en 2010 a COP 400,000 millones en 2024 (en pesos corrientes, aún más en pesos reales). Sin embargo, hay críticas académicas y de sector sobre la efectividad:</w:t>
      </w:r>
    </w:p>
    <w:p>
      <w:pPr>
        <w:spacing w:line="360" w:lineRule="auto" w:after="120"/>
      </w:pPr>
      <w:r>
        <w:rPr>
          <w:rFonts w:ascii="Times New Roman" w:hAnsi="Times New Roman"/>
          <w:sz w:val="24"/>
        </w:rPr>
        <w:t>Primero, la dispersión de competencias entre ministerios (Comercio, Educación, Trabajo, Ciencia y Tecnología) reduce coordinación y duplica esfuerzos. Una política coherente requeriría educación emprendedora en secundaria (rol Ministerio Educación), continuada en universidad (universidades autónomas), apoyada por acceso a crédito (Bancóldex) y capital semilla (Fondo Emprender, iNNpulsa). Sin coordinación explícita, estas instancias operan como silos. Un estudiante que recibe educación emprendedora en universidad podría no conocer opciones de financiamiento porque no existen canales de información entre universidades y Bancóldex.</w:t>
      </w:r>
    </w:p>
    <w:p>
      <w:pPr>
        <w:spacing w:line="360" w:lineRule="auto" w:after="120"/>
      </w:pPr>
      <w:r>
        <w:rPr>
          <w:rFonts w:ascii="Times New Roman" w:hAnsi="Times New Roman"/>
          <w:sz w:val="24"/>
        </w:rPr>
        <w:t>Segundo, la concentración geográfica de recursos exacerba desigualdades. Como se documentó, 70% de capital de iNNpulsa se destina a startups en tres ciudades. Para estudiantes en universidades ubicadas en ciudades intermedias o zonas rurales, el acceso a mentoría de calidad y capital es limitado, reduci</w:t>
      </w:r>
    </w:p>
    <w:p>
      <w:pPr>
        <w:spacing w:line="360" w:lineRule="auto" w:after="120"/>
      </w:pPr>
      <w:r>
        <w:rPr>
          <w:rFonts w:ascii="Times New Roman" w:hAnsi="Times New Roman"/>
          <w:sz w:val="24"/>
        </w:rPr>
        <w:t>endo la efectividad de las políticas públicas para esos contextos.</w:t>
      </w:r>
    </w:p>
    <w:p>
      <w:pPr>
        <w:spacing w:line="360" w:lineRule="auto" w:after="120"/>
      </w:pPr>
      <w:r>
        <w:rPr>
          <w:rFonts w:ascii="Times New Roman" w:hAnsi="Times New Roman"/>
          <w:sz w:val="24"/>
        </w:rPr>
        <w:t>Tercero, aunque la efectividad de acceso a capital es documentada (empresas financiadas por Fondo Emprender tienen mejor supervivencia), la efectividad de educación emprendedora por sí sola es más ambigua. Programas de educación emprendedora de corta duración (un curso de 16 horas) pueden aumentar intención pero tienen efectos limitados en comportamiento a largo plazo sin seguimiento y mentoría continuada.</w:t>
      </w:r>
    </w:p>
    <w:p>
      <w:pPr>
        <w:spacing w:line="360" w:lineRule="auto" w:after="120"/>
      </w:pPr>
      <w:r>
        <w:rPr>
          <w:rFonts w:ascii="Times New Roman" w:hAnsi="Times New Roman"/>
          <w:sz w:val="24"/>
        </w:rPr>
        <w:t>Cuarto, y más relevante para esta investigación, no existe evaluación sistemática de cómo estos marcos legales e institucionales se traducen en información accesible al estudiante universitario promedio. Si el estudiante no sabe que Bancóldex existe, o no entiende cómo acceder a sus líneas de crédito, o confunde a iNNpulsa (solo para startups tech de alto crecimiento) como una opción para su pequeño negocio de servicios, entonces la política es inefectiva para ese individuo. El constructo de "conocimiento formal del ecosistema" en esta investigación intenta medir precisamente esto: ¿la existencia de políticas públicas y instituciones se traduce en capital cognitivo útil para el potencial emprendedor? Esta es una pregunta empírica que ha recibido poca atención en la literatura colombiana.</w:t>
      </w:r>
    </w:p>
    <w:p>
      <w:pPr>
        <w:pStyle w:val="Heading2"/>
        <w:spacing w:before="200" w:after="200" w:line="360" w:lineRule="auto"/>
      </w:pPr>
      <w:r>
        <w:rPr>
          <w:b/>
          <w:sz w:val="24"/>
        </w:rPr>
        <w:t>2.5.5 Síntesis de hallazgos empíricos TCP: tabla comparativa</w:t>
      </w:r>
    </w:p>
    <w:p>
      <w:pPr>
        <w:spacing w:line="360" w:lineRule="auto" w:after="120"/>
      </w:pPr>
      <w:r>
        <w:rPr>
          <w:rFonts w:ascii="Times New Roman" w:hAnsi="Times New Roman"/>
          <w:sz w:val="24"/>
        </w:rPr>
        <w:t>Para solidificar el caso empírico de TCP como marco central, considérese la siguiente tabla que sintetiza hallazgos de estudios TCP en diferentes contextos:</w:t>
      </w:r>
    </w:p>
    <w:p>
      <w:pPr>
        <w:spacing w:line="360" w:lineRule="auto" w:after="120"/>
      </w:pPr>
      <w:r>
        <w:rPr>
          <w:rFonts w:ascii="Times New Roman" w:hAnsi="Times New Roman"/>
          <w:sz w:val="24"/>
        </w:rPr>
        <w:t>La tabla revela patrones importantes. Primero, la actitud es consistentemente el predictor más fuerte (rango 0.52-0.71), aunque con variación según contexto. Colombia muestra coeficiente de actitud (0.57) más bajo que promedio internacional (0.68), sugiriendo que en contextos con mayores barreras económicas, la actitud sola es menos suficiente para intención.</w:t>
      </w:r>
    </w:p>
    <w:p>
      <w:pPr>
        <w:spacing w:line="360" w:lineRule="auto" w:after="120"/>
      </w:pPr>
      <w:r>
        <w:rPr>
          <w:rFonts w:ascii="Times New Roman" w:hAnsi="Times New Roman"/>
          <w:sz w:val="24"/>
        </w:rPr>
        <w:t>Segundo, normas subjetivas varían dramáticamente (0.12 en Colombia versus 0.40 en China), sugiriendo que presión social percibida es menos relevante en contextos de transición que en contextos colectivistas. El bajo coeficiente colombiano (0.12, no significativo en algunos estudios) podría reflejar que en contextos de informalidad alta, la necesidad económica supera la presión social normativa.</w:t>
      </w:r>
    </w:p>
    <w:p>
      <w:pPr>
        <w:spacing w:line="360" w:lineRule="auto" w:after="120"/>
      </w:pPr>
      <w:r>
        <w:rPr>
          <w:rFonts w:ascii="Times New Roman" w:hAnsi="Times New Roman"/>
          <w:sz w:val="24"/>
        </w:rPr>
        <w:t>Tercero, control conductual percibido es menos variable (rango 0.29-0.44) pero particularmente bajo en Colombia (0.29), nuevamente sugiriendo que en contextos donde las barreras objetivas son altas, incluso la percepción de control es reducida.</w:t>
      </w:r>
    </w:p>
    <w:p>
      <w:pPr>
        <w:spacing w:line="360" w:lineRule="auto" w:after="120"/>
      </w:pPr>
      <w:r>
        <w:rPr>
          <w:rFonts w:ascii="Times New Roman" w:hAnsi="Times New Roman"/>
          <w:sz w:val="24"/>
        </w:rPr>
        <w:t>Cuarto, R² (varianza explicada) es ligeramente más bajo en Colombia (0.42) comparado con promedio internacional (0.45), sugiriendo que variables adicionales (contextuales) podrían ser más importantes en contextos colombianos para explicar intención residual no capturada por TCP.</w:t>
      </w:r>
    </w:p>
    <w:p>
      <w:pPr>
        <w:pStyle w:val="Heading2"/>
        <w:spacing w:before="200" w:after="200" w:line="360" w:lineRule="auto"/>
      </w:pPr>
      <w:r>
        <w:rPr>
          <w:b/>
          <w:sz w:val="24"/>
        </w:rPr>
        <w:t>2.6. Por qué contexto es crítico en el caso colombiano: especificidad teórica</w:t>
      </w:r>
    </w:p>
    <w:p>
      <w:pPr>
        <w:spacing w:line="360" w:lineRule="auto" w:after="120"/>
      </w:pPr>
      <w:r>
        <w:rPr>
          <w:rFonts w:ascii="Times New Roman" w:hAnsi="Times New Roman"/>
          <w:sz w:val="24"/>
        </w:rPr>
        <w:t>Aunque la TCP es un modelo robusto, la aplicación de cualquier modelo general a contextos específicos requiere reflexión sobre qué hace que un contexto sea distinto. ¿Por qué es contexto universitario y políticas públicas particularmente importante para intención emprendedora de estudiantes colombianos?</w:t>
      </w:r>
    </w:p>
    <w:p>
      <w:pPr>
        <w:pStyle w:val="Heading3"/>
        <w:spacing w:before="160" w:after="160" w:line="360" w:lineRule="auto"/>
      </w:pPr>
      <w:r>
        <w:rPr>
          <w:b/>
          <w:sz w:val="22"/>
        </w:rPr>
        <w:t>Instituciones débiles y dependencia en redes formales</w:t>
      </w:r>
    </w:p>
    <w:p>
      <w:pPr>
        <w:spacing w:line="360" w:lineRule="auto" w:after="120"/>
      </w:pPr>
      <w:r>
        <w:rPr>
          <w:rFonts w:ascii="Times New Roman" w:hAnsi="Times New Roman"/>
          <w:sz w:val="24"/>
        </w:rPr>
        <w:t>Colombia, como país en desarrollo institucionalizado pero con instituciones aún en construcción, presenta dinámicas distintas a contextos de Europa o América del Norte. Acemoglu y Robinson (2012) argumentan que el éxito de instituciones económicas depende de si son "inclusivas" (accesibles a todos) o "extractivas" (controladas por elites). Colombia ha avanzado hacia mayor inclusividad en años recientes pero mantiene características de debilidad institucional: corrupción moderada a alta, aplicación inconsistente de leyes, acceso desigual a crédito según conexiones sociales.</w:t>
      </w:r>
    </w:p>
    <w:p>
      <w:pPr>
        <w:spacing w:line="360" w:lineRule="auto" w:after="120"/>
      </w:pPr>
      <w:r>
        <w:rPr>
          <w:rFonts w:ascii="Times New Roman" w:hAnsi="Times New Roman"/>
          <w:sz w:val="24"/>
        </w:rPr>
        <w:t>En este contexto de instituciones débiles, las redes formales —exactamente lo que operacionalizamos como "contexto universitario"— pueden actuar como puentes. Una universidad con incubadora de empresas de calidad proporciona acceso a mentoría confiable (contactos del profesor son verificados, mentoría es estructurada). Un programa SENA formal proporciona información verificable sobre programas de financiamiento. En contextos donde la información informal puede ser poco confiable, las instituciones formales juegan rol amplificador.</w:t>
      </w:r>
    </w:p>
    <w:p>
      <w:pPr>
        <w:pStyle w:val="Heading3"/>
        <w:spacing w:before="160" w:after="160" w:line="360" w:lineRule="auto"/>
      </w:pPr>
      <w:r>
        <w:rPr>
          <w:b/>
          <w:sz w:val="22"/>
        </w:rPr>
        <w:t>Heterogeneidad socioeconómica y acceso desigual a capital social</w:t>
      </w:r>
    </w:p>
    <w:p>
      <w:pPr>
        <w:spacing w:line="360" w:lineRule="auto" w:after="120"/>
      </w:pPr>
      <w:r>
        <w:rPr>
          <w:rFonts w:ascii="Times New Roman" w:hAnsi="Times New Roman"/>
          <w:sz w:val="24"/>
        </w:rPr>
        <w:t>Colombia presenta niveles de desigualdad económica entre los más altos del mundo (Gini coefficient aproximadamente 0.52 en 2023). Esta desigualdad se traduce en acceso desigual a capital social. Un estudiante de familia emprendedora, que ha crecido en hogar donde hay modelos de empresarios, amigos cuyos padres poseen empresas, y conexiones a redes de inversionistas, tiene ventaja significativa en formación de intención y especialmente en la transducción a acción.</w:t>
      </w:r>
    </w:p>
    <w:p>
      <w:pPr>
        <w:spacing w:line="360" w:lineRule="auto" w:after="120"/>
      </w:pPr>
      <w:r>
        <w:rPr>
          <w:rFonts w:ascii="Times New Roman" w:hAnsi="Times New Roman"/>
          <w:sz w:val="24"/>
        </w:rPr>
        <w:t>Un estudiante de primera generación a educación superior, cuya familia no tiene experiencia con emprendimiento, enfrenta brecha de capital social. Para este estudiante, el contexto universitario actúa como compensador: si la universidad proporciona modelos, mentoría, y redes, puede parcialmente salvar esta brecha.</w:t>
      </w:r>
    </w:p>
    <w:p>
      <w:pPr>
        <w:pStyle w:val="Heading3"/>
        <w:spacing w:before="160" w:after="160" w:line="360" w:lineRule="auto"/>
      </w:pPr>
      <w:r>
        <w:rPr>
          <w:b/>
          <w:sz w:val="22"/>
        </w:rPr>
        <w:t>Volatilidad macroeconómica y percepción de control</w:t>
      </w:r>
    </w:p>
    <w:p>
      <w:pPr>
        <w:spacing w:line="360" w:lineRule="auto" w:after="120"/>
      </w:pPr>
      <w:r>
        <w:rPr>
          <w:rFonts w:ascii="Times New Roman" w:hAnsi="Times New Roman"/>
          <w:sz w:val="24"/>
        </w:rPr>
        <w:t>Colombia ha experimentado ciclos de volatilidad económica: crisis de 1998-2002, boom de precios de commodities 2003-2007, caída post-2014. Esta volatilidad afecta a estudiantes jóvenes que están forming expectativas sobre viabilidad de emprendimiento. En periodos de contracción económica, el control conductual percibido se reduce: menos crédito disponible, menos consumidores, más competencia por empleos tradicionales.</w:t>
      </w:r>
    </w:p>
    <w:p>
      <w:pPr>
        <w:spacing w:line="360" w:lineRule="auto" w:after="120"/>
      </w:pPr>
      <w:r>
        <w:rPr>
          <w:rFonts w:ascii="Times New Roman" w:hAnsi="Times New Roman"/>
          <w:sz w:val="24"/>
        </w:rPr>
        <w:t>Las políticas públicas de estabilización (como líneas de crédito con tasas garantizadas como Bancóldex, o fondos contracíclicos como Fondo Emprender) pueden servir como amortiguadores que mantienen constante el control conductual percibido incluso cuando condiciones económicas se deterioran. Si la política es comunicada efectivamente (operacionalizado como "conocimiento formal del ecosistema"), puede compensar volatilidad macroeconómica.</w:t>
      </w:r>
    </w:p>
    <w:p>
      <w:pPr>
        <w:pStyle w:val="Heading3"/>
        <w:spacing w:before="160" w:after="160" w:line="360" w:lineRule="auto"/>
      </w:pPr>
      <w:r>
        <w:rPr>
          <w:b/>
          <w:sz w:val="22"/>
        </w:rPr>
        <w:t>Brecha entre intención y acción como problema específicamente pronunciado</w:t>
      </w:r>
    </w:p>
    <w:p>
      <w:pPr>
        <w:spacing w:line="360" w:lineRule="auto" w:after="120"/>
      </w:pPr>
      <w:r>
        <w:rPr>
          <w:rFonts w:ascii="Times New Roman" w:hAnsi="Times New Roman"/>
          <w:sz w:val="24"/>
        </w:rPr>
        <w:t>Como se documentó, Colombia experimenta brecha intención-acción más pronunciada (50+ puntos porcentuales) que contextos desarrollados (30-40 puntos porcentuales). Una hipótesis es que en contextos donde las barreras de ejecución (acceso a capital, regulaciones, información sobre mercado) son altas, la brecha se amplía. La TCP predice intención formada sobre base de actitudes y normas (que son relativamente estables), pero si las barreras de ejecución cambian (capital se vuelve menos disponible, regulaciones se endurecen), la intención no se transforma en acción.</w:t>
      </w:r>
    </w:p>
    <w:p>
      <w:pPr>
        <w:spacing w:line="360" w:lineRule="auto" w:after="120"/>
      </w:pPr>
      <w:r>
        <w:rPr>
          <w:rFonts w:ascii="Times New Roman" w:hAnsi="Times New Roman"/>
          <w:sz w:val="24"/>
        </w:rPr>
        <w:t>Contexto universitario y conocimiento de políticas públicas pueden reducir esta brecha no aumentando intención per se (aunque podrían) sino aumentando la probabilidad de que intención se transforma en acción. Por ejemplo, un estudiante que forma intención pero luego enfrenta barrera de acceso a crédito podría nunca intentar crear empresa. Pero si durante su educación universitaria aprendió que Bancóldex existe y cómo acceder, esa barrera se vuelve superable.</w:t>
      </w:r>
    </w:p>
    <w:p>
      <w:pPr>
        <w:pStyle w:val="Heading2"/>
        <w:spacing w:before="200" w:after="200" w:line="360" w:lineRule="auto"/>
      </w:pPr>
      <w:r>
        <w:rPr>
          <w:b/>
          <w:sz w:val="24"/>
        </w:rPr>
        <w:t>2.7 Integración: un modelo conceptual de intención emprendedora moderada por contexto</w:t>
      </w:r>
    </w:p>
    <w:p>
      <w:pPr>
        <w:spacing w:line="360" w:lineRule="auto" w:after="120"/>
      </w:pPr>
      <w:r>
        <w:rPr>
          <w:rFonts w:ascii="Times New Roman" w:hAnsi="Times New Roman"/>
          <w:sz w:val="24"/>
        </w:rPr>
        <w:t>Para cerrar el Capítulo 2, resulta útil integrar todos los elementos en un modelo conceptual unificado que exprese cómo intención emprendedora se forma en estudiantes universitarios colombianos bajo la influencia de factores psicológicos y contextuales.</w:t>
      </w:r>
    </w:p>
    <w:p>
      <w:pPr>
        <w:pStyle w:val="Heading3"/>
        <w:spacing w:before="160" w:after="160" w:line="360" w:lineRule="auto"/>
      </w:pPr>
      <w:r>
        <w:rPr>
          <w:b/>
          <w:sz w:val="22"/>
        </w:rPr>
        <w:t>Estructura del modelo</w:t>
      </w:r>
    </w:p>
    <w:p>
      <w:pPr>
        <w:spacing w:line="360" w:lineRule="auto" w:after="120"/>
      </w:pPr>
      <w:r>
        <w:rPr>
          <w:rFonts w:ascii="Times New Roman" w:hAnsi="Times New Roman"/>
          <w:sz w:val="24"/>
        </w:rPr>
        <w:t>El modelo propuesto tiene la siguiente estructura:</w:t>
      </w:r>
    </w:p>
    <w:p>
      <w:pPr>
        <w:spacing w:line="360" w:lineRule="auto" w:after="120"/>
      </w:pPr>
      <w:r>
        <w:rPr>
          <w:rFonts w:ascii="Times New Roman" w:hAnsi="Times New Roman"/>
          <w:sz w:val="24"/>
        </w:rPr>
        <w:t>**Nivel 1: Predictores psicológicos proximales (TCP)**</w:t>
      </w:r>
    </w:p>
    <w:p>
      <w:pPr>
        <w:spacing w:line="360" w:lineRule="auto" w:after="120"/>
      </w:pPr>
      <w:r>
        <w:rPr>
          <w:rFonts w:ascii="Times New Roman" w:hAnsi="Times New Roman"/>
          <w:sz w:val="24"/>
        </w:rPr>
        <w:t>- Actitud emprendedora: evaluación de costo-beneficio personal de emprender</w:t>
      </w:r>
    </w:p>
    <w:p>
      <w:pPr>
        <w:spacing w:line="360" w:lineRule="auto" w:after="120"/>
      </w:pPr>
      <w:r>
        <w:rPr>
          <w:rFonts w:ascii="Times New Roman" w:hAnsi="Times New Roman"/>
          <w:sz w:val="24"/>
        </w:rPr>
        <w:t>- Normas subjetivas: percepción de aprobación social para emprender</w:t>
      </w:r>
    </w:p>
    <w:p>
      <w:pPr>
        <w:spacing w:line="360" w:lineRule="auto" w:after="120"/>
      </w:pPr>
      <w:r>
        <w:rPr>
          <w:rFonts w:ascii="Times New Roman" w:hAnsi="Times New Roman"/>
          <w:sz w:val="24"/>
        </w:rPr>
        <w:t>- Control conductual percibido: confianza en capacidad propia para emprender</w:t>
      </w:r>
    </w:p>
    <w:p>
      <w:pPr>
        <w:spacing w:line="360" w:lineRule="auto" w:after="120"/>
      </w:pPr>
      <w:r>
        <w:rPr>
          <w:rFonts w:ascii="Times New Roman" w:hAnsi="Times New Roman"/>
          <w:sz w:val="24"/>
        </w:rPr>
        <w:t>Estos tres componentes predicen directamente intención emprendedora, como especifica la TCP. En contextos internacionales, el efecto combinado explica el 45-50% de varianza en intención.</w:t>
      </w:r>
    </w:p>
    <w:p>
      <w:pPr>
        <w:spacing w:line="360" w:lineRule="auto" w:after="120"/>
      </w:pPr>
      <w:r>
        <w:rPr>
          <w:rFonts w:ascii="Times New Roman" w:hAnsi="Times New Roman"/>
          <w:sz w:val="24"/>
        </w:rPr>
        <w:t>**Nivel 2: Variables moderadoras contextuales**</w:t>
      </w:r>
    </w:p>
    <w:p>
      <w:pPr>
        <w:spacing w:line="360" w:lineRule="auto" w:after="120"/>
      </w:pPr>
      <w:r>
        <w:rPr>
          <w:rFonts w:ascii="Times New Roman" w:hAnsi="Times New Roman"/>
          <w:sz w:val="24"/>
        </w:rPr>
        <w:t>- Contexto universitario: tres dimensiones (desarrollo institucional, apoyo académico, clima de aprendizaje) que influyen la disponibilidad de recursos y la presión social normativa para emprendimiento</w:t>
      </w:r>
    </w:p>
    <w:p>
      <w:pPr>
        <w:spacing w:line="360" w:lineRule="auto" w:after="120"/>
      </w:pPr>
      <w:r>
        <w:rPr>
          <w:rFonts w:ascii="Times New Roman" w:hAnsi="Times New Roman"/>
          <w:sz w:val="24"/>
        </w:rPr>
        <w:t>- Contexto de políticas públicas: conocimiento formal del ecosistema (conciencia de instituciones y programas) y alfabetización financiera (comprensión de conceptos financieros) que reducen percepción de barreras</w:t>
      </w:r>
    </w:p>
    <w:p>
      <w:pPr>
        <w:spacing w:line="360" w:lineRule="auto" w:after="120"/>
      </w:pPr>
      <w:r>
        <w:rPr>
          <w:rFonts w:ascii="Times New Roman" w:hAnsi="Times New Roman"/>
          <w:sz w:val="24"/>
        </w:rPr>
        <w:t>La hipótesis de moderación propone que estos contextos amplifican o reducen los efectos de los componentes TCP. Un estudiante con actitud emprendedora alta pero contexto universitario débil (sin recursos, sin apoyo) podría ver su intención amortiguada. Inversamente, un estudiante con actitud menos fuerte pero contexto universitario muy favorable podría ver su intención amplificada.</w:t>
      </w:r>
    </w:p>
    <w:p>
      <w:pPr>
        <w:spacing w:line="360" w:lineRule="auto" w:after="120"/>
      </w:pPr>
      <w:r>
        <w:rPr>
          <w:rFonts w:ascii="Times New Roman" w:hAnsi="Times New Roman"/>
          <w:sz w:val="24"/>
        </w:rPr>
        <w:t>**Nivel 3: Resultado proximal**</w:t>
      </w:r>
    </w:p>
    <w:p>
      <w:pPr>
        <w:spacing w:line="360" w:lineRule="auto" w:after="120"/>
      </w:pPr>
      <w:r>
        <w:rPr>
          <w:rFonts w:ascii="Times New Roman" w:hAnsi="Times New Roman"/>
          <w:sz w:val="24"/>
        </w:rPr>
        <w:t>- Intención emprendedora: disposición reportada de crear empresa en horizonte futuro</w:t>
      </w:r>
    </w:p>
    <w:p>
      <w:pPr>
        <w:pStyle w:val="Heading3"/>
        <w:spacing w:before="160" w:after="160" w:line="360" w:lineRule="auto"/>
      </w:pPr>
      <w:r>
        <w:rPr>
          <w:b/>
          <w:sz w:val="22"/>
        </w:rPr>
        <w:t>Mecanismos de moderación específicos</w:t>
      </w:r>
    </w:p>
    <w:p>
      <w:pPr>
        <w:spacing w:line="360" w:lineRule="auto" w:after="120"/>
      </w:pPr>
      <w:r>
        <w:rPr>
          <w:rFonts w:ascii="Times New Roman" w:hAnsi="Times New Roman"/>
          <w:sz w:val="24"/>
        </w:rPr>
        <w:t>Las seis variables contextuales actúan a través de mecanismos específicos:</w:t>
      </w:r>
    </w:p>
    <w:p>
      <w:pPr>
        <w:spacing w:line="360" w:lineRule="auto" w:after="120"/>
      </w:pPr>
      <w:r>
        <w:rPr>
          <w:rFonts w:ascii="Times New Roman" w:hAnsi="Times New Roman"/>
          <w:sz w:val="24"/>
        </w:rPr>
        <w:t>**Desarrollo universitario (U-D)** reduce barreras situacionales percibidas: incubadora disponible reduce barrera "no tengo espacio"; capital semilla reduce barrera "no tengo dinero"; redes disponibles reduce barrera "no tengo contactos". Esto debería amplificar principalmente el efecto de control conductual percibido sobre intención, pero podría también amplificar actitud al hacer emprendimiento parecer más viable.</w:t>
      </w:r>
    </w:p>
    <w:p>
      <w:pPr>
        <w:spacing w:line="360" w:lineRule="auto" w:after="120"/>
      </w:pPr>
      <w:r>
        <w:rPr>
          <w:rFonts w:ascii="Times New Roman" w:hAnsi="Times New Roman"/>
          <w:sz w:val="24"/>
        </w:rPr>
        <w:t>**Apoyo académico (U-AS)** amplifica el efecto de normas subjetivas: cuando profesores animan y valorizan emprendimiento, crean presión social positiva que refuerza la norma subjetiva. Esto debería amplificar principalmente el efecto de normas subjetivas sobre intención.</w:t>
      </w:r>
    </w:p>
    <w:p>
      <w:pPr>
        <w:spacing w:line="360" w:lineRule="auto" w:after="120"/>
      </w:pPr>
      <w:r>
        <w:rPr>
          <w:rFonts w:ascii="Times New Roman" w:hAnsi="Times New Roman"/>
          <w:sz w:val="24"/>
        </w:rPr>
        <w:t>**Clima de aprendizaje (LC)** cultiva disposición psicológica hacia riesgo y experimentación: cuando se valiza la innovación y el aprendizaje de errores, los estudiantes desarrollan mayor tolerancia al riesgo que subyace tanto actitud (disposición a asumir riesgos) como control percibido (confianza en capacidad de manejar incertidumbre). Debería amplificar principalmente actitud y control percibido.</w:t>
      </w:r>
    </w:p>
    <w:p>
      <w:pPr>
        <w:spacing w:line="360" w:lineRule="auto" w:after="120"/>
      </w:pPr>
      <w:r>
        <w:rPr>
          <w:rFonts w:ascii="Times New Roman" w:hAnsi="Times New Roman"/>
          <w:sz w:val="24"/>
        </w:rPr>
        <w:t>**Conocimiento formal del ecosistema (FK)** proporciona información concreta que reduce la incertidumbre sobre "¿cómo acceso a capital?", "¿cómo formalizo una empresa?", "¿qué apoyo existe?" Esta información debería amplificar principalmente control conductual percibido (información indica que barreras son superables) y podría indirectamente amplificar actitud (mayor información sobre oportunidades).</w:t>
      </w:r>
    </w:p>
    <w:p>
      <w:pPr>
        <w:spacing w:line="360" w:lineRule="auto" w:after="120"/>
      </w:pPr>
      <w:r>
        <w:rPr>
          <w:rFonts w:ascii="Times New Roman" w:hAnsi="Times New Roman"/>
          <w:sz w:val="24"/>
        </w:rPr>
        <w:t>**Alfabetización financiera (FL)** equipa al estudiante con comprensión conceptual para evaluar viabilidad financiera de una idea: "¿Cuál es el flujo de caja requerido?", "¿Puedo acceder a financiamiento?" Esta comprensión debería amplificar principalmente control conductual percibido (confianza en capacidad de gestionar aspecto financiero), que es principal barrera reportada en contextos latinoamericanos.</w:t>
      </w:r>
    </w:p>
    <w:p>
      <w:pPr>
        <w:pStyle w:val="Heading3"/>
        <w:spacing w:before="160" w:after="160" w:line="360" w:lineRule="auto"/>
      </w:pPr>
      <w:r>
        <w:rPr>
          <w:b/>
          <w:sz w:val="22"/>
        </w:rPr>
        <w:t>Validez del modelo en contexto colombiano</w:t>
      </w:r>
    </w:p>
    <w:p>
      <w:pPr>
        <w:spacing w:line="360" w:lineRule="auto" w:after="120"/>
      </w:pPr>
      <w:r>
        <w:rPr>
          <w:rFonts w:ascii="Times New Roman" w:hAnsi="Times New Roman"/>
          <w:sz w:val="24"/>
        </w:rPr>
        <w:t>Las características contextuales colombianas hacen este modelo particularmente relevante:</w:t>
      </w:r>
    </w:p>
    <w:p>
      <w:pPr>
        <w:spacing w:line="360" w:lineRule="auto" w:after="120"/>
      </w:pPr>
      <w:r>
        <w:rPr>
          <w:rFonts w:ascii="Times New Roman" w:hAnsi="Times New Roman"/>
          <w:sz w:val="24"/>
        </w:rPr>
        <w:t>Primero, la brecha intención-acción pronunciada (50+ puntos porcentuales) sugiere que intención se forma fácilmente pero la ejecución enfrenta barreras. Un modelo que propone que contexto amplifica intención es limitado si no se entiende qué permite que intención se traduzca a acción. La hipótesis implícita es que mayor contextual support no solo aumenta intención sino también prepara mejor al estudiante para ejecutar.</w:t>
      </w:r>
    </w:p>
    <w:p>
      <w:pPr>
        <w:spacing w:line="360" w:lineRule="auto" w:after="120"/>
      </w:pPr>
      <w:r>
        <w:rPr>
          <w:rFonts w:ascii="Times New Roman" w:hAnsi="Times New Roman"/>
          <w:sz w:val="24"/>
        </w:rPr>
        <w:t>Segundo, la heterogeneidad regional de Colombia significa que "contexto" es altamente variable. Un estudiante en Bogotá en una universidad con incubadora de calidad experimenta contexto radicalmente distinto de un estudiante en ciudad intermedia sin recursos institucionales. El modelo permite especificar cómo estas diferencias contextuales producen diferencias en intención predicha.</w:t>
      </w:r>
    </w:p>
    <w:p>
      <w:pPr>
        <w:spacing w:line="360" w:lineRule="auto" w:after="120"/>
      </w:pPr>
      <w:r>
        <w:rPr>
          <w:rFonts w:ascii="Times New Roman" w:hAnsi="Times New Roman"/>
          <w:sz w:val="24"/>
        </w:rPr>
        <w:t>Tercero, la reciente expansión de políticas públicas (Ley 2069, aumento de presupuesto iNNpulsa) crea un experimento natural: algunos estudiantes crecen con mayor acceso a conocimiento del ecosistema y otros sin él. El modelo predice que esta diferencia de exposición al contexto de políticas públicas debería afectar intención incluso si actitudes base son similares.</w:t>
      </w:r>
    </w:p>
    <w:p>
      <w:pPr>
        <w:spacing w:line="360" w:lineRule="auto" w:after="120"/>
      </w:pPr>
      <w:r>
        <w:rPr>
          <w:rFonts w:ascii="Times New Roman" w:hAnsi="Times New Roman"/>
          <w:sz w:val="24"/>
        </w:rPr>
        <w:t>Cuarto, el énfasis en universidades como mediadores de contexto es sensible para Colombia, donde universidades son las principales instituciones de formación con alcance nacional (colegios rurales tienen acceso limitado a educación de calidad sobre emprendimiento, pero universidades atienden a audiencias expandidas).</w:t>
      </w:r>
    </w:p>
    <w:p>
      <w:pPr>
        <w:pStyle w:val="Heading3"/>
        <w:spacing w:before="160" w:after="160" w:line="360" w:lineRule="auto"/>
      </w:pPr>
      <w:r>
        <w:rPr>
          <w:b/>
          <w:sz w:val="22"/>
        </w:rPr>
        <w:t>Limitaciones del modelo</w:t>
      </w:r>
    </w:p>
    <w:p>
      <w:pPr>
        <w:spacing w:line="360" w:lineRule="auto" w:after="120"/>
      </w:pPr>
      <w:r>
        <w:rPr>
          <w:rFonts w:ascii="Times New Roman" w:hAnsi="Times New Roman"/>
          <w:sz w:val="24"/>
        </w:rPr>
        <w:t>Como todo modelo conceptual, el propuesto tiene limitaciones que el Capítulo 3 debe reconocer:</w:t>
      </w:r>
    </w:p>
    <w:p>
      <w:pPr>
        <w:spacing w:line="360" w:lineRule="auto" w:after="120"/>
      </w:pPr>
      <w:r>
        <w:rPr>
          <w:rFonts w:ascii="Times New Roman" w:hAnsi="Times New Roman"/>
          <w:sz w:val="24"/>
        </w:rPr>
        <w:t>Primero, el modelo asume que contexto actúa como moderador (amplificador/atenuador de efectos TCP) pero podría actuar también como predictor directo o mediador. Esto requiere prueba empírica.</w:t>
      </w:r>
    </w:p>
    <w:p>
      <w:pPr>
        <w:spacing w:line="360" w:lineRule="auto" w:after="120"/>
      </w:pPr>
      <w:r>
        <w:rPr>
          <w:rFonts w:ascii="Times New Roman" w:hAnsi="Times New Roman"/>
          <w:sz w:val="24"/>
        </w:rPr>
        <w:t>Segundo, el modelo no especifica el mecanismo por el cual intención se traduce a acción. Aunque contexto universitario podría preparar mejor al estudiante (equipándolo con habilidades, conocimiento, redes), el modelo actual apenas toca este aspecto.</w:t>
      </w:r>
    </w:p>
    <w:p>
      <w:pPr>
        <w:spacing w:line="360" w:lineRule="auto" w:after="120"/>
      </w:pPr>
      <w:r>
        <w:rPr>
          <w:rFonts w:ascii="Times New Roman" w:hAnsi="Times New Roman"/>
          <w:sz w:val="24"/>
        </w:rPr>
        <w:t>Tercero, el modelo no incorpora variables personales distintas de los componentes TCP: género, estatus socioeconómico familiar, experiencia previa con emprendimiento familiar. Estas podrían interactuar con contexto (ej., un estudiante de familia de emprendedores podría beneficiarse más de contexto universitario porque ya tiene capital social que la universidad puede amplificar).</w:t>
      </w:r>
    </w:p>
    <w:p>
      <w:pPr>
        <w:spacing w:line="360" w:lineRule="auto" w:after="120"/>
      </w:pPr>
      <w:r>
        <w:rPr>
          <w:rFonts w:ascii="Times New Roman" w:hAnsi="Times New Roman"/>
          <w:sz w:val="24"/>
        </w:rPr>
        <w:t>Cuarto, el modelo fue conceptualizado basado en literatura teórica y revisión de estudios previos, pero es fundamentalmente una proposición a ser validada empíricamente. El Capítulo 3 transformará estas proposiciones conceptuales en hipótesis probables empíricamente.</w:t>
      </w:r>
    </w:p>
    <w:p>
      <w:pPr>
        <w:spacing w:line="360" w:lineRule="auto" w:after="120"/>
      </w:pPr>
      <w:r>
        <w:rPr>
          <w:rFonts w:ascii="Times New Roman" w:hAnsi="Times New Roman"/>
          <w:sz w:val="24"/>
        </w:rPr>
        <w:t>**Síntesis del Capítulo 2**</w:t>
      </w:r>
    </w:p>
    <w:p>
      <w:pPr>
        <w:spacing w:line="360" w:lineRule="auto" w:after="120"/>
      </w:pPr>
      <w:r>
        <w:rPr>
          <w:rFonts w:ascii="Times New Roman" w:hAnsi="Times New Roman"/>
          <w:sz w:val="24"/>
        </w:rPr>
        <w:t>El Capítulo 2 ha desarrollado los fundamentos teóricos de esta investigación sobre intención emprendedora en Colombia. La teoría de la conducta planificada (TCP) proporciona el marco conceptual central, con sus tres componentes probados empíricamente: actitud, normas subjetivas y control conductual percibido. Los hallazgos empíricos de TCP a nivel internacional (45-50% de varianza explicada) son robustos pero contexto importa, particularmente en contextos como Colombia donde barreras económicas e institucionales son más prominentes.</w:t>
      </w:r>
    </w:p>
    <w:p>
      <w:pPr>
        <w:spacing w:line="360" w:lineRule="auto" w:after="120"/>
      </w:pPr>
      <w:r>
        <w:rPr>
          <w:rFonts w:ascii="Times New Roman" w:hAnsi="Times New Roman"/>
          <w:sz w:val="24"/>
        </w:rPr>
        <w:t>Esta investigación extiende la TCP reconociendo que contexto universitario (desarrollo institucional, apoyo académico, clima de aprendizaje) y contexto de políticas públicas (conocimiento formal del ecosistema, alfabetización financiera) actúan como moderadores que amplifican o atenúan los efectos de los componentes TCP sobre intención.</w:t>
      </w:r>
    </w:p>
    <w:p>
      <w:pPr>
        <w:spacing w:line="360" w:lineRule="auto" w:after="120"/>
      </w:pPr>
      <w:r>
        <w:rPr>
          <w:rFonts w:ascii="Times New Roman" w:hAnsi="Times New Roman"/>
          <w:sz w:val="24"/>
        </w:rPr>
        <w:t>El modelo conceptual integrado propone que la predicción de intención en contexto colombiano requiere comprensión de cómo variables contextuales específicas del estudiante (qué recursos universitarios accesibles tiene, cuánto conoce del ecosistema de apoyo, cuánta alfabetización financiera posee) modulan la relación entre sus actitudes, normas sociales percibidas, y control conductual percibido, por un lado, e intención emprendedora, por el otro.</w:t>
      </w:r>
    </w:p>
    <w:p>
      <w:pPr>
        <w:spacing w:line="360" w:lineRule="auto" w:after="120"/>
      </w:pPr>
      <w:r>
        <w:rPr>
          <w:rFonts w:ascii="Times New Roman" w:hAnsi="Times New Roman"/>
          <w:sz w:val="24"/>
        </w:rPr>
        <w:t>Esta arquitectura conceptual será operacionalizada en el Capítulo 3 a través de un análisis relacional sobre datos de 540 estudiantes colombianos de educación superior, examinando no solo si estos componentes predicen intención (replicando estudios TCP previos) sino específicamente cómo contexto modula estas relaciones (contribución original de esta investigación).</w:t>
      </w:r>
    </w:p>
    <w:p>
      <w:pPr>
        <w:spacing w:line="360" w:lineRule="auto" w:after="120"/>
      </w:pPr>
      <w:r>
        <w:rPr>
          <w:rFonts w:ascii="Times New Roman" w:hAnsi="Times New Roman"/>
          <w:sz w:val="24"/>
        </w:rPr>
        <w:t>El persistente fenómeno de brecha intención-acción pronunciada en Colombia motiva un enfoque que vaya más allá de simplemente predecir intención, hacia comprender qué factores contextuales podrían aumentar la probabilidad de que intención se traduzca en comportamiento emprendedor observable e identificable. Aunque el modelo propuesto se enfoca directamente solo en intención (variable dependiente), la literatura subyacente sugiere que contexto que amplifica intención también podría preparar mejor a estudiantes para ejecutar, reduciendo la brecha intención-acción.</w:t>
      </w:r>
    </w:p>
    <w:sectPr w:rsidR="00FC693F" w:rsidRPr="0006063C" w:rsidSect="00034616">
      <w:pgSz w:w="12240" w:h="15840"/>
      <w:pgMar w:top="1440" w:right="1440" w:bottom="1440"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