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1555b0997b6406e6ffacb3de79e2719cc26e284"/>
    <w:p>
      <w:pPr>
        <w:pStyle w:val="Heading2"/>
      </w:pPr>
      <w:r>
        <w:t xml:space="preserve">1.1. Línea de investigación de la UIIX y su ámbito de estudio</w:t>
      </w:r>
    </w:p>
    <w:p>
      <w:pPr>
        <w:pStyle w:val="FirstParagraph"/>
      </w:pPr>
      <w:r>
        <w:t xml:space="preserve">Este tema se vincula con la línea de investigación de Gestión empresarial y capital humano de la UIIX, específicamente en el ámbito de Innovación del desarrollo organizacional con integración de equipos multiculturales de alto rendimiento.</w:t>
      </w:r>
      <w:r>
        <w:t xml:space="preserve"> </w:t>
      </w:r>
      <w:r>
        <w:rPr>
          <w:b/>
          <w:bCs/>
        </w:rPr>
        <w:t xml:space="preserve">Importancia del tema en el contexto.</w:t>
      </w:r>
      <w:r>
        <w:t xml:space="preserve"> </w:t>
      </w:r>
      <w:r>
        <w:t xml:space="preserve">La capacidad innovadora y emprendedora de un país es fundamental para impulsar su crecimiento económico, la competitividad y el desarrollo sostenible. En este contexto, las universidades desempeñan un papel clave al fomentar una cultura emprendedora que promueva la generación de ideas innovadoras y su transformación en empresas viables</w:t>
      </w:r>
      <w:r>
        <w:t xml:space="preserve"> </w:t>
      </w:r>
      <w:r>
        <w:t xml:space="preserve">(Acs et al., 2018)</w:t>
      </w:r>
      <w:r>
        <w:t xml:space="preserve">.</w:t>
      </w:r>
    </w:p>
    <w:bookmarkEnd w:id="9"/>
    <w:bookmarkStart w:id="10" w:name="planteamiento-del-problema"/>
    <w:p>
      <w:pPr>
        <w:pStyle w:val="Heading2"/>
      </w:pPr>
      <w:r>
        <w:t xml:space="preserve">1.2. Planteamiento del problema</w:t>
      </w:r>
    </w:p>
    <w:bookmarkEnd w:id="10"/>
    <w:bookmarkStart w:id="11" w:name="X56488d1012a80efd14756a5716826e70fe44840"/>
    <w:p>
      <w:pPr>
        <w:pStyle w:val="Heading2"/>
      </w:pPr>
      <w:r>
        <w:t xml:space="preserve">1.3. Formulación del problema (Pregunta de investigación)</w:t>
      </w:r>
    </w:p>
    <w:bookmarkEnd w:id="11"/>
    <w:bookmarkStart w:id="12" w:name="justificación"/>
    <w:p>
      <w:pPr>
        <w:pStyle w:val="Heading2"/>
      </w:pPr>
      <w:r>
        <w:t xml:space="preserve">1.4. Justificación</w:t>
      </w:r>
    </w:p>
    <w:bookmarkEnd w:id="12"/>
    <w:bookmarkStart w:id="13" w:name="objeto-de-estudio"/>
    <w:p>
      <w:pPr>
        <w:pStyle w:val="Heading2"/>
      </w:pPr>
      <w:r>
        <w:t xml:space="preserve">1.5. Objeto de estudio</w:t>
      </w:r>
    </w:p>
    <w:bookmarkEnd w:id="13"/>
    <w:bookmarkStart w:id="14" w:name="campo-de-acción"/>
    <w:p>
      <w:pPr>
        <w:pStyle w:val="Heading2"/>
      </w:pPr>
      <w:r>
        <w:t xml:space="preserve">1.6. Campo de acción</w:t>
      </w:r>
    </w:p>
    <w:bookmarkEnd w:id="14"/>
    <w:bookmarkStart w:id="17" w:name="objetivos"/>
    <w:p>
      <w:pPr>
        <w:pStyle w:val="Heading2"/>
      </w:pPr>
      <w:r>
        <w:t xml:space="preserve">1.7. Objetivos</w:t>
      </w:r>
    </w:p>
    <w:bookmarkStart w:id="15" w:name="objetivo-general"/>
    <w:p>
      <w:pPr>
        <w:pStyle w:val="Heading3"/>
      </w:pPr>
      <w:r>
        <w:t xml:space="preserve">1.7.1. Objetivo General</w:t>
      </w:r>
    </w:p>
    <w:bookmarkEnd w:id="15"/>
    <w:bookmarkStart w:id="16" w:name="objetivos-específicos"/>
    <w:p>
      <w:pPr>
        <w:pStyle w:val="Heading3"/>
      </w:pPr>
      <w:r>
        <w:t xml:space="preserve">1.7.2. Objetivos específicos</w:t>
      </w:r>
    </w:p>
    <w:bookmarkEnd w:id="16"/>
    <w:bookmarkEnd w:id="17"/>
    <w:bookmarkStart w:id="18" w:name="hipótesis"/>
    <w:p>
      <w:pPr>
        <w:pStyle w:val="Heading2"/>
      </w:pPr>
      <w:r>
        <w:t xml:space="preserve">1.8. Hipótesis</w:t>
      </w:r>
    </w:p>
    <w:bookmarkEnd w:id="18"/>
    <w:bookmarkStart w:id="19" w:name="alcance-temático"/>
    <w:p>
      <w:pPr>
        <w:pStyle w:val="Heading2"/>
      </w:pPr>
      <w:r>
        <w:t xml:space="preserve">1.9. Alcance temático</w:t>
      </w:r>
    </w:p>
    <w:bookmarkEnd w:id="19"/>
    <w:bookmarkStart w:id="23" w:name="delimitación-espacial-y-temporal"/>
    <w:p>
      <w:pPr>
        <w:pStyle w:val="Heading2"/>
      </w:pPr>
      <w:r>
        <w:t xml:space="preserve">1.10. Delimitación Espacial y Temporal</w:t>
      </w:r>
    </w:p>
    <w:bookmarkStart w:id="22" w:name="refs"/>
    <w:bookmarkStart w:id="21" w:name="ref-acs2018"/>
    <w:p>
      <w:pPr>
        <w:pStyle w:val="Bibliography"/>
      </w:pPr>
      <w:r>
        <w:t xml:space="preserve">Acs, Z. J., Estrin, S., Mickiewicz, T., &amp; Szerb, L. (2018). Entrepreneurship, institutional economics, and economic growth: An ecosystem perspective.</w:t>
      </w:r>
      <w:r>
        <w:t xml:space="preserve"> </w:t>
      </w:r>
      <w:r>
        <w:rPr>
          <w:i/>
          <w:iCs/>
        </w:rPr>
        <w:t xml:space="preserve">Small Business Economics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(2), 501–514.</w:t>
      </w:r>
      <w:r>
        <w:t xml:space="preserve"> </w:t>
      </w:r>
      <w:hyperlink r:id="rId20">
        <w:r>
          <w:rPr>
            <w:rStyle w:val="Hyperlink"/>
          </w:rPr>
          <w:t xml:space="preserve">https://doi.org/10.1007/s11187-018-0013-9</w:t>
        </w:r>
      </w:hyperlink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doi.org/10.1007/s11187-018-0013-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007/s11187-018-0013-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2026-04-06T23:25:52Z</dcterms:created>
  <dcterms:modified xsi:type="dcterms:W3CDTF">2026-04-06T23:25:52Z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docs/08_bibliografia/referencias.bib</vt:lpwstr>
  </property>
  <property fmtid="{D5CDD505-2E9C-101B-9397-08002B2CF9AE}" pid="3" name="csl">
    <vt:lpwstr>styles/apa-es.csl</vt:lpwstr>
  </property>
</Properties>
</file>