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jc w:val="center"/>
      </w:pPr>
      <w:r>
        <w:rPr>
          <w:rFonts w:ascii="Times New Roman" w:hAnsi="Times New Roman"/>
          <w:b/>
          <w:sz w:val="28"/>
        </w:rPr>
        <w:t>Capítulo 1. Proyección de la Investigación</w:t>
      </w:r>
    </w:p>
    <w:p>
      <w:pPr>
        <w:spacing w:line="360" w:lineRule="auto" w:after="120"/>
        <w:jc w:val="both"/>
      </w:pPr>
      <w:r>
        <w:rPr>
          <w:rFonts w:ascii="Times New Roman" w:hAnsi="Times New Roman"/>
          <w:sz w:val="24"/>
        </w:rPr>
        <w:t>Este capítulo presenta la dirección general de la investigación doctoral. Se aborda la relación con las líneas de investigación del programa, se contextualiza el problema de estudio, se plantea la pregunta de investigación, se justifica la relevancia del trabajo desde perspectivas teórica, práctica, metodológica y social, y se establecen los límites del estudio en términos de objeto, campo, objetivos, hipótesis y delimitaciones espaciotemporal.</w:t>
      </w:r>
    </w:p>
    <w:p>
      <w:pPr>
        <w:pStyle w:val="Heading2"/>
        <w:spacing w:line="360" w:lineRule="auto" w:before="240" w:after="120"/>
      </w:pPr>
      <w:r>
        <w:rPr>
          <w:rFonts w:ascii="Times New Roman" w:hAnsi="Times New Roman"/>
          <w:b/>
          <w:sz w:val="26"/>
        </w:rPr>
        <w:t>1.1. Línea de investigación de la UIIX y su ámbito de estudio</w:t>
      </w:r>
    </w:p>
    <w:p>
      <w:pPr>
        <w:spacing w:line="360" w:lineRule="auto" w:after="120"/>
        <w:jc w:val="both"/>
      </w:pPr>
      <w:r>
        <w:rPr>
          <w:rFonts w:ascii="Times New Roman" w:hAnsi="Times New Roman"/>
          <w:sz w:val="24"/>
        </w:rPr>
        <w:t>La UIIX (Universidad de Investigación e Innovación de México) organiza su trabajo científico en torno a líneas de investigación que buscan abordar problemas con relevancia organizacional y social. Este estudio se alinea con la línea "Gestión empresarial y capital humano", particularmente con el ámbito de innovación del desarrollo organizacional con integración de equipos multiculturales de alto rendimiento.</w:t>
      </w:r>
    </w:p>
    <w:p>
      <w:pPr>
        <w:spacing w:line="360" w:lineRule="auto" w:after="120"/>
        <w:jc w:val="both"/>
      </w:pPr>
      <w:r>
        <w:rPr>
          <w:rFonts w:ascii="Times New Roman" w:hAnsi="Times New Roman"/>
          <w:sz w:val="24"/>
        </w:rPr>
        <w:t>La conexión es directa. La intención emprendedora es una dimensión cognitiva y motivacional del capital humano: determina si las personas están dispuestas a crear valor a través de nuevas empresas. Entender qué activa o frena esa intención en contextos de educación superior es relevante para identificar condiciones que favorecen desarrollo organizacional e innovación social.</w:t>
      </w:r>
    </w:p>
    <w:p>
      <w:pPr>
        <w:spacing w:line="360" w:lineRule="auto" w:after="120"/>
        <w:jc w:val="both"/>
      </w:pPr>
      <w:r>
        <w:rPr>
          <w:rFonts w:ascii="Times New Roman" w:hAnsi="Times New Roman"/>
          <w:sz w:val="24"/>
        </w:rPr>
        <w:t>Este estudio aporta evidencia empírica sobre cómo el contexto institucional —específicamente las políticas públicas— influye en esa propensión. Esto conecta también con la línea complementaria "Administración y articulación en ambientes de innovación tecnológica".</w:t>
      </w:r>
    </w:p>
    <w:p>
      <w:pPr>
        <w:spacing w:line="360" w:lineRule="auto" w:after="120"/>
        <w:jc w:val="both"/>
      </w:pPr>
      <w:r>
        <w:rPr>
          <w:rFonts w:ascii="Times New Roman" w:hAnsi="Times New Roman"/>
          <w:sz w:val="24"/>
        </w:rPr>
        <w:t>Dicho de forma más sencilla: la intención emprendedora en estudiantes universitarios no ocurre aisladamente. Resulta de la interacción entre las motivaciones y capacidades individuales, el ambiente que ofrece la universidad, y las señales que emite el ecosistema de política pública. Estudiar esa interacción desde un programa de administración de empresas tiene justificación tanto en la literatura de investigación como en las necesidades reales de los ecosistemas emprendedores en América Latina.</w:t>
      </w:r>
    </w:p>
    <w:p>
      <w:pPr>
        <w:pStyle w:val="Heading2"/>
        <w:spacing w:line="360" w:lineRule="auto" w:before="240" w:after="120"/>
      </w:pPr>
      <w:r>
        <w:rPr>
          <w:rFonts w:ascii="Times New Roman" w:hAnsi="Times New Roman"/>
          <w:b/>
          <w:sz w:val="26"/>
        </w:rPr>
        <w:t>1.2. Planteamiento del problema</w:t>
      </w:r>
    </w:p>
    <w:p>
      <w:pPr>
        <w:spacing w:line="360" w:lineRule="auto" w:after="120"/>
        <w:jc w:val="both"/>
      </w:pPr>
      <w:r>
        <w:rPr>
          <w:rFonts w:ascii="Times New Roman" w:hAnsi="Times New Roman"/>
          <w:sz w:val="24"/>
        </w:rPr>
        <w:t>El emprendimiento ha adquirido presencia creciente en la agenda académica y de política pública a nivel global. A nivel individual, la creación de una empresa comienza antes de que esta exista: comienza en la intención de hacerlo. La intención emprendedora es el predictor más confiable del comportamiento emprendedor (Ajzen, 1991; Bird, 1988; Krueger et al., 2000). Intervenir sobre ella —mediante educación, programas de fomento, o ambiente universitario— es la ruta con mayor retorno potencial en términos de generación de nuevas empresas.</w:t>
      </w:r>
    </w:p>
    <w:p>
      <w:pPr>
        <w:spacing w:line="360" w:lineRule="auto" w:after="120"/>
        <w:jc w:val="both"/>
      </w:pPr>
      <w:r>
        <w:rPr>
          <w:rFonts w:ascii="Times New Roman" w:hAnsi="Times New Roman"/>
          <w:sz w:val="24"/>
        </w:rPr>
        <w:t>En América Latina la realidad es contradictoria. Las tasas de actividad emprendedora temprana son altas en comparación global: según el Global Entrepreneurship Monitor (GEM, 2023), Colombia reportó 23.5% de tasa de actividad emprendedora temprana (TEA), por encima del promedio mundial. Pero la mayor parte de ese emprendimiento es por necesidad, no por oportunidad, con baja sofisticación tecnológica y bajo potencial de crecimiento (Bosma et al., 2023). Las universidades son el espacio donde el emprendimiento de oportunidad tiene mayor potencial: ofrecen entornos de formación con condiciones para experimentar, gestionar riesgo, y conectar con actores productivos.</w:t>
      </w:r>
    </w:p>
    <w:p>
      <w:pPr>
        <w:spacing w:line="360" w:lineRule="auto" w:after="120"/>
        <w:jc w:val="both"/>
      </w:pPr>
      <w:r>
        <w:rPr>
          <w:rFonts w:ascii="Times New Roman" w:hAnsi="Times New Roman"/>
          <w:sz w:val="24"/>
        </w:rPr>
        <w:t>Pero la evidencia disponible sobre emprendimiento universitario en Colombia muestra brechas. Los emprendimientos de estudiantes tienen baja tasa de supervivencia: superiores al 60% fracasan en los primeros dos años (Confecámaras, 2022). Esto refleja que la intención no se traduce automáticamente en acción sostenida. Esta brecha entre intención y acción es bien documentada en la Teoría del Comportamiento Planificado (Ajzen, 1991). Se atribuye tanto a factores individuales como contextuales. Las políticas públicas de emprendimiento y el ambiente universitario son factores contextuales clave.</w:t>
      </w:r>
    </w:p>
    <w:p>
      <w:pPr>
        <w:spacing w:line="360" w:lineRule="auto" w:after="120"/>
        <w:jc w:val="both"/>
      </w:pPr>
      <w:r>
        <w:rPr>
          <w:rFonts w:ascii="Times New Roman" w:hAnsi="Times New Roman"/>
          <w:sz w:val="24"/>
        </w:rPr>
        <w:t>Colombia cuenta con un marco regulatorio para el emprendimiento. Incluye la Ley 1014 de 2006 (*De Fomento a la Cultura del Emprendimiento*), la Ley 2069 de 2020 (*Ley de Emprendimiento*), el CONPES 3866 de 2016 (*Política Nacional de Desarrollo Productivo*), y el CONPES 4011 de 2020 (*Política Nacional para Emprender*). De esto resultaron instrumentos como el Fondo Emprender del SENA, iNNpulsa Colombia, y redes de Centros de Emprendimiento universitario. La Accreditation Council for Business Schools and Programs (ACBSP) acredita cada vez más facultades de administración en Colombia, cuyos estándares priorizan la formación emprendedora. Esto expone a los estudiantes de esas instituciones a las señales del ecosistema de política pública. Pero no sabemos cómo este marco regulatorio afecta realmente la intención emprendedora de los estudiantes. Es poco explorado empíricamente.</w:t>
      </w:r>
    </w:p>
    <w:p>
      <w:pPr>
        <w:spacing w:line="360" w:lineRule="auto" w:after="120"/>
        <w:jc w:val="both"/>
      </w:pPr>
      <w:r>
        <w:rPr>
          <w:rFonts w:ascii="Times New Roman" w:hAnsi="Times New Roman"/>
          <w:sz w:val="24"/>
        </w:rPr>
        <w:t>El problema es específico. Falta evidencia cuantitativa sobre cómo los estudiantes perciben las políticas públicas de emprendimiento y cómo eso se relaciona con su intención de crear empresa. También falta examinar si el contexto universitario modera esa relación. La mayoría de estudios en Latinoamérica han enfocado variables individuales—actitudes, autoeficacia, normas subjetivas—según el modelo canónico de la Teoría del Comportamiento Planificado (Ajzen, 1991; Liñán &amp; Chen, 2009), sin integrar sistemáticamente las condiciones de política pública. Los pocos estudios que incluyen contexto institucional lo hacen de forma cualitativa o con indicadores macroeconómicos agregados, no desde la percepción del estudiante.</w:t>
      </w:r>
    </w:p>
    <w:p>
      <w:pPr>
        <w:spacing w:line="360" w:lineRule="auto" w:after="120"/>
        <w:jc w:val="both"/>
      </w:pPr>
      <w:r>
        <w:rPr>
          <w:rFonts w:ascii="Times New Roman" w:hAnsi="Times New Roman"/>
          <w:sz w:val="24"/>
        </w:rPr>
        <w:t>El dataset ALBA 2024-2025 (Alba, 2025) ofrece una oportunidad única. Incluye 540 estudiantes de universidades latinoamericanas acreditadas por ACBSP. Permite operacionalizar la percepción de políticas públicas mediante escalas de conocimiento formal del ecosistema emprendedor (FK) y alfabetización financiera (FL), ambas con confiabilidad superior a α=0.85. Se pueden contrastar con medidas de intención emprendedora (EI) con excelente confiabilidad (α=0.960). El diseño es correlacional transversal con alcance latinoamericano y aplicación enfocada en Colombia.</w:t>
      </w:r>
    </w:p>
    <w:p>
      <w:pPr>
        <w:spacing w:line="360" w:lineRule="auto" w:after="120"/>
        <w:jc w:val="both"/>
      </w:pPr>
      <w:r>
        <w:rPr>
          <w:rFonts w:ascii="Times New Roman" w:hAnsi="Times New Roman"/>
          <w:sz w:val="24"/>
        </w:rPr>
        <w:t>El panorama se define así: hay una brecha persistente entre intención y acción emprendedora en universidades latinoamericanas, existe un marco de política pública cuyo impacto en la intención estudiantil no ha sido medido, y hay un instrumento validado que permite examinarlo rigurosamente.</w:t>
      </w:r>
    </w:p>
    <w:p>
      <w:pPr>
        <w:pStyle w:val="Heading2"/>
        <w:spacing w:line="360" w:lineRule="auto" w:before="240" w:after="120"/>
      </w:pPr>
      <w:r>
        <w:rPr>
          <w:rFonts w:ascii="Times New Roman" w:hAnsi="Times New Roman"/>
          <w:b/>
          <w:sz w:val="26"/>
        </w:rPr>
        <w:t>1.3. Formulación del problema (Pregunta de investigación)</w:t>
      </w:r>
    </w:p>
    <w:p>
      <w:pPr>
        <w:spacing w:line="360" w:lineRule="auto" w:after="120"/>
        <w:jc w:val="both"/>
      </w:pPr>
      <w:r>
        <w:rPr>
          <w:rFonts w:ascii="Times New Roman" w:hAnsi="Times New Roman"/>
          <w:sz w:val="24"/>
        </w:rPr>
        <w:t>**Pregunta principal:**</w:t>
      </w:r>
    </w:p>
    <w:p>
      <w:pPr>
        <w:spacing w:line="360" w:lineRule="auto" w:after="120"/>
        <w:jc w:val="both"/>
      </w:pPr>
      <w:r>
        <w:rPr>
          <w:rFonts w:ascii="Times New Roman" w:hAnsi="Times New Roman"/>
          <w:sz w:val="24"/>
        </w:rPr>
        <w:t>¿En qué medida las políticas públicas de emprendimiento se relacionan con la intención emprendedora de los estudiantes de universidades latinoamericanas acreditadas por ACBSP, y en qué forma el contexto universitario modera dicha relación?</w:t>
      </w:r>
    </w:p>
    <w:p>
      <w:pPr>
        <w:spacing w:line="360" w:lineRule="auto" w:after="120"/>
        <w:jc w:val="both"/>
      </w:pPr>
      <w:r>
        <w:rPr>
          <w:rFonts w:ascii="Times New Roman" w:hAnsi="Times New Roman"/>
          <w:sz w:val="24"/>
        </w:rPr>
        <w:t>**Preguntas secundarias:**</w:t>
      </w:r>
    </w:p>
    <w:p>
      <w:pPr>
        <w:spacing w:line="360" w:lineRule="auto" w:after="120"/>
        <w:jc w:val="both"/>
      </w:pPr>
      <w:r>
        <w:rPr>
          <w:rFonts w:ascii="Times New Roman" w:hAnsi="Times New Roman"/>
          <w:sz w:val="24"/>
        </w:rPr>
        <w:t>PE1. ¿Cuál es el perfil de intención emprendedora de los estudiantes participantes en el estudio, y qué variables individuales (actitud, autoeficacia, motivación) presentan mayor asociación con ella?</w:t>
      </w:r>
    </w:p>
    <w:p>
      <w:pPr>
        <w:spacing w:line="360" w:lineRule="auto" w:after="120"/>
        <w:jc w:val="both"/>
      </w:pPr>
      <w:r>
        <w:rPr>
          <w:rFonts w:ascii="Times New Roman" w:hAnsi="Times New Roman"/>
          <w:sz w:val="24"/>
        </w:rPr>
        <w:t>PE2. ¿Qué nivel de conocimiento y acceso percibido a las políticas públicas de emprendimiento manifiestan los estudiantes, y cómo varía ese conocimiento según el contexto institucional de cada universidad?</w:t>
      </w:r>
    </w:p>
    <w:p>
      <w:pPr>
        <w:spacing w:line="360" w:lineRule="auto" w:after="120"/>
        <w:jc w:val="both"/>
      </w:pPr>
      <w:r>
        <w:rPr>
          <w:rFonts w:ascii="Times New Roman" w:hAnsi="Times New Roman"/>
          <w:sz w:val="24"/>
        </w:rPr>
        <w:t>PE3. ¿Existe una relación estadísticamente significativa entre la percepción estudiantil de las políticas públicas de emprendimiento y la intención emprendedora, una vez controladas las variables individuales del modelo TCP?</w:t>
      </w:r>
    </w:p>
    <w:p>
      <w:pPr>
        <w:spacing w:line="360" w:lineRule="auto" w:after="120"/>
        <w:jc w:val="both"/>
      </w:pPr>
      <w:r>
        <w:rPr>
          <w:rFonts w:ascii="Times New Roman" w:hAnsi="Times New Roman"/>
          <w:sz w:val="24"/>
        </w:rPr>
        <w:t>PE4. ¿El contexto universitario —medido a través del desarrollo universitario, el apoyo académico y el clima de aprendizaje— modera la relación entre la percepción de políticas públicas y la intención emprendedora?</w:t>
      </w:r>
    </w:p>
    <w:p>
      <w:pPr>
        <w:spacing w:line="360" w:lineRule="auto" w:after="120"/>
        <w:jc w:val="both"/>
      </w:pPr>
      <w:r>
        <w:rPr>
          <w:rFonts w:ascii="Times New Roman" w:hAnsi="Times New Roman"/>
          <w:sz w:val="24"/>
        </w:rPr>
        <w:t>PE5. ¿Qué lineamientos de política pública y estrategia universitaria pueden derivarse de los hallazgos para fortalecer la intención emprendedora en el contexto latinoamericano?</w:t>
      </w:r>
    </w:p>
    <w:p>
      <w:pPr>
        <w:pStyle w:val="Heading2"/>
        <w:spacing w:line="360" w:lineRule="auto" w:before="240" w:after="120"/>
      </w:pPr>
      <w:r>
        <w:rPr>
          <w:rFonts w:ascii="Times New Roman" w:hAnsi="Times New Roman"/>
          <w:b/>
          <w:sz w:val="26"/>
        </w:rPr>
        <w:t>1.4. Justificación</w:t>
      </w:r>
    </w:p>
    <w:p>
      <w:pPr>
        <w:spacing w:line="360" w:lineRule="auto" w:after="120"/>
        <w:jc w:val="both"/>
      </w:pPr>
      <w:r>
        <w:rPr>
          <w:rFonts w:ascii="Times New Roman" w:hAnsi="Times New Roman"/>
          <w:sz w:val="24"/>
        </w:rPr>
        <w:t>**Justificación teórica.** El estudio contribuye de dos formas al campo del emprendimiento y administración de empresas. La primera es extender el modelo TCP al contexto latinoamericano incluyendo variables de política pública. La literatura ha examinado ampliamente los antecedentes individuales de la intención emprendedora (Krueger et al., 2000; Liñán &amp; Chen, 2009; Fayolle &amp; Liñán, 2014), pero integrar factores institucionales —especialmente percepción de políticas públicas— como predictores o moderadores sigue siendo escaso. La segunda contribución es metodológica: usar escalas validadas del dataset ALBA 2025 para examinar la relación entre política pública e intención emprendedora con mayor rigor que enfoques documentales o cualitativos previos. Abre una línea de investigación replicable en otros contextos latinoamericanos.</w:t>
      </w:r>
    </w:p>
    <w:p>
      <w:pPr>
        <w:spacing w:line="360" w:lineRule="auto" w:after="120"/>
        <w:jc w:val="both"/>
      </w:pPr>
      <w:r>
        <w:rPr>
          <w:rFonts w:ascii="Times New Roman" w:hAnsi="Times New Roman"/>
          <w:sz w:val="24"/>
        </w:rPr>
        <w:t>**Justificación práctica.** Los resultados tienen implicaciones directas para dos tipos de actores: diseñadores de política pública y gestores universitarios. Para los diseñadores, saber qué aspectos del ecosistema emprendedor inciden en la intención estudiantil permite refinar los instrumentos. Para los gestores universitarios, saber si el contexto universitario modera ese efecto señala cuáles dimensiones del ambiente institucional—apoyo académico, infraestructura, clima de aprendizaje—tienen mayor retorno sobre la intención de sus estudiantes. En Colombia, donde la articulación entre universidades y el ecosistema público es objetivo explícito de la Ley 1014 de 2006, esta evidencia tiene valor directo para el diseño de programas.</w:t>
      </w:r>
    </w:p>
    <w:p>
      <w:pPr>
        <w:spacing w:line="360" w:lineRule="auto" w:after="120"/>
        <w:jc w:val="both"/>
      </w:pPr>
      <w:r>
        <w:rPr>
          <w:rFonts w:ascii="Times New Roman" w:hAnsi="Times New Roman"/>
          <w:sz w:val="24"/>
        </w:rPr>
        <w:t>**Justificación metodológica.** El estudio adopta un diseño mixto secuencial cuantitativo-cualitativo (QUAN → qual), con primacía de la fase cuantitativa. El componente cuantitativo usa el dataset ALBA 2025, un instrumento validado en múltiples países latinoamericanos con escalas de alta confiabilidad. Esto es un avance sobre estudios previos en la región que usan instrumentos ad hoc con validaciones limitadas. El componente cualitativo se basa en análisis de contenido de entrevistas y discursos de actores del ecosistema público colombiano. Permite triangular e interpretar los hallazgos cuantitativos. La combinación genera evidencia más sólida que cualquiera de los dos enfoques aislados.</w:t>
      </w:r>
    </w:p>
    <w:p>
      <w:pPr>
        <w:spacing w:line="360" w:lineRule="auto" w:after="120"/>
        <w:jc w:val="both"/>
      </w:pPr>
      <w:r>
        <w:rPr>
          <w:rFonts w:ascii="Times New Roman" w:hAnsi="Times New Roman"/>
          <w:sz w:val="24"/>
        </w:rPr>
        <w:t>**Justificación social.** Fortalecer el emprendimiento universitario tiene consecuencias que van más allá de las universidades: afecta generación de empleo, innovación productiva, reducción de pobreza. En Colombia, donde buena parte de la actividad emprendedora es de subsistencia (GEM, 2023), identificar los mecanismos institucionales que elevan la intención de emprender con propósito de oportunidad contribuye a una agenda de desarrollo económico más inclusiva. El estudio se alinea con el Objetivo de Desarrollo Sostenible 8 (trabajo decente y crecimiento económico) y el ODS 4 (educación de calidad).</w:t>
      </w:r>
    </w:p>
    <w:p>
      <w:pPr>
        <w:pStyle w:val="Heading2"/>
        <w:spacing w:line="360" w:lineRule="auto" w:before="240" w:after="120"/>
      </w:pPr>
      <w:r>
        <w:rPr>
          <w:rFonts w:ascii="Times New Roman" w:hAnsi="Times New Roman"/>
          <w:b/>
          <w:sz w:val="26"/>
        </w:rPr>
        <w:t>1.5. Objeto de estudio</w:t>
      </w:r>
    </w:p>
    <w:p>
      <w:pPr>
        <w:spacing w:line="360" w:lineRule="auto" w:after="120"/>
        <w:jc w:val="both"/>
      </w:pPr>
      <w:r>
        <w:rPr>
          <w:rFonts w:ascii="Times New Roman" w:hAnsi="Times New Roman"/>
          <w:sz w:val="24"/>
        </w:rPr>
        <w:t>El objeto de estudio es la relación entre las políticas públicas de emprendimiento y la intención emprendedora de estudiantes universitarios, en el contexto de instituciones de educación superior latinoamericanas acreditadas por ACBSP. Se examina tanto la relación directa —¿mayor conocimiento y percepción favorable de políticas implica mayor intención de emprender?— como la relación contingente —¿el contexto universitario amplifica o reduce ese efecto?</w:t>
      </w:r>
    </w:p>
    <w:p>
      <w:pPr>
        <w:pStyle w:val="Heading2"/>
        <w:spacing w:line="360" w:lineRule="auto" w:before="240" w:after="120"/>
      </w:pPr>
      <w:r>
        <w:rPr>
          <w:rFonts w:ascii="Times New Roman" w:hAnsi="Times New Roman"/>
          <w:b/>
          <w:sz w:val="26"/>
        </w:rPr>
        <w:t>1.6. Campo de acción</w:t>
      </w:r>
    </w:p>
    <w:p>
      <w:pPr>
        <w:spacing w:line="360" w:lineRule="auto" w:after="120"/>
        <w:jc w:val="both"/>
      </w:pPr>
      <w:r>
        <w:rPr>
          <w:rFonts w:ascii="Times New Roman" w:hAnsi="Times New Roman"/>
          <w:sz w:val="24"/>
        </w:rPr>
        <w:t>El campo de acción es la percepción que tienen los estudiantes de las políticas públicas de emprendimiento y su efecto en la intención de crear empresa. Se operacionaliza mediante las escalas del dataset ALBA 2025: conocimiento formal del ecosistema de emprendimiento y alfabetización financiera. El contexto universitario actúa como variable moderadora. Intervenir en este campo —mediante difusión, apropiación, y alineación curricular— representa la ruta de mayor retorno para universidades y responsables de política en el corto y mediano plazo. Las percepciones estudiantiles son más modificables que el entorno macroeconómico o las estructuras normativas (Fayolle &amp; Liñán, 2014).</w:t>
      </w:r>
    </w:p>
    <w:p>
      <w:pPr>
        <w:pStyle w:val="Heading2"/>
        <w:spacing w:line="360" w:lineRule="auto" w:before="240" w:after="120"/>
      </w:pPr>
      <w:r>
        <w:rPr>
          <w:rFonts w:ascii="Times New Roman" w:hAnsi="Times New Roman"/>
          <w:b/>
          <w:sz w:val="26"/>
        </w:rPr>
        <w:t>1.7. Objetivos</w:t>
      </w:r>
    </w:p>
    <w:p>
      <w:pPr>
        <w:pStyle w:val="Heading3"/>
        <w:spacing w:line="360" w:lineRule="auto"/>
      </w:pPr>
      <w:r>
        <w:rPr>
          <w:rFonts w:ascii="Times New Roman" w:hAnsi="Times New Roman"/>
          <w:b/>
          <w:sz w:val="24"/>
        </w:rPr>
        <w:t>1.7.1. Objetivo General</w:t>
      </w:r>
    </w:p>
    <w:p>
      <w:pPr>
        <w:spacing w:line="360" w:lineRule="auto" w:after="120"/>
        <w:jc w:val="both"/>
      </w:pPr>
      <w:r>
        <w:rPr>
          <w:rFonts w:ascii="Times New Roman" w:hAnsi="Times New Roman"/>
          <w:sz w:val="24"/>
        </w:rPr>
        <w:t>Analizar la relación entre las políticas públicas de emprendimiento y la intención emprendedora de los estudiantes en universidades latinoamericanas acreditadas por ACBSP, determinando el efecto moderador del contexto universitario, con el fin de proponer lineamientos para el fortalecimiento del ecosistema emprendedor universitario en Colombia.</w:t>
      </w:r>
    </w:p>
    <w:p>
      <w:pPr>
        <w:pStyle w:val="Heading3"/>
        <w:spacing w:line="360" w:lineRule="auto"/>
      </w:pPr>
      <w:r>
        <w:rPr>
          <w:rFonts w:ascii="Times New Roman" w:hAnsi="Times New Roman"/>
          <w:b/>
          <w:sz w:val="24"/>
        </w:rPr>
        <w:t>1.7.2. Objetivos Específicos</w:t>
      </w:r>
    </w:p>
    <w:p>
      <w:pPr>
        <w:spacing w:line="360" w:lineRule="auto" w:after="120"/>
        <w:jc w:val="both"/>
      </w:pPr>
      <w:r>
        <w:rPr>
          <w:rFonts w:ascii="Times New Roman" w:hAnsi="Times New Roman"/>
          <w:sz w:val="24"/>
        </w:rPr>
        <w:t>**OE1.** Caracterizar el perfil de intención emprendedora de los estudiantes participantes en el estudio y determinar la contribución de los antecedentes individuales (actitud emprendedora, autoeficacia, motivación) a su explicación.</w:t>
      </w:r>
    </w:p>
    <w:p>
      <w:pPr>
        <w:spacing w:line="360" w:lineRule="auto" w:after="120"/>
        <w:jc w:val="both"/>
      </w:pPr>
      <w:r>
        <w:rPr>
          <w:rFonts w:ascii="Times New Roman" w:hAnsi="Times New Roman"/>
          <w:sz w:val="24"/>
        </w:rPr>
        <w:t>**OE2.** Evaluar el nivel de conocimiento y percepción de las políticas públicas de emprendimiento de los estudiantes participantes y su variación según el contexto universitario.</w:t>
      </w:r>
    </w:p>
    <w:p>
      <w:pPr>
        <w:spacing w:line="360" w:lineRule="auto" w:after="120"/>
        <w:jc w:val="both"/>
      </w:pPr>
      <w:r>
        <w:rPr>
          <w:rFonts w:ascii="Times New Roman" w:hAnsi="Times New Roman"/>
          <w:sz w:val="24"/>
        </w:rPr>
        <w:t>**OE3.** Determinar la relación estadística entre la percepción de las políticas públicas de emprendimiento —medida mediante las escalas de conocimiento formal (FK) y alfabetización financiera (FL)— y la intención emprendedora (EI), en el marco de un modelo de regresión que controla por los antecedentes individuales del modelo TCP.</w:t>
      </w:r>
    </w:p>
    <w:p>
      <w:pPr>
        <w:spacing w:line="360" w:lineRule="auto" w:after="120"/>
        <w:jc w:val="both"/>
      </w:pPr>
      <w:r>
        <w:rPr>
          <w:rFonts w:ascii="Times New Roman" w:hAnsi="Times New Roman"/>
          <w:sz w:val="24"/>
        </w:rPr>
        <w:t>**OE4.** Examinar el efecto moderador del contexto universitario (desarrollo universitario, apoyo académico, clima de aprendizaje) en la relación entre políticas públicas e intención emprendedora.</w:t>
      </w:r>
    </w:p>
    <w:p>
      <w:pPr>
        <w:spacing w:line="360" w:lineRule="auto" w:after="120"/>
        <w:jc w:val="both"/>
      </w:pPr>
      <w:r>
        <w:rPr>
          <w:rFonts w:ascii="Times New Roman" w:hAnsi="Times New Roman"/>
          <w:sz w:val="24"/>
        </w:rPr>
        <w:t>**OE5.** Proponer lineamientos de política pública y estrategia universitaria fundamentados en los hallazgos empíricos que contribuyan al fortalecimiento de la intención emprendedora en el contexto universitario latinoamericano, con énfasis en Colombia.</w:t>
      </w:r>
    </w:p>
    <w:p>
      <w:pPr>
        <w:pStyle w:val="Heading2"/>
        <w:spacing w:line="360" w:lineRule="auto" w:before="240" w:after="120"/>
      </w:pPr>
      <w:r>
        <w:rPr>
          <w:rFonts w:ascii="Times New Roman" w:hAnsi="Times New Roman"/>
          <w:b/>
          <w:sz w:val="26"/>
        </w:rPr>
        <w:t>1.8. Hipótesis</w:t>
      </w:r>
    </w:p>
    <w:p>
      <w:pPr>
        <w:spacing w:line="360" w:lineRule="auto" w:after="120"/>
        <w:jc w:val="both"/>
      </w:pPr>
      <w:r>
        <w:rPr>
          <w:rFonts w:ascii="Times New Roman" w:hAnsi="Times New Roman"/>
          <w:sz w:val="24"/>
        </w:rPr>
        <w:t>Las hipótesis derivan de la Teoría del Comportamiento Planificado (Ajzen, 1991) y de la literatura sobre factores institucionales del emprendimiento (Fayolle &amp; Liñán, 2014; Lundström &amp; Stevenson, 2005). Se presentan dos hipótesis principales y dos hipótesis subsidiarias que examinan relaciones entre constructos individuales documentados en la literatura.</w:t>
      </w:r>
    </w:p>
    <w:p>
      <w:pPr>
        <w:spacing w:line="360" w:lineRule="auto" w:after="120"/>
        <w:jc w:val="both"/>
      </w:pPr>
      <w:r>
        <w:rPr>
          <w:rFonts w:ascii="Times New Roman" w:hAnsi="Times New Roman"/>
          <w:sz w:val="24"/>
        </w:rPr>
        <w:t>**H1 (Hipótesis principal):** Las políticas públicas de emprendimiento —medidas a través de la percepción estudiantil del conocimiento formal del ecosistema (FK) y la alfabetización financiera (FL)— se relacionan positiva y significativamente con la intención emprendedora de los estudiantes universitarios.</w:t>
      </w:r>
    </w:p>
    <w:p>
      <w:pPr>
        <w:spacing w:line="360" w:lineRule="auto" w:after="120"/>
        <w:jc w:val="both"/>
      </w:pPr>
      <w:r>
        <w:rPr>
          <w:rFonts w:ascii="Times New Roman" w:hAnsi="Times New Roman"/>
          <w:sz w:val="24"/>
        </w:rPr>
        <w:t>**H2 (Hipótesis moderadora):** El contexto universitario —medido a través del desarrollo universitario, el apoyo académico y el clima de aprendizaje— modera la relación entre las políticas públicas de emprendimiento y la intención emprendedora: un contexto universitario más favorable amplifica el efecto positivo de las políticas sobre la IE.</w:t>
      </w:r>
    </w:p>
    <w:p>
      <w:pPr>
        <w:spacing w:line="360" w:lineRule="auto" w:after="120"/>
        <w:jc w:val="both"/>
      </w:pPr>
      <w:r>
        <w:rPr>
          <w:rFonts w:ascii="Times New Roman" w:hAnsi="Times New Roman"/>
          <w:sz w:val="24"/>
        </w:rPr>
        <w:t>**H1a (Hipótesis subsidiaria — actitud):** La actitud emprendedora se relaciona positiva y significativamente con la intención emprendedora, siendo el predictor individual de mayor magnitud en el modelo.</w:t>
      </w:r>
    </w:p>
    <w:p>
      <w:pPr>
        <w:spacing w:line="360" w:lineRule="auto" w:after="120"/>
        <w:jc w:val="both"/>
      </w:pPr>
      <w:r>
        <w:rPr>
          <w:rFonts w:ascii="Times New Roman" w:hAnsi="Times New Roman"/>
          <w:sz w:val="24"/>
        </w:rPr>
        <w:t>**H1b (Hipótesis subsidiaria — autoeficacia):** La autoeficacia emprendedora se relaciona positiva y significativamente con la intención emprendedora, de forma independiente al efecto de la actitud.</w:t>
      </w:r>
    </w:p>
    <w:p>
      <w:pPr>
        <w:spacing w:line="360" w:lineRule="auto"/>
        <w:ind w:left="720" w:right="720"/>
      </w:pPr>
      <w:r>
        <w:rPr>
          <w:rFonts w:ascii="Times New Roman" w:hAnsi="Times New Roman"/>
          <w:i/>
          <w:sz w:val="22"/>
        </w:rPr>
        <w:t>Nota metodológica sobre H1a y H1b: Se incluyen para establecer la estructura explicativa individual del modelo TCP como línea base. Esto permite evaluar el efecto incremental de la variable de política pública (H1) y su interacción con el contexto universitario (H2), aislando la contribución específica de las políticas públicas más allá de los determinantes individuales ya documentados en la literatura.</w:t>
      </w:r>
    </w:p>
    <w:p>
      <w:pPr>
        <w:pStyle w:val="Heading2"/>
        <w:spacing w:line="360" w:lineRule="auto" w:before="240" w:after="120"/>
      </w:pPr>
      <w:r>
        <w:rPr>
          <w:rFonts w:ascii="Times New Roman" w:hAnsi="Times New Roman"/>
          <w:b/>
          <w:sz w:val="26"/>
        </w:rPr>
        <w:t>1.8.1. Formulación Estadística de Hipótesis</w:t>
      </w:r>
    </w:p>
    <w:p>
      <w:pPr>
        <w:spacing w:line="360" w:lineRule="auto" w:after="120"/>
        <w:jc w:val="both"/>
      </w:pPr>
      <w:r>
        <w:rPr>
          <w:rFonts w:ascii="Times New Roman" w:hAnsi="Times New Roman"/>
          <w:sz w:val="24"/>
        </w:rPr>
        <w:t>Las hipótesis se formalizan mediante notación estadística para permitir su prueba rigurosa mediante análisis de regresión múltiple. Se especifican hipótesis nulas (H₀) e hipótesis alternativas (Ha) para cada enunciado:</w:t>
      </w:r>
    </w:p>
    <w:tbl>
      <w:tblPr>
        <w:tblStyle w:val="LightGrid-Accent1"/>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2"/>
              </w:rPr>
              <w:t>Hipótesis</w:t>
            </w:r>
          </w:p>
        </w:tc>
        <w:tc>
          <w:tcPr>
            <w:tcW w:type="dxa" w:w="2139"/>
          </w:tcPr>
          <w:p>
            <w:pPr>
              <w:jc w:val="center"/>
            </w:pPr>
            <w:r>
              <w:rPr>
                <w:rFonts w:ascii="Times New Roman" w:hAnsi="Times New Roman"/>
                <w:b/>
                <w:sz w:val="22"/>
              </w:rPr>
              <w:t>Formulación Estadística</w:t>
            </w:r>
          </w:p>
        </w:tc>
        <w:tc>
          <w:tcPr>
            <w:tcW w:type="dxa" w:w="2139"/>
          </w:tcPr>
          <w:p>
            <w:pPr>
              <w:jc w:val="center"/>
            </w:pPr>
            <w:r>
              <w:rPr>
                <w:rFonts w:ascii="Times New Roman" w:hAnsi="Times New Roman"/>
                <w:b/>
                <w:sz w:val="22"/>
              </w:rPr>
              <w:t>Interpretación</w:t>
            </w:r>
          </w:p>
        </w:tc>
        <w:tc>
          <w:tcPr>
            <w:tcW w:type="dxa" w:w="2139"/>
          </w:tcPr>
          <w:p>
            <w:pPr>
              <w:jc w:val="center"/>
            </w:pPr>
            <w:r>
              <w:rPr>
                <w:rFonts w:ascii="Times New Roman" w:hAnsi="Times New Roman"/>
                <w:b/>
                <w:sz w:val="22"/>
              </w:rPr>
              <w:t>Test</w:t>
            </w:r>
          </w:p>
        </w:tc>
      </w:tr>
      <w:tr>
        <w:tc>
          <w:tcPr>
            <w:tcW w:type="dxa" w:w="2139"/>
          </w:tcPr>
          <w:p>
            <w:pPr>
              <w:jc w:val="left"/>
            </w:pPr>
            <w:r>
              <w:rPr>
                <w:rFonts w:ascii="Times New Roman" w:hAnsi="Times New Roman"/>
                <w:sz w:val="22"/>
              </w:rPr>
              <w:t>**Ha₁ᵃ**</w:t>
            </w:r>
          </w:p>
        </w:tc>
        <w:tc>
          <w:tcPr>
            <w:tcW w:type="dxa" w:w="2139"/>
          </w:tcPr>
          <w:p>
            <w:pPr>
              <w:jc w:val="left"/>
            </w:pPr>
            <w:r>
              <w:rPr>
                <w:rFonts w:ascii="Times New Roman" w:hAnsi="Times New Roman"/>
                <w:sz w:val="22"/>
              </w:rPr>
              <w:t>β(EA→IE) &gt; 0 **AND** \</w:t>
            </w:r>
          </w:p>
        </w:tc>
        <w:tc>
          <w:tcPr>
            <w:tcW w:type="dxa" w:w="2139"/>
          </w:tcPr>
          <w:p>
            <w:pPr>
              <w:jc w:val="left"/>
            </w:pPr>
            <w:r>
              <w:rPr>
                <w:rFonts w:ascii="Times New Roman" w:hAnsi="Times New Roman"/>
                <w:sz w:val="22"/>
              </w:rPr>
              <w:t>β(EA)\</w:t>
            </w:r>
          </w:p>
        </w:tc>
        <w:tc>
          <w:tcPr>
            <w:tcW w:type="dxa" w:w="2139"/>
          </w:tcPr>
          <w:p>
            <w:pPr>
              <w:jc w:val="left"/>
            </w:pPr>
            <w:r>
              <w:rPr>
                <w:rFonts w:ascii="Times New Roman" w:hAnsi="Times New Roman"/>
                <w:sz w:val="22"/>
              </w:rPr>
              <w:t>&gt; \</w:t>
            </w:r>
          </w:p>
        </w:tc>
      </w:tr>
      <w:tr>
        <w:tc>
          <w:tcPr>
            <w:tcW w:type="dxa" w:w="2139"/>
          </w:tcPr>
          <w:p>
            <w:pPr>
              <w:jc w:val="left"/>
            </w:pPr>
            <w:r>
              <w:rPr>
                <w:rFonts w:ascii="Times New Roman" w:hAnsi="Times New Roman"/>
                <w:sz w:val="22"/>
              </w:rPr>
              <w:t>**H₀₁ᵇ**</w:t>
            </w:r>
          </w:p>
        </w:tc>
        <w:tc>
          <w:tcPr>
            <w:tcW w:type="dxa" w:w="2139"/>
          </w:tcPr>
          <w:p>
            <w:pPr>
              <w:jc w:val="left"/>
            </w:pPr>
            <w:r>
              <w:rPr>
                <w:rFonts w:ascii="Times New Roman" w:hAnsi="Times New Roman"/>
                <w:sz w:val="22"/>
              </w:rPr>
              <w:t>β(SE→IE) = 0 (cuando EA en modelo)</w:t>
            </w:r>
          </w:p>
        </w:tc>
        <w:tc>
          <w:tcPr>
            <w:tcW w:type="dxa" w:w="2139"/>
          </w:tcPr>
          <w:p>
            <w:pPr>
              <w:jc w:val="left"/>
            </w:pPr>
            <w:r>
              <w:rPr>
                <w:rFonts w:ascii="Times New Roman" w:hAnsi="Times New Roman"/>
                <w:sz w:val="22"/>
              </w:rPr>
              <w:t>La autoeficacia NO tiene efecto significativo, independiente de actitud</w:t>
            </w:r>
          </w:p>
        </w:tc>
        <w:tc>
          <w:tcPr>
            <w:tcW w:type="dxa" w:w="2139"/>
          </w:tcPr>
          <w:p>
            <w:pPr>
              <w:jc w:val="left"/>
            </w:pPr>
            <w:r>
              <w:rPr>
                <w:rFonts w:ascii="Times New Roman" w:hAnsi="Times New Roman"/>
                <w:sz w:val="22"/>
              </w:rPr>
              <w:t>t-test (regresión)</w:t>
            </w:r>
          </w:p>
        </w:tc>
      </w:tr>
      <w:tr>
        <w:tc>
          <w:tcPr>
            <w:tcW w:type="dxa" w:w="2139"/>
          </w:tcPr>
          <w:p>
            <w:pPr>
              <w:jc w:val="left"/>
            </w:pPr>
            <w:r>
              <w:rPr>
                <w:rFonts w:ascii="Times New Roman" w:hAnsi="Times New Roman"/>
                <w:sz w:val="22"/>
              </w:rPr>
              <w:t>**Ha₁ᵇ**</w:t>
            </w:r>
          </w:p>
        </w:tc>
        <w:tc>
          <w:tcPr>
            <w:tcW w:type="dxa" w:w="2139"/>
          </w:tcPr>
          <w:p>
            <w:pPr>
              <w:jc w:val="left"/>
            </w:pPr>
            <w:r>
              <w:rPr>
                <w:rFonts w:ascii="Times New Roman" w:hAnsi="Times New Roman"/>
                <w:sz w:val="22"/>
              </w:rPr>
              <w:t>β(SE→IE) &gt; 0 (cuando EA en modelo)</w:t>
            </w:r>
          </w:p>
        </w:tc>
        <w:tc>
          <w:tcPr>
            <w:tcW w:type="dxa" w:w="2139"/>
          </w:tcPr>
          <w:p>
            <w:pPr>
              <w:jc w:val="left"/>
            </w:pPr>
            <w:r>
              <w:rPr>
                <w:rFonts w:ascii="Times New Roman" w:hAnsi="Times New Roman"/>
                <w:sz w:val="22"/>
              </w:rPr>
              <w:t>La autoeficacia tiene efecto positivo significativo, independiente de actitud</w:t>
            </w:r>
          </w:p>
        </w:tc>
        <w:tc>
          <w:tcPr>
            <w:tcW w:type="dxa" w:w="2139"/>
          </w:tcPr>
          <w:p>
            <w:pPr>
              <w:jc w:val="left"/>
            </w:pPr>
            <w:r>
              <w:rPr>
                <w:rFonts w:ascii="Times New Roman" w:hAnsi="Times New Roman"/>
                <w:sz w:val="22"/>
              </w:rPr>
              <w:t>t-test unilateral p &lt; .05</w:t>
            </w:r>
          </w:p>
        </w:tc>
      </w:tr>
      <w:tr>
        <w:tc>
          <w:tcPr>
            <w:tcW w:type="dxa" w:w="2139"/>
          </w:tcPr>
          <w:p>
            <w:pPr>
              <w:jc w:val="left"/>
            </w:pPr>
            <w:r>
              <w:rPr>
                <w:rFonts w:ascii="Times New Roman" w:hAnsi="Times New Roman"/>
                <w:sz w:val="22"/>
              </w:rPr>
              <w:t>**H₀₁**</w:t>
            </w:r>
          </w:p>
        </w:tc>
        <w:tc>
          <w:tcPr>
            <w:tcW w:type="dxa" w:w="2139"/>
          </w:tcPr>
          <w:p>
            <w:pPr>
              <w:jc w:val="left"/>
            </w:pPr>
            <w:r>
              <w:rPr>
                <w:rFonts w:ascii="Times New Roman" w:hAnsi="Times New Roman"/>
                <w:sz w:val="22"/>
              </w:rPr>
              <w:t>β(FK→IE) = 0 **AND** β(FL→IE) = 0</w:t>
            </w:r>
          </w:p>
        </w:tc>
        <w:tc>
          <w:tcPr>
            <w:tcW w:type="dxa" w:w="2139"/>
          </w:tcPr>
          <w:p>
            <w:pPr>
              <w:jc w:val="left"/>
            </w:pPr>
            <w:r>
              <w:rPr>
                <w:rFonts w:ascii="Times New Roman" w:hAnsi="Times New Roman"/>
                <w:sz w:val="22"/>
              </w:rPr>
              <w:t>Las políticas públicas (FK, FL) NO tienen efecto significativo sobre IE</w:t>
            </w:r>
          </w:p>
        </w:tc>
        <w:tc>
          <w:tcPr>
            <w:tcW w:type="dxa" w:w="2139"/>
          </w:tcPr>
          <w:p>
            <w:pPr>
              <w:jc w:val="left"/>
            </w:pPr>
            <w:r>
              <w:rPr>
                <w:rFonts w:ascii="Times New Roman" w:hAnsi="Times New Roman"/>
                <w:sz w:val="22"/>
              </w:rPr>
              <w:t>F-test conjunto (regresión)</w:t>
            </w:r>
          </w:p>
        </w:tc>
      </w:tr>
      <w:tr>
        <w:tc>
          <w:tcPr>
            <w:tcW w:type="dxa" w:w="2139"/>
          </w:tcPr>
          <w:p>
            <w:pPr>
              <w:jc w:val="left"/>
            </w:pPr>
            <w:r>
              <w:rPr>
                <w:rFonts w:ascii="Times New Roman" w:hAnsi="Times New Roman"/>
                <w:sz w:val="22"/>
              </w:rPr>
              <w:t>**Ha₁**</w:t>
            </w:r>
          </w:p>
        </w:tc>
        <w:tc>
          <w:tcPr>
            <w:tcW w:type="dxa" w:w="2139"/>
          </w:tcPr>
          <w:p>
            <w:pPr>
              <w:jc w:val="left"/>
            </w:pPr>
            <w:r>
              <w:rPr>
                <w:rFonts w:ascii="Times New Roman" w:hAnsi="Times New Roman"/>
                <w:sz w:val="22"/>
              </w:rPr>
              <w:t>β(FK→IE) &gt; 0 **AND** β(FL→IE) &gt; 0</w:t>
            </w:r>
          </w:p>
        </w:tc>
        <w:tc>
          <w:tcPr>
            <w:tcW w:type="dxa" w:w="2139"/>
          </w:tcPr>
          <w:p>
            <w:pPr>
              <w:jc w:val="left"/>
            </w:pPr>
            <w:r>
              <w:rPr>
                <w:rFonts w:ascii="Times New Roman" w:hAnsi="Times New Roman"/>
                <w:sz w:val="22"/>
              </w:rPr>
              <w:t>Las políticas públicas se relacionan positivamente y significativamente con IE</w:t>
            </w:r>
          </w:p>
        </w:tc>
        <w:tc>
          <w:tcPr>
            <w:tcW w:type="dxa" w:w="2139"/>
          </w:tcPr>
          <w:p>
            <w:pPr>
              <w:jc w:val="left"/>
            </w:pPr>
            <w:r>
              <w:rPr>
                <w:rFonts w:ascii="Times New Roman" w:hAnsi="Times New Roman"/>
                <w:sz w:val="22"/>
              </w:rPr>
              <w:t>t-test unilateral p &lt; .05</w:t>
            </w:r>
          </w:p>
        </w:tc>
      </w:tr>
      <w:tr>
        <w:tc>
          <w:tcPr>
            <w:tcW w:type="dxa" w:w="2139"/>
          </w:tcPr>
          <w:p>
            <w:pPr>
              <w:jc w:val="left"/>
            </w:pPr>
            <w:r>
              <w:rPr>
                <w:rFonts w:ascii="Times New Roman" w:hAnsi="Times New Roman"/>
                <w:sz w:val="22"/>
              </w:rPr>
              <w:t>**H₀₂**</w:t>
            </w:r>
          </w:p>
        </w:tc>
        <w:tc>
          <w:tcPr>
            <w:tcW w:type="dxa" w:w="2139"/>
          </w:tcPr>
          <w:p>
            <w:pPr>
              <w:jc w:val="left"/>
            </w:pPr>
            <w:r>
              <w:rPr>
                <w:rFonts w:ascii="Times New Roman" w:hAnsi="Times New Roman"/>
                <w:sz w:val="22"/>
              </w:rPr>
              <w:t>β(FK×VM→IE) = 0 **AND** β(FL×VM→IE) = 0</w:t>
            </w:r>
          </w:p>
        </w:tc>
        <w:tc>
          <w:tcPr>
            <w:tcW w:type="dxa" w:w="2139"/>
          </w:tcPr>
          <w:p>
            <w:pPr>
              <w:jc w:val="left"/>
            </w:pPr>
            <w:r>
              <w:rPr>
                <w:rFonts w:ascii="Times New Roman" w:hAnsi="Times New Roman"/>
                <w:sz w:val="22"/>
              </w:rPr>
              <w:t>No hay efecto de moderación significativo del contexto universitario</w:t>
            </w:r>
          </w:p>
        </w:tc>
        <w:tc>
          <w:tcPr>
            <w:tcW w:type="dxa" w:w="2139"/>
          </w:tcPr>
          <w:p>
            <w:pPr>
              <w:jc w:val="left"/>
            </w:pPr>
            <w:r>
              <w:rPr>
                <w:rFonts w:ascii="Times New Roman" w:hAnsi="Times New Roman"/>
                <w:sz w:val="22"/>
              </w:rPr>
              <w:t>ΔR² (cambio en R² del modelo)</w:t>
            </w:r>
          </w:p>
        </w:tc>
      </w:tr>
      <w:tr>
        <w:tc>
          <w:tcPr>
            <w:tcW w:type="dxa" w:w="2139"/>
          </w:tcPr>
          <w:p>
            <w:pPr>
              <w:jc w:val="left"/>
            </w:pPr>
            <w:r>
              <w:rPr>
                <w:rFonts w:ascii="Times New Roman" w:hAnsi="Times New Roman"/>
                <w:sz w:val="22"/>
              </w:rPr>
              <w:t>**Ha₂**</w:t>
            </w:r>
          </w:p>
        </w:tc>
        <w:tc>
          <w:tcPr>
            <w:tcW w:type="dxa" w:w="2139"/>
          </w:tcPr>
          <w:p>
            <w:pPr>
              <w:jc w:val="left"/>
            </w:pPr>
            <w:r>
              <w:rPr>
                <w:rFonts w:ascii="Times New Roman" w:hAnsi="Times New Roman"/>
                <w:sz w:val="22"/>
              </w:rPr>
              <w:t>β(FK×VM→IE) &gt; 0 **AND** β(FL×VM→IE) &gt; 0</w:t>
            </w:r>
          </w:p>
        </w:tc>
        <w:tc>
          <w:tcPr>
            <w:tcW w:type="dxa" w:w="2139"/>
          </w:tcPr>
          <w:p>
            <w:pPr>
              <w:jc w:val="left"/>
            </w:pPr>
            <w:r>
              <w:rPr>
                <w:rFonts w:ascii="Times New Roman" w:hAnsi="Times New Roman"/>
                <w:sz w:val="22"/>
              </w:rPr>
              <w:t>El contexto universitario modera positivamente el efecto de políticas sobre IE</w:t>
            </w:r>
          </w:p>
        </w:tc>
        <w:tc>
          <w:tcPr>
            <w:tcW w:type="dxa" w:w="2139"/>
          </w:tcPr>
          <w:p>
            <w:pPr>
              <w:jc w:val="left"/>
            </w:pPr>
            <w:r>
              <w:rPr>
                <w:rFonts w:ascii="Times New Roman" w:hAnsi="Times New Roman"/>
                <w:sz w:val="22"/>
              </w:rPr>
              <w:t>t-test unilateral p &lt; .05</w:t>
            </w:r>
          </w:p>
        </w:tc>
      </w:tr>
    </w:tbl>
    <w:p>
      <w:pPr>
        <w:spacing w:line="360" w:lineRule="auto" w:after="120"/>
        <w:jc w:val="both"/>
      </w:pPr>
      <w:r>
        <w:rPr>
          <w:rFonts w:ascii="Times New Roman" w:hAnsi="Times New Roman"/>
          <w:sz w:val="24"/>
        </w:rPr>
        <w:t>**Nota sobre notación:** β representa el coeficiente de regresión no estandarizado; β estandarizados se usan para comparar magnitudes relativas entre predictores. VM referencia la variable moderadora (contexto universitario: desarrollo universitario, apoyo académico, clima de aprendizaje).</w:t>
      </w:r>
    </w:p>
    <w:p>
      <w:pPr>
        <w:pStyle w:val="Heading2"/>
        <w:spacing w:line="360" w:lineRule="auto" w:before="240" w:after="120"/>
      </w:pPr>
      <w:r>
        <w:rPr>
          <w:rFonts w:ascii="Times New Roman" w:hAnsi="Times New Roman"/>
          <w:b/>
          <w:sz w:val="26"/>
        </w:rPr>
        <w:t>1.8.2. Especificación de Análisis Estadístico para Contraste de Hipótesis</w:t>
      </w:r>
    </w:p>
    <w:p>
      <w:pPr>
        <w:spacing w:line="360" w:lineRule="auto" w:after="120"/>
        <w:jc w:val="both"/>
      </w:pPr>
      <w:r>
        <w:rPr>
          <w:rFonts w:ascii="Times New Roman" w:hAnsi="Times New Roman"/>
          <w:sz w:val="24"/>
        </w:rPr>
        <w:t>Las hipótesis se contrastarán mediante modelos de regresión múltiple estimados por mínimos cuadrados ordinarios (OLS), con la siguiente arquitectura:</w:t>
      </w:r>
    </w:p>
    <w:p>
      <w:pPr>
        <w:spacing w:line="360" w:lineRule="auto" w:after="120"/>
        <w:jc w:val="both"/>
      </w:pPr>
      <w:r>
        <w:rPr>
          <w:rFonts w:ascii="Times New Roman" w:hAnsi="Times New Roman"/>
          <w:sz w:val="24"/>
        </w:rPr>
        <w:t>**Modelo 1 (Línea base — H1a, H1b):**</w:t>
      </w:r>
    </w:p>
    <w:p>
      <w:pPr>
        <w:spacing w:line="360" w:lineRule="auto" w:after="120"/>
        <w:jc w:val="both"/>
      </w:pPr>
      <w:r>
        <w:rPr>
          <w:rFonts w:ascii="Times New Roman" w:hAnsi="Times New Roman"/>
          <w:sz w:val="24"/>
        </w:rPr>
        <w:t>IE = β₀ + β₁(EA) + β₂(SE) + β₃(EW) + ε</w:t>
      </w:r>
    </w:p>
    <w:p>
      <w:pPr>
        <w:spacing w:line="360" w:lineRule="auto" w:after="120"/>
        <w:jc w:val="both"/>
      </w:pPr>
      <w:r>
        <w:rPr>
          <w:rFonts w:ascii="Times New Roman" w:hAnsi="Times New Roman"/>
          <w:sz w:val="24"/>
        </w:rPr>
        <w:t>Este modelo establece la estructura explicativa del modelo de la Teoría del Comportamiento Planificado (TCP). Los parámetros β₁ y β₂ se contrastan contra H₀₁ᵃ y H₀₁ᵇ respectivamente.</w:t>
      </w:r>
    </w:p>
    <w:p>
      <w:pPr>
        <w:spacing w:line="360" w:lineRule="auto" w:after="120"/>
        <w:jc w:val="both"/>
      </w:pPr>
      <w:r>
        <w:rPr>
          <w:rFonts w:ascii="Times New Roman" w:hAnsi="Times New Roman"/>
          <w:sz w:val="24"/>
        </w:rPr>
        <w:t>**Modelo 2 (Políticas públicas — H1):**</w:t>
      </w:r>
    </w:p>
    <w:p>
      <w:pPr>
        <w:spacing w:line="360" w:lineRule="auto" w:after="120"/>
        <w:jc w:val="both"/>
      </w:pPr>
      <w:r>
        <w:rPr>
          <w:rFonts w:ascii="Times New Roman" w:hAnsi="Times New Roman"/>
          <w:sz w:val="24"/>
        </w:rPr>
        <w:t>IE = β₀ + β₁(EA) + β₂(SE) + β₃(EW) + β₄(FK) + β₅(FL) + ε</w:t>
      </w:r>
    </w:p>
    <w:p>
      <w:pPr>
        <w:spacing w:line="360" w:lineRule="auto" w:after="120"/>
        <w:jc w:val="both"/>
      </w:pPr>
      <w:r>
        <w:rPr>
          <w:rFonts w:ascii="Times New Roman" w:hAnsi="Times New Roman"/>
          <w:sz w:val="24"/>
        </w:rPr>
        <w:t>Este modelo añade las variables independientes proxy de percepción de políticas públicas (FK: conocimiento formal del ecosistema; FL: alfabetización financiera). Los parámetros β₄ y β₅ se contrastan contra H₀₁. Se reporta el cambio en R² (ΔR²) respecto al Modelo 1 para cuantificar el aporte incremental de las políticas públicas.</w:t>
      </w:r>
    </w:p>
    <w:p>
      <w:pPr>
        <w:spacing w:line="360" w:lineRule="auto" w:after="120"/>
        <w:jc w:val="both"/>
      </w:pPr>
      <w:r>
        <w:rPr>
          <w:rFonts w:ascii="Times New Roman" w:hAnsi="Times New Roman"/>
          <w:sz w:val="24"/>
        </w:rPr>
        <w:t>**Modelo 3 (Moderación — H2):**</w:t>
      </w:r>
    </w:p>
    <w:p>
      <w:pPr>
        <w:spacing w:line="360" w:lineRule="auto" w:after="120"/>
        <w:jc w:val="both"/>
      </w:pPr>
      <w:r>
        <w:rPr>
          <w:rFonts w:ascii="Times New Roman" w:hAnsi="Times New Roman"/>
          <w:sz w:val="24"/>
        </w:rPr>
        <w:t>IE = β₀ + β₁(EA) + β₂(SE) + β₃(EW) + β₄(FK) + β₅(FL) + β₆(U-D) + β₇(U-AS) + β₈(LC) + β₉(FK×U-D) + β₁₀(FK×U-AS) + β₁₁(FK×LC) + β₁₂(FL×U-D) + β₁₃(FL×U-AS) + β₁₄(FL×LC) + ε</w:t>
      </w:r>
    </w:p>
    <w:p>
      <w:pPr>
        <w:spacing w:line="360" w:lineRule="auto" w:after="120"/>
        <w:jc w:val="both"/>
      </w:pPr>
      <w:r>
        <w:rPr>
          <w:rFonts w:ascii="Times New Roman" w:hAnsi="Times New Roman"/>
          <w:sz w:val="24"/>
        </w:rPr>
        <w:t>Este modelo incluye términos de interacción (moderación) entre las variables de políticas públicas (FK, FL) y cada dimensión del contexto universitario (U-D: desarrollo universitario; U-AS: apoyo académico; LC: clima de aprendizaje). Los parámetros β₉ a β₁₄ se contrastan contra H₀₂. Se reporta ΔR² respecto al Modelo 2 para evaluar la significancia conjunta del efecto de moderación.</w:t>
      </w:r>
    </w:p>
    <w:p>
      <w:pPr>
        <w:spacing w:line="360" w:lineRule="auto" w:after="120"/>
        <w:jc w:val="both"/>
      </w:pPr>
      <w:r>
        <w:rPr>
          <w:rFonts w:ascii="Times New Roman" w:hAnsi="Times New Roman"/>
          <w:sz w:val="24"/>
        </w:rPr>
        <w:t>**Criterios de decisión:**</w:t>
      </w:r>
    </w:p>
    <w:p>
      <w:pPr>
        <w:spacing w:line="360" w:lineRule="auto" w:after="120"/>
        <w:jc w:val="both"/>
      </w:pPr>
      <w:r>
        <w:rPr>
          <w:rFonts w:ascii="Times New Roman" w:hAnsi="Times New Roman"/>
          <w:sz w:val="24"/>
        </w:rPr>
        <w:t>- H₀ se rechaza si p &lt; .05 (prueba unilateral, α = .05)</w:t>
      </w:r>
    </w:p>
    <w:p>
      <w:pPr>
        <w:spacing w:line="360" w:lineRule="auto" w:after="120"/>
        <w:jc w:val="both"/>
      </w:pPr>
      <w:r>
        <w:rPr>
          <w:rFonts w:ascii="Times New Roman" w:hAnsi="Times New Roman"/>
          <w:sz w:val="24"/>
        </w:rPr>
        <w:t>- H₀ se mantiene si p ≥ .05</w:t>
      </w:r>
    </w:p>
    <w:p>
      <w:pPr>
        <w:spacing w:line="360" w:lineRule="auto" w:after="120"/>
        <w:jc w:val="both"/>
      </w:pPr>
      <w:r>
        <w:rPr>
          <w:rFonts w:ascii="Times New Roman" w:hAnsi="Times New Roman"/>
          <w:sz w:val="24"/>
        </w:rPr>
        <w:t>- Para hipótesis de magnitud relativa (H1a: EA &gt; SE), se comparan β estandarizados usando su magnitud absoluta</w:t>
      </w:r>
    </w:p>
    <w:p>
      <w:pPr>
        <w:spacing w:line="360" w:lineRule="auto" w:after="120"/>
        <w:jc w:val="both"/>
      </w:pPr>
      <w:r>
        <w:rPr>
          <w:rFonts w:ascii="Times New Roman" w:hAnsi="Times New Roman"/>
          <w:sz w:val="24"/>
        </w:rPr>
        <w:t>**Supuestos y diagnósticos:**</w:t>
      </w:r>
    </w:p>
    <w:p>
      <w:pPr>
        <w:spacing w:line="360" w:lineRule="auto" w:after="120"/>
        <w:jc w:val="both"/>
      </w:pPr>
      <w:r>
        <w:rPr>
          <w:rFonts w:ascii="Times New Roman" w:hAnsi="Times New Roman"/>
          <w:sz w:val="24"/>
        </w:rPr>
        <w:t>Antes de reportar resultados, se verifican los supuestos de regresión OLS: linealidad, normalidad de residuos (Shapiro-Wilk), homocedasticidad (Breusch-Pagan), ausencia de multicolinealidad (VIF &lt; 5), y ausencia de casos influyentes (distancia de Cook). Se reportan estos diagnósticos en la sección metodológica del Capítulo 3.</w:t>
      </w:r>
    </w:p>
    <w:p>
      <w:pPr>
        <w:pStyle w:val="Heading2"/>
        <w:spacing w:line="360" w:lineRule="auto" w:before="240" w:after="120"/>
      </w:pPr>
      <w:r>
        <w:rPr>
          <w:rFonts w:ascii="Times New Roman" w:hAnsi="Times New Roman"/>
          <w:b/>
          <w:sz w:val="26"/>
        </w:rPr>
        <w:t>1.9. Alcance temático</w:t>
      </w:r>
    </w:p>
    <w:p>
      <w:pPr>
        <w:spacing w:line="360" w:lineRule="auto" w:after="120"/>
        <w:jc w:val="both"/>
      </w:pPr>
      <w:r>
        <w:rPr>
          <w:rFonts w:ascii="Times New Roman" w:hAnsi="Times New Roman"/>
          <w:sz w:val="24"/>
        </w:rPr>
        <w:t>El alcance del estudio se define en tres dimensiones.</w:t>
      </w:r>
    </w:p>
    <w:p>
      <w:pPr>
        <w:spacing w:line="360" w:lineRule="auto" w:after="120"/>
        <w:jc w:val="both"/>
      </w:pPr>
      <w:r>
        <w:rPr>
          <w:rFonts w:ascii="Times New Roman" w:hAnsi="Times New Roman"/>
          <w:sz w:val="24"/>
        </w:rPr>
        <w:t>**Alcance teórico.** El estudio se inscribe en la tradición de investigación sobre intención emprendedora derivada del modelo TCP (Ajzen, 1991), con extensión hacia los marcos de análisis del ecosistema emprendedor (Stam &amp; van de Ven, 2021; Isenberg, 2011) y la educación emprendedora (Fayolle &amp; Liñán, 2014). No adopta como marco central ningún modelo de innovación tecnológica ni de gestión estratégica empresarial, aunque reconoce sus conexiones con el ecosistema productivo.</w:t>
      </w:r>
    </w:p>
    <w:p>
      <w:pPr>
        <w:spacing w:line="360" w:lineRule="auto" w:after="120"/>
        <w:jc w:val="both"/>
      </w:pPr>
      <w:r>
        <w:rPr>
          <w:rFonts w:ascii="Times New Roman" w:hAnsi="Times New Roman"/>
          <w:sz w:val="24"/>
        </w:rPr>
        <w:t>**Alcance metodológico.** El diseño mixto secuencial QUAN → qual integra análisis estadístico (regresión múltiple, análisis de moderación) con análisis de contenido de entrevistas y discursos institucionales. La fase cuantitativa es prioritaria en alcance y generalización; la fase cualitativa tiene función interpretativa y trianguladora. El instrumento cuantitativo —el dataset ALBA 2025— fue construido y validado para el contexto latinoamericano, lo que le confiere pertinencia cultural y psicométrica.</w:t>
      </w:r>
    </w:p>
    <w:p>
      <w:pPr>
        <w:spacing w:line="360" w:lineRule="auto" w:after="120"/>
        <w:jc w:val="both"/>
      </w:pPr>
      <w:r>
        <w:rPr>
          <w:rFonts w:ascii="Times New Roman" w:hAnsi="Times New Roman"/>
          <w:sz w:val="24"/>
        </w:rPr>
        <w:t>**Alcance práctico.** Los resultados son aplicables en dos niveles: (1) a nivel de política pública, para refinar el diseño de instrumentos de fomento al emprendimiento universitario en Colombia; (2) a nivel institucional, para que las universidades fortalezcan las dimensiones del contexto que mayor impacto tienen sobre la intención emprendedora de sus estudiantes. El estudio no incluye evaluación de impacto de políticas específicas ni seguimiento longitudinal de la actividad emprendedora posterior.</w:t>
      </w:r>
    </w:p>
    <w:p>
      <w:pPr>
        <w:pStyle w:val="Heading2"/>
        <w:spacing w:line="360" w:lineRule="auto" w:before="240" w:after="120"/>
      </w:pPr>
      <w:r>
        <w:rPr>
          <w:rFonts w:ascii="Times New Roman" w:hAnsi="Times New Roman"/>
          <w:b/>
          <w:sz w:val="26"/>
        </w:rPr>
        <w:t>1.10. Delimitación Espacial y Temporal</w:t>
      </w:r>
    </w:p>
    <w:p>
      <w:pPr>
        <w:spacing w:line="360" w:lineRule="auto" w:after="120"/>
        <w:jc w:val="both"/>
      </w:pPr>
      <w:r>
        <w:rPr>
          <w:rFonts w:ascii="Times New Roman" w:hAnsi="Times New Roman"/>
          <w:sz w:val="24"/>
        </w:rPr>
        <w:t>**Delimitación espacial.** El estudio tiene dos niveles. El contexto latinoamericano: los datos cuantitativos provienen del dataset ALBA 2025 (Alba, 2025), construido con estudiantes de universidades acreditadas por ACBSP en América Latina. El contexto colombiano: el análisis cualitativo —documental e institucional— se focaliza en el ecosistema de política pública en Colombia, dado que el investigador se desempeña en COTECNOVA (Cartago, Valle del Cauca). Esta doble delimitación permite validar el modelo cuantitativo con datos latinoamericanos y derivar implicaciones específicas para Colombia.</w:t>
      </w:r>
    </w:p>
    <w:p>
      <w:pPr>
        <w:spacing w:line="360" w:lineRule="auto" w:after="120"/>
        <w:jc w:val="both"/>
      </w:pPr>
      <w:r>
        <w:rPr>
          <w:rFonts w:ascii="Times New Roman" w:hAnsi="Times New Roman"/>
          <w:sz w:val="24"/>
        </w:rPr>
        <w:t>**Delimitación temporal.** El componente cuantitativo se basa en datos recolectados durante el período académico 2024-2025, según el protocolo de construcción del dataset ALBA (Alba, 2025). El análisis documental del marco normativo colombiano abarca 2006-2025, con énfasis en los desarrollos de la última década (Ley 2069/2020, CONPES 4011/2020, Decreto 2561/2022). Las entrevistas y el análisis de discurso institucional se realizaron o se realizarán durante 2025, en el marco del trabajo de campo del estudio.</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