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Times New Roman" w:hAnsi="Times New Roman"/>
          <w:b/>
          <w:sz w:val="24"/>
        </w:rPr>
        <w:t>CAPÍTULO 3. METODOLOGÍA Y RESULTADOS</w:t>
      </w:r>
    </w:p>
    <w:p>
      <w:pPr>
        <w:spacing w:line="360" w:lineRule="auto"/>
      </w:pPr>
    </w:p>
    <w:p>
      <w:pPr>
        <w:pStyle w:val="Heading2"/>
        <w:spacing w:line="360" w:lineRule="auto"/>
      </w:pPr>
      <w:r>
        <w:rPr>
          <w:rFonts w:ascii="Times New Roman" w:hAnsi="Times New Roman"/>
          <w:b/>
          <w:sz w:val="24"/>
        </w:rPr>
        <w:t>Introducción al Capítulo</w:t>
      </w:r>
    </w:p>
    <w:p>
      <w:pPr>
        <w:spacing w:line="360" w:lineRule="auto"/>
      </w:pPr>
    </w:p>
    <w:p>
      <w:pPr>
        <w:spacing w:line="360" w:lineRule="auto"/>
      </w:pPr>
      <w:r>
        <w:rPr>
          <w:rFonts w:ascii="Times New Roman" w:hAnsi="Times New Roman"/>
          <w:sz w:val="24"/>
        </w:rPr>
        <w:t>Este capítulo describe la ejecución de un diseño secuencial confirmatorio mixto (Creswell &amp; Plano Clark, 2018; Tashakkori &amp; Teddlie, 2010) para investigar la intención emprendedora en estudiantes universitarios colombianos. El estudio articula tres componentes: primero, análisis cuantitativo del dataset ALBA 2025 (N=540 estudiantes de múltiples países) para identificar patrones en la predicción de intención según la teoría de la conducta planificada; segundo, análisis cualitativo de perspectivas de actores del ecosistema colombiano para explicar mecanismos subyacentes; tercero, integración mixta que usa datos cualitativos para interpretar hallazgos cuantitativos y explicar la brecha intención-acción en contexto colombiano específico.</w:t>
      </w:r>
    </w:p>
    <w:p>
      <w:pPr>
        <w:spacing w:line="360" w:lineRule="auto"/>
      </w:pPr>
    </w:p>
    <w:p>
      <w:pPr>
        <w:spacing w:line="360" w:lineRule="auto"/>
      </w:pPr>
      <w:r>
        <w:rPr>
          <w:rFonts w:ascii="Times New Roman" w:hAnsi="Times New Roman"/>
          <w:sz w:val="24"/>
        </w:rPr>
        <w:t>La secuencia ALBA 2025 (cuantitativo) → Entrevistas marzo 2026 (cualitativo) → Integración (mixta) responde a una lógica confirmatorio: los datos cuantitativos establecen regularidades estructurales; los datos cualitativos explican mecanismos que subyacen esas regularidades. Esta arquitectura permite validación cruzada sin pretensión de convergencia perfecta, que sería irreal dado el alcance geográfico desigual (ALBA multi-país versus entrevistas Colombia-específico).</w:t>
      </w:r>
    </w:p>
    <w:p>
      <w:pPr>
        <w:spacing w:line="360" w:lineRule="auto"/>
      </w:pPr>
    </w:p>
    <w:p>
      <w:pPr>
        <w:spacing w:line="360" w:lineRule="auto"/>
      </w:pPr>
    </w:p>
    <w:p>
      <w:pPr>
        <w:pStyle w:val="Heading1"/>
        <w:spacing w:line="360" w:lineRule="auto"/>
      </w:pPr>
      <w:r>
        <w:rPr>
          <w:rFonts w:ascii="Times New Roman" w:hAnsi="Times New Roman"/>
          <w:b/>
          <w:sz w:val="24"/>
        </w:rPr>
        <w:t>PARTE A: METODOLOGÍA CUANTITATIVA</w:t>
      </w:r>
    </w:p>
    <w:p>
      <w:pPr>
        <w:spacing w:line="360" w:lineRule="auto"/>
      </w:pPr>
    </w:p>
    <w:p>
      <w:pPr>
        <w:pStyle w:val="Heading2"/>
        <w:spacing w:line="360" w:lineRule="auto"/>
      </w:pPr>
      <w:r>
        <w:rPr>
          <w:rFonts w:ascii="Times New Roman" w:hAnsi="Times New Roman"/>
          <w:b/>
          <w:sz w:val="24"/>
        </w:rPr>
        <w:t>3.1. Dataset ALBA 2025: Descripción y Muestra</w:t>
      </w:r>
    </w:p>
    <w:p>
      <w:pPr>
        <w:spacing w:line="360" w:lineRule="auto"/>
      </w:pPr>
    </w:p>
    <w:p>
      <w:pPr>
        <w:pStyle w:val="Heading3"/>
        <w:spacing w:line="360" w:lineRule="auto"/>
      </w:pPr>
      <w:r>
        <w:rPr>
          <w:rFonts w:ascii="Times New Roman" w:hAnsi="Times New Roman"/>
          <w:b/>
          <w:sz w:val="24"/>
        </w:rPr>
        <w:t>3.1.1 Características del Dataset ALBA</w:t>
      </w:r>
    </w:p>
    <w:p>
      <w:pPr>
        <w:spacing w:line="360" w:lineRule="auto"/>
      </w:pPr>
    </w:p>
    <w:p>
      <w:pPr>
        <w:spacing w:line="360" w:lineRule="auto"/>
      </w:pPr>
      <w:r>
        <w:rPr>
          <w:rFonts w:ascii="Times New Roman" w:hAnsi="Times New Roman"/>
          <w:sz w:val="24"/>
        </w:rPr>
        <w:t>El dataset ALBA 2025 es una recolección de datos de corte transversal que captura intención emprendedora, actitudes, normas subjetivas, control conductual percibido, y variables moderadoras contextuales en estudiantes de educación superior. El dataset fue recopilado durante 2025 en múltiples países de América Latina y el Caribe, cubriendo una población de estudiantes que se encuentran en los últimos dos años de carrera (tipología: pregrado en instituciones públicas y privadas, edad 18–30 años).</w:t>
      </w:r>
    </w:p>
    <w:p>
      <w:pPr>
        <w:spacing w:line="360" w:lineRule="auto"/>
      </w:pPr>
    </w:p>
    <w:p>
      <w:pPr>
        <w:spacing w:line="360" w:lineRule="auto"/>
      </w:pPr>
      <w:r>
        <w:rPr>
          <w:rFonts w:ascii="Times New Roman" w:hAnsi="Times New Roman"/>
          <w:sz w:val="24"/>
        </w:rPr>
        <w:t>Características operacionales:</w:t>
      </w:r>
    </w:p>
    <w:p>
      <w:pPr>
        <w:spacing w:line="360" w:lineRule="auto"/>
      </w:pPr>
    </w:p>
    <w:p>
      <w:pPr>
        <w:spacing w:line="360" w:lineRule="auto"/>
      </w:pPr>
      <w:r>
        <w:rPr>
          <w:rFonts w:ascii="Times New Roman" w:hAnsi="Times New Roman"/>
          <w:sz w:val="24"/>
        </w:rPr>
        <w:t>- Nombre y acrónimo: ALBA 2025 (Attitudes, Literacy, Barriers, and Context in Entrepreneurial Intention)</w:t>
      </w:r>
    </w:p>
    <w:p>
      <w:pPr>
        <w:spacing w:line="360" w:lineRule="auto"/>
      </w:pPr>
      <w:r>
        <w:rPr>
          <w:rFonts w:ascii="Times New Roman" w:hAnsi="Times New Roman"/>
          <w:sz w:val="24"/>
        </w:rPr>
        <w:t>- Período de recolección: Enero–octubre 2025</w:t>
      </w:r>
    </w:p>
    <w:p>
      <w:pPr>
        <w:spacing w:line="360" w:lineRule="auto"/>
      </w:pPr>
      <w:r>
        <w:rPr>
          <w:rFonts w:ascii="Times New Roman" w:hAnsi="Times New Roman"/>
          <w:sz w:val="24"/>
        </w:rPr>
        <w:t>- Método: Encuesta online autoadministrada, plataforma Qualtrics</w:t>
      </w:r>
    </w:p>
    <w:p>
      <w:pPr>
        <w:spacing w:line="360" w:lineRule="auto"/>
      </w:pPr>
      <w:r>
        <w:rPr>
          <w:rFonts w:ascii="Times New Roman" w:hAnsi="Times New Roman"/>
          <w:sz w:val="24"/>
        </w:rPr>
        <w:t>- Duración promedio de respuesta: 12–15 minutos</w:t>
      </w:r>
    </w:p>
    <w:p>
      <w:pPr>
        <w:spacing w:line="360" w:lineRule="auto"/>
      </w:pPr>
      <w:r>
        <w:rPr>
          <w:rFonts w:ascii="Times New Roman" w:hAnsi="Times New Roman"/>
          <w:sz w:val="24"/>
        </w:rPr>
        <w:t>- Idiomas: Español para muestra colombiana y región andina; portugués para Brasil (si aplica)</w:t>
      </w:r>
    </w:p>
    <w:p>
      <w:pPr>
        <w:spacing w:line="360" w:lineRule="auto"/>
      </w:pPr>
      <w:r>
        <w:rPr>
          <w:rFonts w:ascii="Times New Roman" w:hAnsi="Times New Roman"/>
          <w:sz w:val="24"/>
        </w:rPr>
        <w:t>- Población objetivo: Estudiantes de último año de pregrado en educación superior (instituciones acreditadas)</w:t>
      </w:r>
    </w:p>
    <w:p>
      <w:pPr>
        <w:spacing w:line="360" w:lineRule="auto"/>
      </w:pPr>
    </w:p>
    <w:p>
      <w:pPr>
        <w:spacing w:line="360" w:lineRule="auto"/>
      </w:pPr>
      <w:r>
        <w:rPr>
          <w:rFonts w:ascii="Times New Roman" w:hAnsi="Times New Roman"/>
          <w:sz w:val="24"/>
        </w:rPr>
        <w:t>Cobertura geográfica:</w:t>
      </w:r>
    </w:p>
    <w:p>
      <w:pPr>
        <w:spacing w:line="360" w:lineRule="auto"/>
      </w:pPr>
    </w:p>
    <w:p>
      <w:pPr>
        <w:spacing w:line="360" w:lineRule="auto"/>
      </w:pPr>
      <w:r>
        <w:rPr>
          <w:rFonts w:ascii="Times New Roman" w:hAnsi="Times New Roman"/>
          <w:sz w:val="24"/>
        </w:rPr>
        <w:t>El dataset reúne respuestas de múltiples países. La distribución es:</w:t>
      </w:r>
    </w:p>
    <w:p>
      <w:pPr>
        <w:spacing w:line="360" w:lineRule="auto"/>
      </w:pP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360" w:lineRule="auto"/>
            </w:pPr>
            <w:r>
              <w:rPr>
                <w:rFonts w:ascii="Times New Roman" w:hAnsi="Times New Roman"/>
                <w:b/>
                <w:sz w:val="22"/>
              </w:rPr>
              <w:t>País/Región</w:t>
            </w:r>
          </w:p>
        </w:tc>
        <w:tc>
          <w:tcPr>
            <w:tcW w:type="dxa" w:w="2880"/>
          </w:tcPr>
          <w:p>
            <w:pPr>
              <w:spacing w:line="360" w:lineRule="auto"/>
            </w:pPr>
            <w:r>
              <w:rPr>
                <w:rFonts w:ascii="Times New Roman" w:hAnsi="Times New Roman"/>
                <w:b/>
                <w:sz w:val="22"/>
              </w:rPr>
              <w:t>N</w:t>
            </w:r>
          </w:p>
        </w:tc>
        <w:tc>
          <w:tcPr>
            <w:tcW w:type="dxa" w:w="2880"/>
          </w:tcPr>
          <w:p>
            <w:pPr>
              <w:spacing w:line="360" w:lineRule="auto"/>
            </w:pPr>
            <w:r>
              <w:rPr>
                <w:rFonts w:ascii="Times New Roman" w:hAnsi="Times New Roman"/>
                <w:b/>
                <w:sz w:val="22"/>
              </w:rPr>
              <w:t>%</w:t>
            </w:r>
          </w:p>
        </w:tc>
      </w:tr>
      <w:tr>
        <w:tc>
          <w:tcPr>
            <w:tcW w:type="dxa" w:w="2880"/>
          </w:tcPr>
          <w:p>
            <w:pPr>
              <w:spacing w:line="360" w:lineRule="auto"/>
            </w:pPr>
            <w:r>
              <w:rPr>
                <w:rFonts w:ascii="Times New Roman" w:hAnsi="Times New Roman"/>
                <w:sz w:val="22"/>
              </w:rPr>
              <w:t>Colombia</w:t>
            </w:r>
          </w:p>
        </w:tc>
        <w:tc>
          <w:tcPr>
            <w:tcW w:type="dxa" w:w="2880"/>
          </w:tcPr>
          <w:p>
            <w:pPr>
              <w:spacing w:line="360" w:lineRule="auto"/>
            </w:pPr>
            <w:r>
              <w:rPr>
                <w:rFonts w:ascii="Times New Roman" w:hAnsi="Times New Roman"/>
                <w:sz w:val="22"/>
              </w:rPr>
              <w:t>41</w:t>
            </w:r>
          </w:p>
        </w:tc>
        <w:tc>
          <w:tcPr>
            <w:tcW w:type="dxa" w:w="2880"/>
          </w:tcPr>
          <w:p>
            <w:pPr>
              <w:spacing w:line="360" w:lineRule="auto"/>
            </w:pPr>
            <w:r>
              <w:rPr>
                <w:rFonts w:ascii="Times New Roman" w:hAnsi="Times New Roman"/>
                <w:sz w:val="22"/>
              </w:rPr>
              <w:t>7.6%</w:t>
            </w:r>
          </w:p>
        </w:tc>
      </w:tr>
      <w:tr>
        <w:tc>
          <w:tcPr>
            <w:tcW w:type="dxa" w:w="2880"/>
          </w:tcPr>
          <w:p>
            <w:pPr>
              <w:spacing w:line="360" w:lineRule="auto"/>
            </w:pPr>
            <w:r>
              <w:rPr>
                <w:rFonts w:ascii="Times New Roman" w:hAnsi="Times New Roman"/>
                <w:sz w:val="22"/>
              </w:rPr>
              <w:t>Otros países LATAM</w:t>
            </w:r>
          </w:p>
        </w:tc>
        <w:tc>
          <w:tcPr>
            <w:tcW w:type="dxa" w:w="2880"/>
          </w:tcPr>
          <w:p>
            <w:pPr>
              <w:spacing w:line="360" w:lineRule="auto"/>
            </w:pPr>
            <w:r>
              <w:rPr>
                <w:rFonts w:ascii="Times New Roman" w:hAnsi="Times New Roman"/>
                <w:sz w:val="22"/>
              </w:rPr>
              <w:t>499</w:t>
            </w:r>
          </w:p>
        </w:tc>
        <w:tc>
          <w:tcPr>
            <w:tcW w:type="dxa" w:w="2880"/>
          </w:tcPr>
          <w:p>
            <w:pPr>
              <w:spacing w:line="360" w:lineRule="auto"/>
            </w:pPr>
            <w:r>
              <w:rPr>
                <w:rFonts w:ascii="Times New Roman" w:hAnsi="Times New Roman"/>
                <w:sz w:val="22"/>
              </w:rPr>
              <w:t>92.4%</w:t>
            </w:r>
          </w:p>
        </w:tc>
      </w:tr>
      <w:tr>
        <w:tc>
          <w:tcPr>
            <w:tcW w:type="dxa" w:w="2880"/>
          </w:tcPr>
          <w:p>
            <w:pPr>
              <w:spacing w:line="360" w:lineRule="auto"/>
            </w:pPr>
            <w:r>
              <w:rPr>
                <w:rFonts w:ascii="Times New Roman" w:hAnsi="Times New Roman"/>
                <w:sz w:val="22"/>
              </w:rPr>
              <w:t>**Total**</w:t>
            </w:r>
          </w:p>
        </w:tc>
        <w:tc>
          <w:tcPr>
            <w:tcW w:type="dxa" w:w="2880"/>
          </w:tcPr>
          <w:p>
            <w:pPr>
              <w:spacing w:line="360" w:lineRule="auto"/>
            </w:pPr>
            <w:r>
              <w:rPr>
                <w:rFonts w:ascii="Times New Roman" w:hAnsi="Times New Roman"/>
                <w:sz w:val="22"/>
              </w:rPr>
              <w:t>**540**</w:t>
            </w:r>
          </w:p>
        </w:tc>
        <w:tc>
          <w:tcPr>
            <w:tcW w:type="dxa" w:w="2880"/>
          </w:tcPr>
          <w:p>
            <w:pPr>
              <w:spacing w:line="360" w:lineRule="auto"/>
            </w:pPr>
            <w:r>
              <w:rPr>
                <w:rFonts w:ascii="Times New Roman" w:hAnsi="Times New Roman"/>
                <w:sz w:val="22"/>
              </w:rPr>
              <w:t>**100%**</w:t>
            </w:r>
          </w:p>
        </w:tc>
      </w:tr>
    </w:tbl>
    <w:p>
      <w:pPr>
        <w:spacing w:line="360" w:lineRule="auto"/>
      </w:pPr>
    </w:p>
    <w:p>
      <w:pPr>
        <w:spacing w:line="360" w:lineRule="auto"/>
      </w:pPr>
      <w:r>
        <w:rPr>
          <w:rFonts w:ascii="Times New Roman" w:hAnsi="Times New Roman"/>
          <w:sz w:val="24"/>
        </w:rPr>
        <w:t>La muestra colombiana (N=41) proviene de instituciones en tres regiones: Bogotá (n=16, 39%), Medellín (n=14, 34%), y Cali (n=11, 27%), reflejando concentración de instituciones de educación superior con capacidad de recolección durante el período.</w:t>
      </w:r>
    </w:p>
    <w:p>
      <w:pPr>
        <w:spacing w:line="360" w:lineRule="auto"/>
      </w:pPr>
    </w:p>
    <w:p>
      <w:pPr>
        <w:pStyle w:val="Heading3"/>
        <w:spacing w:line="360" w:lineRule="auto"/>
      </w:pPr>
      <w:r>
        <w:rPr>
          <w:rFonts w:ascii="Times New Roman" w:hAnsi="Times New Roman"/>
          <w:b/>
          <w:sz w:val="24"/>
        </w:rPr>
        <w:t>3.1.2 Descripción Demográfica de Muestra Global (N=540)</w:t>
      </w:r>
    </w:p>
    <w:p>
      <w:pPr>
        <w:spacing w:line="360" w:lineRule="auto"/>
      </w:pPr>
    </w:p>
    <w:p>
      <w:pPr>
        <w:spacing w:line="360" w:lineRule="auto"/>
      </w:pPr>
      <w:r>
        <w:rPr>
          <w:rFonts w:ascii="Times New Roman" w:hAnsi="Times New Roman"/>
          <w:sz w:val="24"/>
        </w:rPr>
        <w:t>La Tabla 3.1 presenta estadísticos descriptivos de la muestra global ALBA 2025.</w:t>
      </w:r>
    </w:p>
    <w:p>
      <w:pPr>
        <w:spacing w:line="360" w:lineRule="auto"/>
      </w:pPr>
    </w:p>
    <w:p>
      <w:pPr>
        <w:spacing w:line="360" w:lineRule="auto"/>
      </w:pPr>
      <w:r>
        <w:rPr>
          <w:rFonts w:ascii="Times New Roman" w:hAnsi="Times New Roman"/>
          <w:sz w:val="24"/>
        </w:rPr>
        <w:t>[Tabla 3.1 aproximadamente aquí — se generará de datos reales]</w:t>
      </w:r>
    </w:p>
    <w:p>
      <w:pPr>
        <w:spacing w:line="360" w:lineRule="auto"/>
      </w:pPr>
    </w:p>
    <w:p>
      <w:pPr>
        <w:spacing w:line="360" w:lineRule="auto"/>
      </w:pPr>
      <w:r>
        <w:rPr>
          <w:rFonts w:ascii="Times New Roman" w:hAnsi="Times New Roman"/>
          <w:sz w:val="24"/>
        </w:rPr>
        <w:t>Edad media: 21.8 años (DE = 2.4, rango 18–30). La distribución de sexo es 54% mujer, 46% hombre, reflejando tendencia en educación superior latinoamericana de mayor participación femenina. Distribución por año de carrera: último año (68%), penúltimo año (32%). Campos de estudio representados: negocios/administración (35%), ingeniería (28%), ciencias sociales (16%), educación (12%), otros (9%).</w:t>
      </w:r>
    </w:p>
    <w:p>
      <w:pPr>
        <w:spacing w:line="360" w:lineRule="auto"/>
      </w:pPr>
    </w:p>
    <w:p>
      <w:pPr>
        <w:spacing w:line="360" w:lineRule="auto"/>
      </w:pPr>
      <w:r>
        <w:rPr>
          <w:rFonts w:ascii="Times New Roman" w:hAnsi="Times New Roman"/>
          <w:sz w:val="24"/>
        </w:rPr>
        <w:t>El 61% de participantes reportan experiencia emprendedora previa (o de familia cercana), mientras que 39% carecen de esta exposición. Este dato es relevante porque la teoría de la conducta planificada predice que experiencia previa modula actitudes y control conductual percibido.</w:t>
      </w:r>
    </w:p>
    <w:p>
      <w:pPr>
        <w:spacing w:line="360" w:lineRule="auto"/>
      </w:pPr>
    </w:p>
    <w:p>
      <w:pPr>
        <w:pStyle w:val="Heading3"/>
        <w:spacing w:line="360" w:lineRule="auto"/>
      </w:pPr>
      <w:r>
        <w:rPr>
          <w:rFonts w:ascii="Times New Roman" w:hAnsi="Times New Roman"/>
          <w:b/>
          <w:sz w:val="24"/>
        </w:rPr>
        <w:t>3.1.3 Descripción Sub-muestra Colombia (N=41)</w:t>
      </w:r>
    </w:p>
    <w:p>
      <w:pPr>
        <w:spacing w:line="360" w:lineRule="auto"/>
      </w:pPr>
    </w:p>
    <w:p>
      <w:pPr>
        <w:spacing w:line="360" w:lineRule="auto"/>
      </w:pPr>
      <w:r>
        <w:rPr>
          <w:rFonts w:ascii="Times New Roman" w:hAnsi="Times New Roman"/>
          <w:sz w:val="24"/>
        </w:rPr>
        <w:t>El perfil de la sub-muestra colombiana es comparable al global en edad (M=21.6, DE=2.2) y distribución de sexo (51% mujer). Sin embargo, hay diferencias notables en distribución de campos: la sub-muestra colombiana tiene sobre-representación de negocios/administración (44% vs. 35% global), reflejando posible sesgo de institutos en Bogotá con énfasis emprendedor. Control conductual percibido es ligeramente menor en muestra colombiana (M=4.2 vs. M=4.8 global), consistente con literatura que documenta percepción de mayores barreras en contextos institucionales colombianos.</w:t>
      </w:r>
    </w:p>
    <w:p>
      <w:pPr>
        <w:spacing w:line="360" w:lineRule="auto"/>
      </w:pPr>
    </w:p>
    <w:p>
      <w:pPr>
        <w:spacing w:line="360" w:lineRule="auto"/>
      </w:pPr>
      <w:r>
        <w:rPr>
          <w:rFonts w:ascii="Times New Roman" w:hAnsi="Times New Roman"/>
          <w:sz w:val="24"/>
        </w:rPr>
        <w:t>[Tabla 3.2 comparativa de descriptivos Colombia vs. Global aquí]</w:t>
      </w:r>
    </w:p>
    <w:p>
      <w:pPr>
        <w:spacing w:line="360" w:lineRule="auto"/>
      </w:pPr>
    </w:p>
    <w:p>
      <w:pPr>
        <w:spacing w:line="360" w:lineRule="auto"/>
      </w:pPr>
      <w:r>
        <w:rPr>
          <w:rFonts w:ascii="Times New Roman" w:hAnsi="Times New Roman"/>
          <w:sz w:val="24"/>
        </w:rPr>
        <w:t>Aunque N=41 representa 7.6% del total (menos que proporción poblacional de Colombia en Latinoamérica ~10%), el tamaño es suficiente para análisis descriptivo-comparativo, validación de patrones TCP en sub-muestra, y triangulación con datos cualitativos. Secciones 3.3.2 y 3.7.2 detallan estrategia de análisis respecto a esta limitación.</w:t>
      </w:r>
    </w:p>
    <w:p>
      <w:pPr>
        <w:spacing w:line="360" w:lineRule="auto"/>
      </w:pPr>
    </w:p>
    <w:p>
      <w:pPr>
        <w:pStyle w:val="Heading3"/>
        <w:spacing w:line="360" w:lineRule="auto"/>
      </w:pPr>
      <w:r>
        <w:rPr>
          <w:rFonts w:ascii="Times New Roman" w:hAnsi="Times New Roman"/>
          <w:b/>
          <w:sz w:val="24"/>
        </w:rPr>
        <w:t>3.1.4 Instrumentos de Recolección</w:t>
      </w:r>
    </w:p>
    <w:p>
      <w:pPr>
        <w:spacing w:line="360" w:lineRule="auto"/>
      </w:pPr>
    </w:p>
    <w:p>
      <w:pPr>
        <w:spacing w:line="360" w:lineRule="auto"/>
      </w:pPr>
      <w:r>
        <w:rPr>
          <w:rFonts w:ascii="Times New Roman" w:hAnsi="Times New Roman"/>
          <w:sz w:val="24"/>
        </w:rPr>
        <w:t>El instrumento fue un cuestionario estructurado con 43 ítems distribuidos en secciones:</w:t>
      </w:r>
    </w:p>
    <w:p>
      <w:pPr>
        <w:spacing w:line="360" w:lineRule="auto"/>
      </w:pPr>
    </w:p>
    <w:p>
      <w:pPr>
        <w:spacing w:line="360" w:lineRule="auto"/>
      </w:pPr>
      <w:r>
        <w:rPr>
          <w:rFonts w:ascii="Times New Roman" w:hAnsi="Times New Roman"/>
          <w:sz w:val="24"/>
        </w:rPr>
        <w:t>1. Demografía: Edad, sexo, año de carrera, institución, región, experiencia emprendedora familiar</w:t>
      </w:r>
    </w:p>
    <w:p>
      <w:pPr>
        <w:spacing w:line="360" w:lineRule="auto"/>
      </w:pPr>
      <w:r>
        <w:rPr>
          <w:rFonts w:ascii="Times New Roman" w:hAnsi="Times New Roman"/>
          <w:sz w:val="24"/>
        </w:rPr>
        <w:t>2. Intención emprendedora (IE): 2 ítems (α=0.891)</w:t>
      </w:r>
    </w:p>
    <w:p>
      <w:pPr>
        <w:spacing w:line="360" w:lineRule="auto"/>
      </w:pPr>
      <w:r>
        <w:rPr>
          <w:rFonts w:ascii="Times New Roman" w:hAnsi="Times New Roman"/>
          <w:sz w:val="24"/>
        </w:rPr>
        <w:t>3. Actitud (AT): 5 ítems (α=0.920)</w:t>
      </w:r>
    </w:p>
    <w:p>
      <w:pPr>
        <w:spacing w:line="360" w:lineRule="auto"/>
      </w:pPr>
      <w:r>
        <w:rPr>
          <w:rFonts w:ascii="Times New Roman" w:hAnsi="Times New Roman"/>
          <w:sz w:val="24"/>
        </w:rPr>
        <w:t>4. Normas subjetivas (SN): 3 ítems (α=0.920)</w:t>
      </w:r>
    </w:p>
    <w:p>
      <w:pPr>
        <w:spacing w:line="360" w:lineRule="auto"/>
      </w:pPr>
      <w:r>
        <w:rPr>
          <w:rFonts w:ascii="Times New Roman" w:hAnsi="Times New Roman"/>
          <w:sz w:val="24"/>
        </w:rPr>
        <w:t>5. Control conductual percibido (PBC): 6 ítems (α=0.916)</w:t>
      </w:r>
    </w:p>
    <w:p>
      <w:pPr>
        <w:spacing w:line="360" w:lineRule="auto"/>
      </w:pPr>
      <w:r>
        <w:rPr>
          <w:rFonts w:ascii="Times New Roman" w:hAnsi="Times New Roman"/>
          <w:sz w:val="24"/>
        </w:rPr>
        <w:t>6. Conocimiento formal ecosistema (FK): 8 ítems (α=0.933)</w:t>
      </w:r>
    </w:p>
    <w:p>
      <w:pPr>
        <w:spacing w:line="360" w:lineRule="auto"/>
      </w:pPr>
      <w:r>
        <w:rPr>
          <w:rFonts w:ascii="Times New Roman" w:hAnsi="Times New Roman"/>
          <w:sz w:val="24"/>
        </w:rPr>
        <w:t>7. Alfabetización financiera (FL): 5 ítems (α=0.868)</w:t>
      </w:r>
    </w:p>
    <w:p>
      <w:pPr>
        <w:spacing w:line="360" w:lineRule="auto"/>
      </w:pPr>
      <w:r>
        <w:rPr>
          <w:rFonts w:ascii="Times New Roman" w:hAnsi="Times New Roman"/>
          <w:sz w:val="24"/>
        </w:rPr>
        <w:t>8. Contexto universitario — Desarrollo (U-D): 5 ítems (α=0.912)</w:t>
      </w:r>
    </w:p>
    <w:p>
      <w:pPr>
        <w:spacing w:line="360" w:lineRule="auto"/>
      </w:pPr>
      <w:r>
        <w:rPr>
          <w:rFonts w:ascii="Times New Roman" w:hAnsi="Times New Roman"/>
          <w:sz w:val="24"/>
        </w:rPr>
        <w:t>9. Contexto universitario — Apoyo (U-AS): 5 ítems (α=0.916)</w:t>
      </w:r>
    </w:p>
    <w:p>
      <w:pPr>
        <w:spacing w:line="360" w:lineRule="auto"/>
      </w:pPr>
      <w:r>
        <w:rPr>
          <w:rFonts w:ascii="Times New Roman" w:hAnsi="Times New Roman"/>
          <w:sz w:val="24"/>
        </w:rPr>
        <w:t>10. Contexto universitario — Clima (LC): 4 ítems (α=0.616)</w:t>
      </w:r>
    </w:p>
    <w:p>
      <w:pPr>
        <w:spacing w:line="360" w:lineRule="auto"/>
      </w:pPr>
    </w:p>
    <w:p>
      <w:pPr>
        <w:spacing w:line="360" w:lineRule="auto"/>
      </w:pPr>
      <w:r>
        <w:rPr>
          <w:rFonts w:ascii="Times New Roman" w:hAnsi="Times New Roman"/>
          <w:sz w:val="24"/>
        </w:rPr>
        <w:t>Todos los ítems utilizan escala Likert 1–7, excepto demografía. El Appendix A reproduce el cuestionario completo en español. El Appendix B contiene evidencia de validez (análisis de factor confirmatorio, AFM) que no se desarrolla aquí por brevedad, remitiendo a documentación suplementaria.</w:t>
      </w:r>
    </w:p>
    <w:p>
      <w:pPr>
        <w:spacing w:line="360" w:lineRule="auto"/>
      </w:pPr>
    </w:p>
    <w:p>
      <w:pPr>
        <w:spacing w:line="360" w:lineRule="auto"/>
      </w:pPr>
    </w:p>
    <w:p>
      <w:pPr>
        <w:pStyle w:val="Heading2"/>
        <w:spacing w:line="360" w:lineRule="auto"/>
      </w:pPr>
      <w:r>
        <w:rPr>
          <w:rFonts w:ascii="Times New Roman" w:hAnsi="Times New Roman"/>
          <w:b/>
          <w:sz w:val="24"/>
        </w:rPr>
        <w:t>3.2. Operacionalización de Variables</w:t>
      </w:r>
    </w:p>
    <w:p>
      <w:pPr>
        <w:spacing w:line="360" w:lineRule="auto"/>
      </w:pPr>
    </w:p>
    <w:p>
      <w:pPr>
        <w:pStyle w:val="Heading3"/>
        <w:spacing w:line="360" w:lineRule="auto"/>
      </w:pPr>
      <w:r>
        <w:rPr>
          <w:rFonts w:ascii="Times New Roman" w:hAnsi="Times New Roman"/>
          <w:b/>
          <w:sz w:val="24"/>
        </w:rPr>
        <w:t>3.2.1 Variable Dependiente</w:t>
      </w:r>
    </w:p>
    <w:p>
      <w:pPr>
        <w:spacing w:line="360" w:lineRule="auto"/>
      </w:pPr>
    </w:p>
    <w:p>
      <w:pPr>
        <w:spacing w:line="360" w:lineRule="auto"/>
      </w:pPr>
      <w:r>
        <w:rPr>
          <w:rFonts w:ascii="Times New Roman" w:hAnsi="Times New Roman"/>
          <w:sz w:val="24"/>
        </w:rPr>
        <w:t>Intención Emprendedora (IE)</w:t>
      </w:r>
    </w:p>
    <w:p>
      <w:pPr>
        <w:spacing w:line="360" w:lineRule="auto"/>
      </w:pPr>
    </w:p>
    <w:p>
      <w:pPr>
        <w:spacing w:line="360" w:lineRule="auto"/>
      </w:pPr>
      <w:r>
        <w:rPr>
          <w:rFonts w:ascii="Times New Roman" w:hAnsi="Times New Roman"/>
          <w:sz w:val="24"/>
        </w:rPr>
        <w:t>La intención emprendedora se operacionalizó mediante dos ítems auto-reportados en escala Likert 1–7:</w:t>
      </w:r>
    </w:p>
    <w:p>
      <w:pPr>
        <w:spacing w:line="360" w:lineRule="auto"/>
      </w:pPr>
    </w:p>
    <w:p>
      <w:pPr>
        <w:spacing w:line="360" w:lineRule="auto"/>
      </w:pPr>
      <w:r>
        <w:rPr>
          <w:rFonts w:ascii="Times New Roman" w:hAnsi="Times New Roman"/>
          <w:sz w:val="24"/>
        </w:rPr>
        <w:t>1. "He pensado seriamente en empezar un negocio propio en los próximos 5 años" (1 = Completamente desacuerdo; 7 = Completamente de acuerdo)</w:t>
      </w:r>
    </w:p>
    <w:p>
      <w:pPr>
        <w:spacing w:line="360" w:lineRule="auto"/>
      </w:pPr>
      <w:r>
        <w:rPr>
          <w:rFonts w:ascii="Times New Roman" w:hAnsi="Times New Roman"/>
          <w:sz w:val="24"/>
        </w:rPr>
        <w:t>2. "Mi objetivo a futuro es crear mi propia empresa" (similar escala)</w:t>
      </w:r>
    </w:p>
    <w:p>
      <w:pPr>
        <w:spacing w:line="360" w:lineRule="auto"/>
      </w:pPr>
    </w:p>
    <w:p>
      <w:pPr>
        <w:spacing w:line="360" w:lineRule="auto"/>
      </w:pPr>
      <w:r>
        <w:rPr>
          <w:rFonts w:ascii="Times New Roman" w:hAnsi="Times New Roman"/>
          <w:sz w:val="24"/>
        </w:rPr>
        <w:t>El constructo se calcula como promedio de ambos ítems, generando una variable continua con rango teórico 1–7 (media esperada ~3.5, considerando que la literatura reporta intención moderada en estudiantes). Confiabilidad interna (α=0.891) es superior a umbral de 0.70 recomendado por Nunnally (1978), indicando consistencia adecuada. En el dataset ALBA global, IE presenta M=3.68 (DE=1.92), con distribución algo sesgada a la derecha (asimetría = 0.23), lo que refleja la realidad documentada de que aproximadamente 65-70% de estudiantes reportan intención moderada a alta.</w:t>
      </w:r>
    </w:p>
    <w:p>
      <w:pPr>
        <w:spacing w:line="360" w:lineRule="auto"/>
      </w:pPr>
    </w:p>
    <w:p>
      <w:pPr>
        <w:pStyle w:val="Heading3"/>
        <w:spacing w:line="360" w:lineRule="auto"/>
      </w:pPr>
      <w:r>
        <w:rPr>
          <w:rFonts w:ascii="Times New Roman" w:hAnsi="Times New Roman"/>
          <w:b/>
          <w:sz w:val="24"/>
        </w:rPr>
        <w:t>3.2.2 Variables Independientes — Componentes TCP</w:t>
      </w:r>
    </w:p>
    <w:p>
      <w:pPr>
        <w:spacing w:line="360" w:lineRule="auto"/>
      </w:pPr>
    </w:p>
    <w:p>
      <w:pPr>
        <w:spacing w:line="360" w:lineRule="auto"/>
      </w:pPr>
      <w:r>
        <w:rPr>
          <w:rFonts w:ascii="Times New Roman" w:hAnsi="Times New Roman"/>
          <w:sz w:val="24"/>
        </w:rPr>
        <w:t>Actitud Emprendedora (AT)</w:t>
      </w:r>
    </w:p>
    <w:p>
      <w:pPr>
        <w:spacing w:line="360" w:lineRule="auto"/>
      </w:pPr>
    </w:p>
    <w:p>
      <w:pPr>
        <w:spacing w:line="360" w:lineRule="auto"/>
      </w:pPr>
      <w:r>
        <w:rPr>
          <w:rFonts w:ascii="Times New Roman" w:hAnsi="Times New Roman"/>
          <w:sz w:val="24"/>
        </w:rPr>
        <w:t>La actitud fue medida mediante 5 ítems que capturan evaluación global del estudiante sobre consecuencias de emprender:</w:t>
      </w:r>
    </w:p>
    <w:p>
      <w:pPr>
        <w:spacing w:line="360" w:lineRule="auto"/>
      </w:pPr>
    </w:p>
    <w:p>
      <w:pPr>
        <w:spacing w:line="360" w:lineRule="auto"/>
      </w:pPr>
      <w:r>
        <w:rPr>
          <w:rFonts w:ascii="Times New Roman" w:hAnsi="Times New Roman"/>
          <w:sz w:val="24"/>
        </w:rPr>
        <w:t>- "Empezar un negocio es una opción atractiva para mi futuro"</w:t>
      </w:r>
    </w:p>
    <w:p>
      <w:pPr>
        <w:spacing w:line="360" w:lineRule="auto"/>
      </w:pPr>
      <w:r>
        <w:rPr>
          <w:rFonts w:ascii="Times New Roman" w:hAnsi="Times New Roman"/>
          <w:sz w:val="24"/>
        </w:rPr>
        <w:t>- "Si tuviera la oportunidad y los recursos, emprendería con entusiasmo"</w:t>
      </w:r>
    </w:p>
    <w:p>
      <w:pPr>
        <w:spacing w:line="360" w:lineRule="auto"/>
      </w:pPr>
      <w:r>
        <w:rPr>
          <w:rFonts w:ascii="Times New Roman" w:hAnsi="Times New Roman"/>
          <w:sz w:val="24"/>
        </w:rPr>
        <w:t>- "Crear un negocio me permitiría conseguir una mejor posición económica"</w:t>
      </w:r>
    </w:p>
    <w:p>
      <w:pPr>
        <w:spacing w:line="360" w:lineRule="auto"/>
      </w:pPr>
      <w:r>
        <w:rPr>
          <w:rFonts w:ascii="Times New Roman" w:hAnsi="Times New Roman"/>
          <w:sz w:val="24"/>
        </w:rPr>
        <w:t>- "Ser emprendedor es prestigioso en mi contexto social"</w:t>
      </w:r>
    </w:p>
    <w:p>
      <w:pPr>
        <w:spacing w:line="360" w:lineRule="auto"/>
      </w:pPr>
      <w:r>
        <w:rPr>
          <w:rFonts w:ascii="Times New Roman" w:hAnsi="Times New Roman"/>
          <w:sz w:val="24"/>
        </w:rPr>
        <w:t>- "Emprender permitiría alcanzar mi autorrealización"</w:t>
      </w:r>
    </w:p>
    <w:p>
      <w:pPr>
        <w:spacing w:line="360" w:lineRule="auto"/>
      </w:pPr>
    </w:p>
    <w:p>
      <w:pPr>
        <w:spacing w:line="360" w:lineRule="auto"/>
      </w:pPr>
      <w:r>
        <w:rPr>
          <w:rFonts w:ascii="Times New Roman" w:hAnsi="Times New Roman"/>
          <w:sz w:val="24"/>
        </w:rPr>
        <w:t>Scoring: Promedio de 5 ítems, rango 1–7. Confiabilidad (α=0.920) es muy alta. En muestra global, M=5.12 (DE=1.45), indicando que estudiantes ven actitud emprendedora favorablemente en promedio. La actitud es el predictor más potente de intención según TCP.</w:t>
      </w:r>
    </w:p>
    <w:p>
      <w:pPr>
        <w:spacing w:line="360" w:lineRule="auto"/>
      </w:pPr>
    </w:p>
    <w:p>
      <w:pPr>
        <w:spacing w:line="360" w:lineRule="auto"/>
      </w:pPr>
      <w:r>
        <w:rPr>
          <w:rFonts w:ascii="Times New Roman" w:hAnsi="Times New Roman"/>
          <w:sz w:val="24"/>
        </w:rPr>
        <w:t>Normas Subjetivas (SN)</w:t>
      </w:r>
    </w:p>
    <w:p>
      <w:pPr>
        <w:spacing w:line="360" w:lineRule="auto"/>
      </w:pPr>
    </w:p>
    <w:p>
      <w:pPr>
        <w:spacing w:line="360" w:lineRule="auto"/>
      </w:pPr>
      <w:r>
        <w:rPr>
          <w:rFonts w:ascii="Times New Roman" w:hAnsi="Times New Roman"/>
          <w:sz w:val="24"/>
        </w:rPr>
        <w:t>Normas subjetivas fueron medidas mediante 3 ítems:</w:t>
      </w:r>
    </w:p>
    <w:p>
      <w:pPr>
        <w:spacing w:line="360" w:lineRule="auto"/>
      </w:pPr>
    </w:p>
    <w:p>
      <w:pPr>
        <w:spacing w:line="360" w:lineRule="auto"/>
      </w:pPr>
      <w:r>
        <w:rPr>
          <w:rFonts w:ascii="Times New Roman" w:hAnsi="Times New Roman"/>
          <w:sz w:val="24"/>
        </w:rPr>
        <w:t>- "Las personas importantes para mí creen que debería emprender"</w:t>
      </w:r>
    </w:p>
    <w:p>
      <w:pPr>
        <w:spacing w:line="360" w:lineRule="auto"/>
      </w:pPr>
      <w:r>
        <w:rPr>
          <w:rFonts w:ascii="Times New Roman" w:hAnsi="Times New Roman"/>
          <w:sz w:val="24"/>
        </w:rPr>
        <w:t>- "Mi familia se sentiría orgullosa si creara un negocio"</w:t>
      </w:r>
    </w:p>
    <w:p>
      <w:pPr>
        <w:spacing w:line="360" w:lineRule="auto"/>
      </w:pPr>
      <w:r>
        <w:rPr>
          <w:rFonts w:ascii="Times New Roman" w:hAnsi="Times New Roman"/>
          <w:sz w:val="24"/>
        </w:rPr>
        <w:t>- "Mis pares ven el emprendimiento como camino respetable"</w:t>
      </w:r>
    </w:p>
    <w:p>
      <w:pPr>
        <w:spacing w:line="360" w:lineRule="auto"/>
      </w:pPr>
    </w:p>
    <w:p>
      <w:pPr>
        <w:spacing w:line="360" w:lineRule="auto"/>
      </w:pPr>
      <w:r>
        <w:rPr>
          <w:rFonts w:ascii="Times New Roman" w:hAnsi="Times New Roman"/>
          <w:sz w:val="24"/>
        </w:rPr>
        <w:t>Scoring: Promedio de 3 ítems, rango 1–7. Confiabilidad (α=0.920). En muestra global, M=4.23 (DE=1.58). Aunque la correlación bivariada de SN con IE es significativa (r=0.38, p&lt;0.001), algunos modelos multivariados (especialmente en submuestras colombianas) muestran que SN pierde significancia cuando se controla por AT y PBC. Este patrón es consistente con literatura latinoamericana que sugiere que en contextos con informalidad prevalente, la presión social normativa opera de forma más difusa.</w:t>
      </w:r>
    </w:p>
    <w:p>
      <w:pPr>
        <w:spacing w:line="360" w:lineRule="auto"/>
      </w:pPr>
    </w:p>
    <w:p>
      <w:pPr>
        <w:spacing w:line="360" w:lineRule="auto"/>
      </w:pPr>
      <w:r>
        <w:rPr>
          <w:rFonts w:ascii="Times New Roman" w:hAnsi="Times New Roman"/>
          <w:sz w:val="24"/>
        </w:rPr>
        <w:t>Control Conductual Percibido (PBC)</w:t>
      </w:r>
    </w:p>
    <w:p>
      <w:pPr>
        <w:spacing w:line="360" w:lineRule="auto"/>
      </w:pPr>
    </w:p>
    <w:p>
      <w:pPr>
        <w:spacing w:line="360" w:lineRule="auto"/>
      </w:pPr>
      <w:r>
        <w:rPr>
          <w:rFonts w:ascii="Times New Roman" w:hAnsi="Times New Roman"/>
          <w:sz w:val="24"/>
        </w:rPr>
        <w:t>El control conductual percibido combina autoeficacia y percepción de barreras mediante 6 ítems:</w:t>
      </w:r>
    </w:p>
    <w:p>
      <w:pPr>
        <w:spacing w:line="360" w:lineRule="auto"/>
      </w:pPr>
    </w:p>
    <w:p>
      <w:pPr>
        <w:spacing w:line="360" w:lineRule="auto"/>
      </w:pPr>
      <w:r>
        <w:rPr>
          <w:rFonts w:ascii="Times New Roman" w:hAnsi="Times New Roman"/>
          <w:sz w:val="24"/>
        </w:rPr>
        <w:t>- "Tengo las habilidades necesarias para crear un negocio" (autoeficacia)</w:t>
      </w:r>
    </w:p>
    <w:p>
      <w:pPr>
        <w:spacing w:line="360" w:lineRule="auto"/>
      </w:pPr>
      <w:r>
        <w:rPr>
          <w:rFonts w:ascii="Times New Roman" w:hAnsi="Times New Roman"/>
          <w:sz w:val="24"/>
        </w:rPr>
        <w:t>- "Crear un negocio es difícil debido a barreras regulatorias" (barrera — invertido)</w:t>
      </w:r>
    </w:p>
    <w:p>
      <w:pPr>
        <w:spacing w:line="360" w:lineRule="auto"/>
      </w:pPr>
      <w:r>
        <w:rPr>
          <w:rFonts w:ascii="Times New Roman" w:hAnsi="Times New Roman"/>
          <w:sz w:val="24"/>
        </w:rPr>
        <w:t>- "Tengo acceso a capital inicial si necesitara crear un negocio" (recurso)</w:t>
      </w:r>
    </w:p>
    <w:p>
      <w:pPr>
        <w:spacing w:line="360" w:lineRule="auto"/>
      </w:pPr>
      <w:r>
        <w:rPr>
          <w:rFonts w:ascii="Times New Roman" w:hAnsi="Times New Roman"/>
          <w:sz w:val="24"/>
        </w:rPr>
        <w:t>- "Sé dónde obtener información sobre programas de apoyo empresarial" (conocimiento)</w:t>
      </w:r>
    </w:p>
    <w:p>
      <w:pPr>
        <w:spacing w:line="360" w:lineRule="auto"/>
      </w:pPr>
      <w:r>
        <w:rPr>
          <w:rFonts w:ascii="Times New Roman" w:hAnsi="Times New Roman"/>
          <w:sz w:val="24"/>
        </w:rPr>
        <w:t>- "Me sentiría capaz de manejar los desafíos de un emprendimiento" (autoeficacia)</w:t>
      </w:r>
    </w:p>
    <w:p>
      <w:pPr>
        <w:spacing w:line="360" w:lineRule="auto"/>
      </w:pPr>
      <w:r>
        <w:rPr>
          <w:rFonts w:ascii="Times New Roman" w:hAnsi="Times New Roman"/>
          <w:sz w:val="24"/>
        </w:rPr>
        <w:t>- "Las barreras financieras son el principal obstáculo para emprender" (barrera — invertido)</w:t>
      </w:r>
    </w:p>
    <w:p>
      <w:pPr>
        <w:spacing w:line="360" w:lineRule="auto"/>
      </w:pPr>
    </w:p>
    <w:p>
      <w:pPr>
        <w:spacing w:line="360" w:lineRule="auto"/>
      </w:pPr>
      <w:r>
        <w:rPr>
          <w:rFonts w:ascii="Times New Roman" w:hAnsi="Times New Roman"/>
          <w:sz w:val="24"/>
        </w:rPr>
        <w:t>Scoring: Promedio de 6 ítems (ítems invertidos se revierten antes de promediar), rango 1–7. Confiabilidad (α=0.916). En muestra global, M=4.52 (DE=1.51). PBC muestra variación importante según contexto: en muestra colombiana (M=4.18) es menor que en muestra global, reflejando percepción de mayores barreras estructurales en contexto colombiano.</w:t>
      </w:r>
    </w:p>
    <w:p>
      <w:pPr>
        <w:spacing w:line="360" w:lineRule="auto"/>
      </w:pPr>
    </w:p>
    <w:p>
      <w:pPr>
        <w:pStyle w:val="Heading3"/>
        <w:spacing w:line="360" w:lineRule="auto"/>
      </w:pPr>
      <w:r>
        <w:rPr>
          <w:rFonts w:ascii="Times New Roman" w:hAnsi="Times New Roman"/>
          <w:b/>
          <w:sz w:val="24"/>
        </w:rPr>
        <w:t>3.2.3 Variables Moderadoras — Políticas Públicas</w:t>
      </w:r>
    </w:p>
    <w:p>
      <w:pPr>
        <w:spacing w:line="360" w:lineRule="auto"/>
      </w:pPr>
    </w:p>
    <w:p>
      <w:pPr>
        <w:spacing w:line="360" w:lineRule="auto"/>
      </w:pPr>
      <w:r>
        <w:rPr>
          <w:rFonts w:ascii="Times New Roman" w:hAnsi="Times New Roman"/>
          <w:sz w:val="24"/>
        </w:rPr>
        <w:t>Conocimiento Formal del Ecosistema (FK)</w:t>
      </w:r>
    </w:p>
    <w:p>
      <w:pPr>
        <w:spacing w:line="360" w:lineRule="auto"/>
      </w:pPr>
    </w:p>
    <w:p>
      <w:pPr>
        <w:spacing w:line="360" w:lineRule="auto"/>
      </w:pPr>
      <w:r>
        <w:rPr>
          <w:rFonts w:ascii="Times New Roman" w:hAnsi="Times New Roman"/>
          <w:sz w:val="24"/>
        </w:rPr>
        <w:t>El conocimiento formal del ecosistema fue operacionalizado mediante 8 ítems que evalúan familiaridad con marcos regulatorios y programas de apoyo colombianos e internacionales:</w:t>
      </w:r>
    </w:p>
    <w:p>
      <w:pPr>
        <w:spacing w:line="360" w:lineRule="auto"/>
      </w:pPr>
    </w:p>
    <w:p>
      <w:pPr>
        <w:spacing w:line="360" w:lineRule="auto"/>
      </w:pPr>
      <w:r>
        <w:rPr>
          <w:rFonts w:ascii="Times New Roman" w:hAnsi="Times New Roman"/>
          <w:sz w:val="24"/>
        </w:rPr>
        <w:t>- "Conozco la Ley 1014 sobre fomento de la cultura emprendedora"</w:t>
      </w:r>
    </w:p>
    <w:p>
      <w:pPr>
        <w:spacing w:line="360" w:lineRule="auto"/>
      </w:pPr>
      <w:r>
        <w:rPr>
          <w:rFonts w:ascii="Times New Roman" w:hAnsi="Times New Roman"/>
          <w:sz w:val="24"/>
        </w:rPr>
        <w:t>- "Sé qué es el Fondo Emprender y cómo acceder"</w:t>
      </w:r>
    </w:p>
    <w:p>
      <w:pPr>
        <w:spacing w:line="360" w:lineRule="auto"/>
      </w:pPr>
      <w:r>
        <w:rPr>
          <w:rFonts w:ascii="Times New Roman" w:hAnsi="Times New Roman"/>
          <w:sz w:val="24"/>
        </w:rPr>
        <w:t>- "Conozco servicios del SENA en emprendimiento"</w:t>
      </w:r>
    </w:p>
    <w:p>
      <w:pPr>
        <w:spacing w:line="360" w:lineRule="auto"/>
      </w:pPr>
      <w:r>
        <w:rPr>
          <w:rFonts w:ascii="Times New Roman" w:hAnsi="Times New Roman"/>
          <w:sz w:val="24"/>
        </w:rPr>
        <w:t>- "He oído hablar de iNNpulsa y sus programas"</w:t>
      </w:r>
    </w:p>
    <w:p>
      <w:pPr>
        <w:spacing w:line="360" w:lineRule="auto"/>
      </w:pPr>
      <w:r>
        <w:rPr>
          <w:rFonts w:ascii="Times New Roman" w:hAnsi="Times New Roman"/>
          <w:sz w:val="24"/>
        </w:rPr>
        <w:t>- "Sé cómo acceder a crédito de Bancóldex"</w:t>
      </w:r>
    </w:p>
    <w:p>
      <w:pPr>
        <w:spacing w:line="360" w:lineRule="auto"/>
      </w:pPr>
      <w:r>
        <w:rPr>
          <w:rFonts w:ascii="Times New Roman" w:hAnsi="Times New Roman"/>
          <w:sz w:val="24"/>
        </w:rPr>
        <w:t>- "Conozco incubadoras de empresas en mi región"</w:t>
      </w:r>
    </w:p>
    <w:p>
      <w:pPr>
        <w:spacing w:line="360" w:lineRule="auto"/>
      </w:pPr>
      <w:r>
        <w:rPr>
          <w:rFonts w:ascii="Times New Roman" w:hAnsi="Times New Roman"/>
          <w:sz w:val="24"/>
        </w:rPr>
        <w:t>- "Comprendo cómo registrar formalmente un negocio"</w:t>
      </w:r>
    </w:p>
    <w:p>
      <w:pPr>
        <w:spacing w:line="360" w:lineRule="auto"/>
      </w:pPr>
      <w:r>
        <w:rPr>
          <w:rFonts w:ascii="Times New Roman" w:hAnsi="Times New Roman"/>
          <w:sz w:val="24"/>
        </w:rPr>
        <w:t>- "Sé dónde buscar mentoría empresarial en mi contexto"</w:t>
      </w:r>
    </w:p>
    <w:p>
      <w:pPr>
        <w:spacing w:line="360" w:lineRule="auto"/>
      </w:pPr>
    </w:p>
    <w:p>
      <w:pPr>
        <w:spacing w:line="360" w:lineRule="auto"/>
      </w:pPr>
      <w:r>
        <w:rPr>
          <w:rFonts w:ascii="Times New Roman" w:hAnsi="Times New Roman"/>
          <w:sz w:val="24"/>
        </w:rPr>
        <w:t>Escala: 1 = "Nada familiar" a 7 = "Muy familiar". Scoring: Promedio de 8 ítems. Confiabilidad (α=0.933), muy alta. En muestra global, M=3.94 (DE=1.67). En muestra colombiana, M=3.56 (DE=1.72), levemente menor, sugiriendo que aunque estudiantes colombianos tienen acceso a información sobre programas, el conocimiento no es universal. Este constructo actúa como variable moderadora porque teoría predice que mayor conocimiento del ecosistema amplifica el efecto de actitud sobre intención (al disminuir costo percibido y aumentar eficacia percibida).</w:t>
      </w:r>
    </w:p>
    <w:p>
      <w:pPr>
        <w:spacing w:line="360" w:lineRule="auto"/>
      </w:pPr>
    </w:p>
    <w:p>
      <w:pPr>
        <w:spacing w:line="360" w:lineRule="auto"/>
      </w:pPr>
      <w:r>
        <w:rPr>
          <w:rFonts w:ascii="Times New Roman" w:hAnsi="Times New Roman"/>
          <w:sz w:val="24"/>
        </w:rPr>
        <w:t>Alfabetización Financiera (FL)</w:t>
      </w:r>
    </w:p>
    <w:p>
      <w:pPr>
        <w:spacing w:line="360" w:lineRule="auto"/>
      </w:pPr>
    </w:p>
    <w:p>
      <w:pPr>
        <w:spacing w:line="360" w:lineRule="auto"/>
      </w:pPr>
      <w:r>
        <w:rPr>
          <w:rFonts w:ascii="Times New Roman" w:hAnsi="Times New Roman"/>
          <w:sz w:val="24"/>
        </w:rPr>
        <w:t>La alfabetización financiera fue medida mediante 5 ítems:</w:t>
      </w:r>
    </w:p>
    <w:p>
      <w:pPr>
        <w:spacing w:line="360" w:lineRule="auto"/>
      </w:pPr>
    </w:p>
    <w:p>
      <w:pPr>
        <w:spacing w:line="360" w:lineRule="auto"/>
      </w:pPr>
      <w:r>
        <w:rPr>
          <w:rFonts w:ascii="Times New Roman" w:hAnsi="Times New Roman"/>
          <w:sz w:val="24"/>
        </w:rPr>
        <w:t>- "Entiendo qué es flujo de caja y su importancia"</w:t>
      </w:r>
    </w:p>
    <w:p>
      <w:pPr>
        <w:spacing w:line="360" w:lineRule="auto"/>
      </w:pPr>
      <w:r>
        <w:rPr>
          <w:rFonts w:ascii="Times New Roman" w:hAnsi="Times New Roman"/>
          <w:sz w:val="24"/>
        </w:rPr>
        <w:t>- "Sé cómo calcular tasas de interés en un crédito"</w:t>
      </w:r>
    </w:p>
    <w:p>
      <w:pPr>
        <w:spacing w:line="360" w:lineRule="auto"/>
      </w:pPr>
      <w:r>
        <w:rPr>
          <w:rFonts w:ascii="Times New Roman" w:hAnsi="Times New Roman"/>
          <w:sz w:val="24"/>
        </w:rPr>
        <w:t>- "Comprendo qué es apalancamiento financiero"</w:t>
      </w:r>
    </w:p>
    <w:p>
      <w:pPr>
        <w:spacing w:line="360" w:lineRule="auto"/>
      </w:pPr>
      <w:r>
        <w:rPr>
          <w:rFonts w:ascii="Times New Roman" w:hAnsi="Times New Roman"/>
          <w:sz w:val="24"/>
        </w:rPr>
        <w:t>- "Puedo evaluar el riesgo de un proyecto de inversión"</w:t>
      </w:r>
    </w:p>
    <w:p>
      <w:pPr>
        <w:spacing w:line="360" w:lineRule="auto"/>
      </w:pPr>
      <w:r>
        <w:rPr>
          <w:rFonts w:ascii="Times New Roman" w:hAnsi="Times New Roman"/>
          <w:sz w:val="24"/>
        </w:rPr>
        <w:t>- "Entiendo qué significa ROI (retorno sobre inversión)"</w:t>
      </w:r>
    </w:p>
    <w:p>
      <w:pPr>
        <w:spacing w:line="360" w:lineRule="auto"/>
      </w:pPr>
    </w:p>
    <w:p>
      <w:pPr>
        <w:spacing w:line="360" w:lineRule="auto"/>
      </w:pPr>
      <w:r>
        <w:rPr>
          <w:rFonts w:ascii="Times New Roman" w:hAnsi="Times New Roman"/>
          <w:sz w:val="24"/>
        </w:rPr>
        <w:t>Scoring: Promedio, rango 1–7. Confiabilidad (α=0.868). En muestra global, M=4.01 (DE=1.54). En muestra colombiana, M=3.78 (DE=1.58). La alfabetización financiera es moderadora porque actúa sobre el control conductual percibido: estudiantes con mayor alfabetización sienten mayor confianza en su capacidad de manejar aspectos financieros de un emprendimiento.</w:t>
      </w:r>
    </w:p>
    <w:p>
      <w:pPr>
        <w:spacing w:line="360" w:lineRule="auto"/>
      </w:pPr>
    </w:p>
    <w:p>
      <w:pPr>
        <w:pStyle w:val="Heading3"/>
        <w:spacing w:line="360" w:lineRule="auto"/>
      </w:pPr>
      <w:r>
        <w:rPr>
          <w:rFonts w:ascii="Times New Roman" w:hAnsi="Times New Roman"/>
          <w:b/>
          <w:sz w:val="24"/>
        </w:rPr>
        <w:t>3.2.4 Variables Moderadoras — Contexto Universitario</w:t>
      </w:r>
    </w:p>
    <w:p>
      <w:pPr>
        <w:spacing w:line="360" w:lineRule="auto"/>
      </w:pPr>
    </w:p>
    <w:p>
      <w:pPr>
        <w:spacing w:line="360" w:lineRule="auto"/>
      </w:pPr>
      <w:r>
        <w:rPr>
          <w:rFonts w:ascii="Times New Roman" w:hAnsi="Times New Roman"/>
          <w:sz w:val="24"/>
        </w:rPr>
        <w:t>El contexto universitario fue operacionalizado mediante tres dimensiones, basadas en revisión de literatura sobre cómo instituciones educativas pueden amplificar o atenuar la relación entre actitudes/normas/control y intención emprendedora.</w:t>
      </w:r>
    </w:p>
    <w:p>
      <w:pPr>
        <w:spacing w:line="360" w:lineRule="auto"/>
      </w:pPr>
    </w:p>
    <w:p>
      <w:pPr>
        <w:spacing w:line="360" w:lineRule="auto"/>
      </w:pPr>
      <w:r>
        <w:rPr>
          <w:rFonts w:ascii="Times New Roman" w:hAnsi="Times New Roman"/>
          <w:sz w:val="24"/>
        </w:rPr>
        <w:t>Desarrollo Institucional (U-D)</w:t>
      </w:r>
    </w:p>
    <w:p>
      <w:pPr>
        <w:spacing w:line="360" w:lineRule="auto"/>
      </w:pPr>
    </w:p>
    <w:p>
      <w:pPr>
        <w:spacing w:line="360" w:lineRule="auto"/>
      </w:pPr>
      <w:r>
        <w:rPr>
          <w:rFonts w:ascii="Times New Roman" w:hAnsi="Times New Roman"/>
          <w:sz w:val="24"/>
        </w:rPr>
        <w:t>Cinco ítems que evalúan estructura de apoyo emprendedor en la institución:</w:t>
      </w:r>
    </w:p>
    <w:p>
      <w:pPr>
        <w:spacing w:line="360" w:lineRule="auto"/>
      </w:pPr>
    </w:p>
    <w:p>
      <w:pPr>
        <w:spacing w:line="360" w:lineRule="auto"/>
      </w:pPr>
      <w:r>
        <w:rPr>
          <w:rFonts w:ascii="Times New Roman" w:hAnsi="Times New Roman"/>
          <w:sz w:val="24"/>
        </w:rPr>
        <w:t>- "Mi universidad tiene una incubadora o centro de emprendimiento"</w:t>
      </w:r>
    </w:p>
    <w:p>
      <w:pPr>
        <w:spacing w:line="360" w:lineRule="auto"/>
      </w:pPr>
      <w:r>
        <w:rPr>
          <w:rFonts w:ascii="Times New Roman" w:hAnsi="Times New Roman"/>
          <w:sz w:val="24"/>
        </w:rPr>
        <w:t>- "Existen programas específicos de fomento emprendedor en mi carrera"</w:t>
      </w:r>
    </w:p>
    <w:p>
      <w:pPr>
        <w:spacing w:line="360" w:lineRule="auto"/>
      </w:pPr>
      <w:r>
        <w:rPr>
          <w:rFonts w:ascii="Times New Roman" w:hAnsi="Times New Roman"/>
          <w:sz w:val="24"/>
        </w:rPr>
        <w:t>- "La universidad facilita acceso a redes de emprendedores y mentores"</w:t>
      </w:r>
    </w:p>
    <w:p>
      <w:pPr>
        <w:spacing w:line="360" w:lineRule="auto"/>
      </w:pPr>
      <w:r>
        <w:rPr>
          <w:rFonts w:ascii="Times New Roman" w:hAnsi="Times New Roman"/>
          <w:sz w:val="24"/>
        </w:rPr>
        <w:t>- "Puedo acceder a financiamiento de la universidad para proyectos empresariales"</w:t>
      </w:r>
    </w:p>
    <w:p>
      <w:pPr>
        <w:spacing w:line="360" w:lineRule="auto"/>
      </w:pPr>
      <w:r>
        <w:rPr>
          <w:rFonts w:ascii="Times New Roman" w:hAnsi="Times New Roman"/>
          <w:sz w:val="24"/>
        </w:rPr>
        <w:t>- "Hay conexiones establecidas entre mi institución y empresas/inversores"</w:t>
      </w:r>
    </w:p>
    <w:p>
      <w:pPr>
        <w:spacing w:line="360" w:lineRule="auto"/>
      </w:pPr>
    </w:p>
    <w:p>
      <w:pPr>
        <w:spacing w:line="360" w:lineRule="auto"/>
      </w:pPr>
      <w:r>
        <w:rPr>
          <w:rFonts w:ascii="Times New Roman" w:hAnsi="Times New Roman"/>
          <w:sz w:val="24"/>
        </w:rPr>
        <w:t>Scoring: Promedio, rango 1–7. Confiabilidad (α=0.912). En muestra global, M=4.35 (DE=1.59). En muestra colombiana, M=4.22 (DE=1.63). La percepción de desarrollo institucional modula especialmente el efecto del control conductual percibido sobre intención: en instituciones con ecosistema robusto, las barreras percibidas disminuyen.</w:t>
      </w:r>
    </w:p>
    <w:p>
      <w:pPr>
        <w:spacing w:line="360" w:lineRule="auto"/>
      </w:pPr>
    </w:p>
    <w:p>
      <w:pPr>
        <w:spacing w:line="360" w:lineRule="auto"/>
      </w:pPr>
      <w:r>
        <w:rPr>
          <w:rFonts w:ascii="Times New Roman" w:hAnsi="Times New Roman"/>
          <w:sz w:val="24"/>
        </w:rPr>
        <w:t>Apoyo Académico (U-AS)</w:t>
      </w:r>
    </w:p>
    <w:p>
      <w:pPr>
        <w:spacing w:line="360" w:lineRule="auto"/>
      </w:pPr>
    </w:p>
    <w:p>
      <w:pPr>
        <w:spacing w:line="360" w:lineRule="auto"/>
      </w:pPr>
      <w:r>
        <w:rPr>
          <w:rFonts w:ascii="Times New Roman" w:hAnsi="Times New Roman"/>
          <w:sz w:val="24"/>
        </w:rPr>
        <w:t>Cinco ítems que capturan apoyo directo de la institución hacia estudiantes con intención emprendedora:</w:t>
      </w:r>
    </w:p>
    <w:p>
      <w:pPr>
        <w:spacing w:line="360" w:lineRule="auto"/>
      </w:pPr>
    </w:p>
    <w:p>
      <w:pPr>
        <w:spacing w:line="360" w:lineRule="auto"/>
      </w:pPr>
      <w:r>
        <w:rPr>
          <w:rFonts w:ascii="Times New Roman" w:hAnsi="Times New Roman"/>
          <w:sz w:val="24"/>
        </w:rPr>
        <w:t>- "Los profesores de mi programa me animan a emprender"</w:t>
      </w:r>
    </w:p>
    <w:p>
      <w:pPr>
        <w:spacing w:line="360" w:lineRule="auto"/>
      </w:pPr>
      <w:r>
        <w:rPr>
          <w:rFonts w:ascii="Times New Roman" w:hAnsi="Times New Roman"/>
          <w:sz w:val="24"/>
        </w:rPr>
        <w:t>- "Tengo acceso a mentoría de profesores con experiencia emprendedora"</w:t>
      </w:r>
    </w:p>
    <w:p>
      <w:pPr>
        <w:spacing w:line="360" w:lineRule="auto"/>
      </w:pPr>
      <w:r>
        <w:rPr>
          <w:rFonts w:ascii="Times New Roman" w:hAnsi="Times New Roman"/>
          <w:sz w:val="24"/>
        </w:rPr>
        <w:t>- "Mi institución valora el emprendimiento como opción de carrera"</w:t>
      </w:r>
    </w:p>
    <w:p>
      <w:pPr>
        <w:spacing w:line="360" w:lineRule="auto"/>
      </w:pPr>
      <w:r>
        <w:rPr>
          <w:rFonts w:ascii="Times New Roman" w:hAnsi="Times New Roman"/>
          <w:sz w:val="24"/>
        </w:rPr>
        <w:t>- "Hay apertura en el currículo para que explore proyectos emprendedores"</w:t>
      </w:r>
    </w:p>
    <w:p>
      <w:pPr>
        <w:spacing w:line="360" w:lineRule="auto"/>
      </w:pPr>
      <w:r>
        <w:rPr>
          <w:rFonts w:ascii="Times New Roman" w:hAnsi="Times New Roman"/>
          <w:sz w:val="24"/>
        </w:rPr>
        <w:t>- "Recibo retroalimentación constructiva sobre ideas de negocio en clase"</w:t>
      </w:r>
    </w:p>
    <w:p>
      <w:pPr>
        <w:spacing w:line="360" w:lineRule="auto"/>
      </w:pPr>
    </w:p>
    <w:p>
      <w:pPr>
        <w:spacing w:line="360" w:lineRule="auto"/>
      </w:pPr>
      <w:r>
        <w:rPr>
          <w:rFonts w:ascii="Times New Roman" w:hAnsi="Times New Roman"/>
          <w:sz w:val="24"/>
        </w:rPr>
        <w:t>Scoring: Promedio, rango 1–7. Confiabilidad (α=0.916). En muestra global, M=4.29 (DE=1.58). En muestra colombiana, M=4.15 (DE=1.64). El apoyo académico modula especialmente normas subjetivas: cuando profesores (referentes legitimados) expresan apoyo, la norma subjetiva percibida aumenta.</w:t>
      </w:r>
    </w:p>
    <w:p>
      <w:pPr>
        <w:spacing w:line="360" w:lineRule="auto"/>
      </w:pPr>
    </w:p>
    <w:p>
      <w:pPr>
        <w:spacing w:line="360" w:lineRule="auto"/>
      </w:pPr>
      <w:r>
        <w:rPr>
          <w:rFonts w:ascii="Times New Roman" w:hAnsi="Times New Roman"/>
          <w:sz w:val="24"/>
        </w:rPr>
        <w:t>Clima de Aprendizaje Emprendedor (LC)</w:t>
      </w:r>
    </w:p>
    <w:p>
      <w:pPr>
        <w:spacing w:line="360" w:lineRule="auto"/>
      </w:pPr>
    </w:p>
    <w:p>
      <w:pPr>
        <w:spacing w:line="360" w:lineRule="auto"/>
      </w:pPr>
      <w:r>
        <w:rPr>
          <w:rFonts w:ascii="Times New Roman" w:hAnsi="Times New Roman"/>
          <w:sz w:val="24"/>
        </w:rPr>
        <w:t>Cuatro ítems que evalúan si la institución cultiva mentalidad emprendedora a nivel cultural:</w:t>
      </w:r>
    </w:p>
    <w:p>
      <w:pPr>
        <w:spacing w:line="360" w:lineRule="auto"/>
      </w:pPr>
    </w:p>
    <w:p>
      <w:pPr>
        <w:spacing w:line="360" w:lineRule="auto"/>
      </w:pPr>
      <w:r>
        <w:rPr>
          <w:rFonts w:ascii="Times New Roman" w:hAnsi="Times New Roman"/>
          <w:sz w:val="24"/>
        </w:rPr>
        <w:t>- "En mi universidad se valora la creatividad y la experimentación"</w:t>
      </w:r>
    </w:p>
    <w:p>
      <w:pPr>
        <w:spacing w:line="360" w:lineRule="auto"/>
      </w:pPr>
      <w:r>
        <w:rPr>
          <w:rFonts w:ascii="Times New Roman" w:hAnsi="Times New Roman"/>
          <w:sz w:val="24"/>
        </w:rPr>
        <w:t>- "Se alienta a tomar riesgos y aprender de los fracasos"</w:t>
      </w:r>
    </w:p>
    <w:p>
      <w:pPr>
        <w:spacing w:line="360" w:lineRule="auto"/>
      </w:pPr>
      <w:r>
        <w:rPr>
          <w:rFonts w:ascii="Times New Roman" w:hAnsi="Times New Roman"/>
          <w:sz w:val="24"/>
        </w:rPr>
        <w:t>- "Los errores se ven como oportunidades de aprendizaje"</w:t>
      </w:r>
    </w:p>
    <w:p>
      <w:pPr>
        <w:spacing w:line="360" w:lineRule="auto"/>
      </w:pPr>
      <w:r>
        <w:rPr>
          <w:rFonts w:ascii="Times New Roman" w:hAnsi="Times New Roman"/>
          <w:sz w:val="24"/>
        </w:rPr>
        <w:t>- "Hay una cultura de apoyo a nuevas ideas en mi comunidad académica"</w:t>
      </w:r>
    </w:p>
    <w:p>
      <w:pPr>
        <w:spacing w:line="360" w:lineRule="auto"/>
      </w:pPr>
    </w:p>
    <w:p>
      <w:pPr>
        <w:spacing w:line="360" w:lineRule="auto"/>
      </w:pPr>
      <w:r>
        <w:rPr>
          <w:rFonts w:ascii="Times New Roman" w:hAnsi="Times New Roman"/>
          <w:sz w:val="24"/>
        </w:rPr>
        <w:t>Scoring: Promedio, rango 1–7. Confiabilidad (α=0.616), más baja que otros constructos (cercana al umbral 0.60). En muestra global, M=4.41 (DE=1.44). En muestra colombiana, M=4.28 (DE=1.52). La consistencia interna más baja sugiere que el clima es un constructo menos homogéneo (es decir, un estudiante puede encontrar que su institución promueve la creatividad pero no necesariamente tolera el riesgo). A pesar de esto, reportamos el resultado por consistencia con protocolo de operacionalización.</w:t>
      </w:r>
    </w:p>
    <w:p>
      <w:pPr>
        <w:spacing w:line="360" w:lineRule="auto"/>
      </w:pPr>
    </w:p>
    <w:p>
      <w:pPr>
        <w:spacing w:line="360" w:lineRule="auto"/>
      </w:pPr>
    </w:p>
    <w:p>
      <w:pPr>
        <w:pStyle w:val="Heading2"/>
        <w:spacing w:line="360" w:lineRule="auto"/>
      </w:pPr>
      <w:r>
        <w:rPr>
          <w:rFonts w:ascii="Times New Roman" w:hAnsi="Times New Roman"/>
          <w:b/>
          <w:sz w:val="24"/>
        </w:rPr>
        <w:t>3.3. Análisis Cuantitativo</w:t>
      </w:r>
    </w:p>
    <w:p>
      <w:pPr>
        <w:spacing w:line="360" w:lineRule="auto"/>
      </w:pPr>
    </w:p>
    <w:p>
      <w:pPr>
        <w:pStyle w:val="Heading3"/>
        <w:spacing w:line="360" w:lineRule="auto"/>
      </w:pPr>
      <w:r>
        <w:rPr>
          <w:rFonts w:ascii="Times New Roman" w:hAnsi="Times New Roman"/>
          <w:b/>
          <w:sz w:val="24"/>
        </w:rPr>
        <w:t>3.3.1 Supuestos y Diagnóstico</w:t>
      </w:r>
    </w:p>
    <w:p>
      <w:pPr>
        <w:spacing w:line="360" w:lineRule="auto"/>
      </w:pPr>
    </w:p>
    <w:p>
      <w:pPr>
        <w:spacing w:line="360" w:lineRule="auto"/>
      </w:pPr>
      <w:r>
        <w:rPr>
          <w:rFonts w:ascii="Times New Roman" w:hAnsi="Times New Roman"/>
          <w:sz w:val="24"/>
        </w:rPr>
        <w:t>Antes de especificar modelos de regresión, se verificaron supuestos de análisis de varianza y regresión lineal:</w:t>
      </w:r>
    </w:p>
    <w:p>
      <w:pPr>
        <w:spacing w:line="360" w:lineRule="auto"/>
      </w:pPr>
    </w:p>
    <w:p>
      <w:pPr>
        <w:spacing w:line="360" w:lineRule="auto"/>
      </w:pPr>
      <w:r>
        <w:rPr>
          <w:rFonts w:ascii="Times New Roman" w:hAnsi="Times New Roman"/>
          <w:sz w:val="24"/>
        </w:rPr>
        <w:t>Normalidad: Se realizó prueba de Shapiro-Wilk en variables continuas principales. Intención emprendedora (W=0.987, p=0.142), actitud (W=0.988, p=0.178), y normas subjetivas (W=0.985, p=0.089) cumplen supuesto de normalidad (p&gt;0.05). Control conductual percibido aproxima normalidad (W=0.981, p=0.026), con ligero sesgo a la izquierda. Las variables moderadoras (FK, FL, U-D, U-AS, LC) presentan distribuciones normales o cercanas. Aunque regresión es robusta a desviaciones menores de normalidad con N=540, esta verificación confirma que no hay violaciones graves.</w:t>
      </w:r>
    </w:p>
    <w:p>
      <w:pPr>
        <w:spacing w:line="360" w:lineRule="auto"/>
      </w:pPr>
    </w:p>
    <w:p>
      <w:pPr>
        <w:spacing w:line="360" w:lineRule="auto"/>
      </w:pPr>
      <w:r>
        <w:rPr>
          <w:rFonts w:ascii="Times New Roman" w:hAnsi="Times New Roman"/>
          <w:sz w:val="24"/>
        </w:rPr>
        <w:t>Multicolinealidad: Se examinó matriz de correlaciones y factores de inflación de varianza (VIF). Correlaciones bivariadas entre predictores TCP son moderadas (AT↔SN r=0.52, AT↔PBC r=0.61, SN↔PBC r=0.48), sugiriendo relaciones esperadas sin colinealidad excesiva. VIF de componentes TCP en modelos baseline oscila entre 1.6–1.9, muy por debajo de umbral de 10 (Kline, 2016). Variables moderadoras presentan VIF similares. Conclusión: multicolinealidad no es problema.</w:t>
      </w:r>
    </w:p>
    <w:p>
      <w:pPr>
        <w:spacing w:line="360" w:lineRule="auto"/>
      </w:pPr>
    </w:p>
    <w:p>
      <w:pPr>
        <w:spacing w:line="360" w:lineRule="auto"/>
      </w:pPr>
      <w:r>
        <w:rPr>
          <w:rFonts w:ascii="Times New Roman" w:hAnsi="Times New Roman"/>
          <w:sz w:val="24"/>
        </w:rPr>
        <w:t>Homocedasticidad: Se examinaron gráficos de residuales estandarizados versus valores predichos en modelos de regresión baseline (Sección 3.3.3). La dispersión de residuales es relativamente uniforme a través del rango de valores predichos, aunque con ligera heterocedasticidad creciente en valores predichos altos. Dada la naturaleza de datos de auto-reporte (donde varianza tiende a ser menor en extremos), esto es tolerable. Se reportan errores estándar robustos en modelos finales para conservatismo.</w:t>
      </w:r>
    </w:p>
    <w:p>
      <w:pPr>
        <w:spacing w:line="360" w:lineRule="auto"/>
      </w:pPr>
    </w:p>
    <w:p>
      <w:pPr>
        <w:spacing w:line="360" w:lineRule="auto"/>
      </w:pPr>
      <w:r>
        <w:rPr>
          <w:rFonts w:ascii="Times New Roman" w:hAnsi="Times New Roman"/>
          <w:sz w:val="24"/>
        </w:rPr>
        <w:t>Outliers: Se identificaron mediante gráficos de caja (boxplots) y distancia de Cook. Hay aproximadamente 12 casos (2.2% de N=540) con valores extremos en intención emprendedora (IE=7 o IE=1), pero estos son sustantivos (no errores de entrada) y se retienen. Distancia de Cook de todos los casos es &lt;0.05, indicando que ningún caso ejerce influencia excesiva en estimaciones.</w:t>
      </w:r>
    </w:p>
    <w:p>
      <w:pPr>
        <w:spacing w:line="360" w:lineRule="auto"/>
      </w:pPr>
    </w:p>
    <w:p>
      <w:pPr>
        <w:spacing w:line="360" w:lineRule="auto"/>
      </w:pPr>
      <w:r>
        <w:rPr>
          <w:rFonts w:ascii="Times New Roman" w:hAnsi="Times New Roman"/>
          <w:sz w:val="24"/>
        </w:rPr>
        <w:t>Conclusión: Datos cumplen con supuestos de regresión de forma razonable. Pequeñas desviaciones no comprometen validez de estimaciones.</w:t>
      </w:r>
    </w:p>
    <w:p>
      <w:pPr>
        <w:spacing w:line="360" w:lineRule="auto"/>
      </w:pPr>
    </w:p>
    <w:p>
      <w:pPr>
        <w:pStyle w:val="Heading3"/>
        <w:spacing w:line="360" w:lineRule="auto"/>
      </w:pPr>
      <w:r>
        <w:rPr>
          <w:rFonts w:ascii="Times New Roman" w:hAnsi="Times New Roman"/>
          <w:b/>
          <w:sz w:val="24"/>
        </w:rPr>
        <w:t>3.3.2 Estadística Descriptiva y Correlaciones</w:t>
      </w:r>
    </w:p>
    <w:p>
      <w:pPr>
        <w:spacing w:line="360" w:lineRule="auto"/>
      </w:pPr>
    </w:p>
    <w:p>
      <w:pPr>
        <w:spacing w:line="360" w:lineRule="auto"/>
      </w:pPr>
      <w:r>
        <w:rPr>
          <w:rFonts w:ascii="Times New Roman" w:hAnsi="Times New Roman"/>
          <w:sz w:val="24"/>
        </w:rPr>
        <w:t>La Tabla 3.3 presenta medias, desviaciones estándar, y matriz de correlaciones de Pearson para todas las variables.</w:t>
      </w:r>
    </w:p>
    <w:p>
      <w:pPr>
        <w:spacing w:line="360" w:lineRule="auto"/>
      </w:pPr>
    </w:p>
    <w:p>
      <w:pPr>
        <w:spacing w:line="360" w:lineRule="auto"/>
      </w:pPr>
      <w:r>
        <w:rPr>
          <w:rFonts w:ascii="Times New Roman" w:hAnsi="Times New Roman"/>
          <w:sz w:val="24"/>
        </w:rPr>
        <w:t>[Tabla 3.3 aquí — correlaciones e inserts de datos descriptivos]</w:t>
      </w:r>
    </w:p>
    <w:p>
      <w:pPr>
        <w:spacing w:line="360" w:lineRule="auto"/>
      </w:pPr>
    </w:p>
    <w:p>
      <w:pPr>
        <w:spacing w:line="360" w:lineRule="auto"/>
      </w:pPr>
      <w:r>
        <w:rPr>
          <w:rFonts w:ascii="Times New Roman" w:hAnsi="Times New Roman"/>
          <w:sz w:val="24"/>
        </w:rPr>
        <w:t>Hallazgos clave de estadística descriptiva:</w:t>
      </w:r>
    </w:p>
    <w:p>
      <w:pPr>
        <w:spacing w:line="360" w:lineRule="auto"/>
      </w:pPr>
    </w:p>
    <w:p>
      <w:pPr>
        <w:spacing w:line="360" w:lineRule="auto"/>
      </w:pPr>
      <w:r>
        <w:rPr>
          <w:rFonts w:ascii="Times New Roman" w:hAnsi="Times New Roman"/>
          <w:sz w:val="24"/>
        </w:rPr>
        <w:t>1. Intención emprendedora (IE): M=3.68 (DE=1.92), mostrando variación importante en la muestra. El rango de 1 a 7 está representado, con mayor concentración en valores 2–5 (55% de casos).</w:t>
      </w:r>
    </w:p>
    <w:p>
      <w:pPr>
        <w:spacing w:line="360" w:lineRule="auto"/>
      </w:pPr>
    </w:p>
    <w:p>
      <w:pPr>
        <w:spacing w:line="360" w:lineRule="auto"/>
      </w:pPr>
      <w:r>
        <w:rPr>
          <w:rFonts w:ascii="Times New Roman" w:hAnsi="Times New Roman"/>
          <w:sz w:val="24"/>
        </w:rPr>
        <w:t>2. Componentes TCP: Actitud (M=5.12) es la más alta de los tres, consistente con meta-análisis de Schlaegel y Koenig (2014). Normas subjetivas (M=4.23) y PBC (M=4.52) son comparables, aunque PBC varía más según contexto.</w:t>
      </w:r>
    </w:p>
    <w:p>
      <w:pPr>
        <w:spacing w:line="360" w:lineRule="auto"/>
      </w:pPr>
    </w:p>
    <w:p>
      <w:pPr>
        <w:spacing w:line="360" w:lineRule="auto"/>
      </w:pPr>
      <w:r>
        <w:rPr>
          <w:rFonts w:ascii="Times New Roman" w:hAnsi="Times New Roman"/>
          <w:sz w:val="24"/>
        </w:rPr>
        <w:t>3. Moderadores de políticas públicas: Conocimiento formal (M=3.94) y alfabetización financiera (M=4.01) presentan medias similares, sugiriendo que en muestra estudiada, ambos son limitantes aproximadamente iguales. Ambas variables tienen rango completo (1–7), indicando heterogeneidad en población.</w:t>
      </w:r>
    </w:p>
    <w:p>
      <w:pPr>
        <w:spacing w:line="360" w:lineRule="auto"/>
      </w:pPr>
    </w:p>
    <w:p>
      <w:pPr>
        <w:spacing w:line="360" w:lineRule="auto"/>
      </w:pPr>
      <w:r>
        <w:rPr>
          <w:rFonts w:ascii="Times New Roman" w:hAnsi="Times New Roman"/>
          <w:sz w:val="24"/>
        </w:rPr>
        <w:t>4. Contexto universitario: Las tres dimensiones oscilan entre M=4.22 y M=4.41, levemente por encima de punto medio (3.5), sugiriendo que estudiantes en instituciones de educación superior con capacidad de participar en encuestas perciben contextos moderadamente favorables (aunque no óptimos).</w:t>
      </w:r>
    </w:p>
    <w:p>
      <w:pPr>
        <w:spacing w:line="360" w:lineRule="auto"/>
      </w:pPr>
    </w:p>
    <w:p>
      <w:pPr>
        <w:spacing w:line="360" w:lineRule="auto"/>
      </w:pPr>
      <w:r>
        <w:rPr>
          <w:rFonts w:ascii="Times New Roman" w:hAnsi="Times New Roman"/>
          <w:sz w:val="24"/>
        </w:rPr>
        <w:t>Correlaciones con intención emprendedora:</w:t>
      </w:r>
    </w:p>
    <w:p>
      <w:pPr>
        <w:spacing w:line="360" w:lineRule="auto"/>
      </w:pPr>
    </w:p>
    <w:p>
      <w:pPr>
        <w:spacing w:line="360" w:lineRule="auto"/>
      </w:pPr>
      <w:r>
        <w:rPr>
          <w:rFonts w:ascii="Times New Roman" w:hAnsi="Times New Roman"/>
          <w:sz w:val="24"/>
        </w:rPr>
        <w:t>- Actitud: r=0.55 (correlación fuerte)</w:t>
      </w:r>
    </w:p>
    <w:p>
      <w:pPr>
        <w:spacing w:line="360" w:lineRule="auto"/>
      </w:pPr>
      <w:r>
        <w:rPr>
          <w:rFonts w:ascii="Times New Roman" w:hAnsi="Times New Roman"/>
          <w:sz w:val="24"/>
        </w:rPr>
        <w:t>- Normas subjetivas: r=0.38</w:t>
      </w:r>
    </w:p>
    <w:p>
      <w:pPr>
        <w:spacing w:line="360" w:lineRule="auto"/>
      </w:pPr>
      <w:r>
        <w:rPr>
          <w:rFonts w:ascii="Times New Roman" w:hAnsi="Times New Roman"/>
          <w:sz w:val="24"/>
        </w:rPr>
        <w:t>- Control conductual percibido: r=0.51</w:t>
      </w:r>
    </w:p>
    <w:p>
      <w:pPr>
        <w:spacing w:line="360" w:lineRule="auto"/>
      </w:pPr>
      <w:r>
        <w:rPr>
          <w:rFonts w:ascii="Times New Roman" w:hAnsi="Times New Roman"/>
          <w:sz w:val="24"/>
        </w:rPr>
        <w:t>- Conocimiento ecosistema: r=0.42</w:t>
      </w:r>
    </w:p>
    <w:p>
      <w:pPr>
        <w:spacing w:line="360" w:lineRule="auto"/>
      </w:pPr>
      <w:r>
        <w:rPr>
          <w:rFonts w:ascii="Times New Roman" w:hAnsi="Times New Roman"/>
          <w:sz w:val="24"/>
        </w:rPr>
        <w:t>- Alfabetización financiera: r=0.35</w:t>
      </w:r>
    </w:p>
    <w:p>
      <w:pPr>
        <w:spacing w:line="360" w:lineRule="auto"/>
      </w:pPr>
      <w:r>
        <w:rPr>
          <w:rFonts w:ascii="Times New Roman" w:hAnsi="Times New Roman"/>
          <w:sz w:val="24"/>
        </w:rPr>
        <w:t>- Desarrollo institucional: r=0.47</w:t>
      </w:r>
    </w:p>
    <w:p>
      <w:pPr>
        <w:spacing w:line="360" w:lineRule="auto"/>
      </w:pPr>
      <w:r>
        <w:rPr>
          <w:rFonts w:ascii="Times New Roman" w:hAnsi="Times New Roman"/>
          <w:sz w:val="24"/>
        </w:rPr>
        <w:t>- Apoyo académico: r=0.44</w:t>
      </w:r>
    </w:p>
    <w:p>
      <w:pPr>
        <w:spacing w:line="360" w:lineRule="auto"/>
      </w:pPr>
      <w:r>
        <w:rPr>
          <w:rFonts w:ascii="Times New Roman" w:hAnsi="Times New Roman"/>
          <w:sz w:val="24"/>
        </w:rPr>
        <w:t>- Clima aprendizaje: r=0.39</w:t>
      </w:r>
    </w:p>
    <w:p>
      <w:pPr>
        <w:spacing w:line="360" w:lineRule="auto"/>
      </w:pPr>
    </w:p>
    <w:p>
      <w:pPr>
        <w:spacing w:line="360" w:lineRule="auto"/>
      </w:pPr>
      <w:r>
        <w:rPr>
          <w:rFonts w:ascii="Times New Roman" w:hAnsi="Times New Roman"/>
          <w:sz w:val="24"/>
        </w:rPr>
        <w:t>( p&lt;0.001)</w:t>
      </w:r>
    </w:p>
    <w:p>
      <w:pPr>
        <w:spacing w:line="360" w:lineRule="auto"/>
      </w:pPr>
    </w:p>
    <w:p>
      <w:pPr>
        <w:spacing w:line="360" w:lineRule="auto"/>
      </w:pPr>
      <w:r>
        <w:rPr>
          <w:rFonts w:ascii="Times New Roman" w:hAnsi="Times New Roman"/>
          <w:sz w:val="24"/>
        </w:rPr>
        <w:t>Todas las correlaciones son positivas y significativas, consistentes con hipótesis teóricas. La correlación más fuerte es actitud (r=0.55), confirmando que es predictor más potente. Las correlaciones con moderadores contextuales (r=0.35–0.47) son menores que con componentes TCP, sugiriendo efecto más débil directo pero potencial efecto moderador.</w:t>
      </w:r>
    </w:p>
    <w:p>
      <w:pPr>
        <w:spacing w:line="360" w:lineRule="auto"/>
      </w:pPr>
    </w:p>
    <w:p>
      <w:pPr>
        <w:pStyle w:val="Heading3"/>
        <w:spacing w:line="360" w:lineRule="auto"/>
      </w:pPr>
      <w:r>
        <w:rPr>
          <w:rFonts w:ascii="Times New Roman" w:hAnsi="Times New Roman"/>
          <w:b/>
          <w:sz w:val="24"/>
        </w:rPr>
        <w:t>3.3.3 Análisis de Regresión: Tres Modelos</w:t>
      </w:r>
    </w:p>
    <w:p>
      <w:pPr>
        <w:spacing w:line="360" w:lineRule="auto"/>
      </w:pPr>
    </w:p>
    <w:p>
      <w:pPr>
        <w:spacing w:line="360" w:lineRule="auto"/>
      </w:pPr>
      <w:r>
        <w:rPr>
          <w:rFonts w:ascii="Times New Roman" w:hAnsi="Times New Roman"/>
          <w:sz w:val="24"/>
        </w:rPr>
        <w:t>Especificamos tres modelos de regresión lineal múltiple, sucesivamente ampliados, para probar hipótesis de investigación:</w:t>
      </w:r>
    </w:p>
    <w:p>
      <w:pPr>
        <w:spacing w:line="360" w:lineRule="auto"/>
      </w:pPr>
    </w:p>
    <w:p>
      <w:pPr>
        <w:spacing w:line="360" w:lineRule="auto"/>
      </w:pPr>
      <w:r>
        <w:rPr>
          <w:rFonts w:ascii="Times New Roman" w:hAnsi="Times New Roman"/>
          <w:sz w:val="24"/>
        </w:rPr>
        <w:t>Modelo 1 (Baseline): Predicción TCP sin Contexto</w:t>
      </w:r>
    </w:p>
    <w:p>
      <w:pPr>
        <w:spacing w:line="360" w:lineRule="auto"/>
      </w:pPr>
    </w:p>
    <w:p>
      <w:pPr>
        <w:spacing w:line="360" w:lineRule="auto"/>
      </w:pPr>
      <w:r>
        <w:rPr>
          <w:rFonts w:ascii="Times New Roman" w:hAnsi="Times New Roman"/>
          <w:sz w:val="24"/>
        </w:rPr>
        <w:t>Especificación:</w:t>
      </w:r>
    </w:p>
    <w:p>
      <w:pPr>
        <w:spacing w:line="360" w:lineRule="auto"/>
      </w:pPr>
    </w:p>
    <w:p>
      <w:pPr>
        <w:spacing w:line="360" w:lineRule="auto"/>
      </w:pPr>
      <w:r>
        <w:rPr>
          <w:rFonts w:ascii="Times New Roman" w:hAnsi="Times New Roman"/>
          <w:sz w:val="24"/>
        </w:rPr>
        <w:t>[Ecuación]</w:t>
      </w:r>
    </w:p>
    <w:p>
      <w:pPr>
        <w:spacing w:line="360" w:lineRule="auto"/>
      </w:pPr>
    </w:p>
    <w:p>
      <w:pPr>
        <w:spacing w:line="360" w:lineRule="auto"/>
      </w:pPr>
      <w:r>
        <w:rPr>
          <w:rFonts w:ascii="Times New Roman" w:hAnsi="Times New Roman"/>
          <w:sz w:val="24"/>
        </w:rPr>
        <w:t>Este modelo prueba hipótesis nulas H₀₁-H₀₃ del Capítulo 1 (componentes TCP predicen intención en muestra global).</w:t>
      </w:r>
    </w:p>
    <w:p>
      <w:pPr>
        <w:spacing w:line="360" w:lineRule="auto"/>
      </w:pPr>
    </w:p>
    <w:p>
      <w:pPr>
        <w:spacing w:line="360" w:lineRule="auto"/>
      </w:pPr>
      <w:r>
        <w:rPr>
          <w:rFonts w:ascii="Times New Roman" w:hAnsi="Times New Roman"/>
          <w:sz w:val="24"/>
        </w:rPr>
        <w:t>Resultados Modelo 1:</w:t>
      </w:r>
    </w:p>
    <w:p>
      <w:pPr>
        <w:spacing w:line="360" w:lineRule="auto"/>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360" w:lineRule="auto"/>
            </w:pPr>
            <w:r>
              <w:rPr>
                <w:rFonts w:ascii="Times New Roman" w:hAnsi="Times New Roman"/>
                <w:b/>
                <w:sz w:val="22"/>
              </w:rPr>
              <w:t>Predictor</w:t>
            </w:r>
          </w:p>
        </w:tc>
        <w:tc>
          <w:tcPr>
            <w:tcW w:type="dxa" w:w="1234"/>
          </w:tcPr>
          <w:p>
            <w:pPr>
              <w:spacing w:line="360" w:lineRule="auto"/>
            </w:pPr>
            <w:r>
              <w:rPr>
                <w:rFonts w:ascii="Times New Roman" w:hAnsi="Times New Roman"/>
                <w:b/>
                <w:sz w:val="22"/>
              </w:rPr>
              <w:t>β (no estandarizado)</w:t>
            </w:r>
          </w:p>
        </w:tc>
        <w:tc>
          <w:tcPr>
            <w:tcW w:type="dxa" w:w="1234"/>
          </w:tcPr>
          <w:p>
            <w:pPr>
              <w:spacing w:line="360" w:lineRule="auto"/>
            </w:pPr>
            <w:r>
              <w:rPr>
                <w:rFonts w:ascii="Times New Roman" w:hAnsi="Times New Roman"/>
                <w:b/>
                <w:sz w:val="22"/>
              </w:rPr>
              <w:t>β (estandarizado)</w:t>
            </w:r>
          </w:p>
        </w:tc>
        <w:tc>
          <w:tcPr>
            <w:tcW w:type="dxa" w:w="1234"/>
          </w:tcPr>
          <w:p>
            <w:pPr>
              <w:spacing w:line="360" w:lineRule="auto"/>
            </w:pPr>
            <w:r>
              <w:rPr>
                <w:rFonts w:ascii="Times New Roman" w:hAnsi="Times New Roman"/>
                <w:b/>
                <w:sz w:val="22"/>
              </w:rPr>
              <w:t>EE</w:t>
            </w:r>
          </w:p>
        </w:tc>
        <w:tc>
          <w:tcPr>
            <w:tcW w:type="dxa" w:w="1234"/>
          </w:tcPr>
          <w:p>
            <w:pPr>
              <w:spacing w:line="360" w:lineRule="auto"/>
            </w:pPr>
            <w:r>
              <w:rPr>
                <w:rFonts w:ascii="Times New Roman" w:hAnsi="Times New Roman"/>
                <w:b/>
                <w:sz w:val="22"/>
              </w:rPr>
              <w:t>t</w:t>
            </w:r>
          </w:p>
        </w:tc>
        <w:tc>
          <w:tcPr>
            <w:tcW w:type="dxa" w:w="1234"/>
          </w:tcPr>
          <w:p>
            <w:pPr>
              <w:spacing w:line="360" w:lineRule="auto"/>
            </w:pPr>
            <w:r>
              <w:rPr>
                <w:rFonts w:ascii="Times New Roman" w:hAnsi="Times New Roman"/>
                <w:b/>
                <w:sz w:val="22"/>
              </w:rPr>
              <w:t>p</w:t>
            </w:r>
          </w:p>
        </w:tc>
        <w:tc>
          <w:tcPr>
            <w:tcW w:type="dxa" w:w="1234"/>
          </w:tcPr>
          <w:p>
            <w:pPr>
              <w:spacing w:line="360" w:lineRule="auto"/>
            </w:pPr>
            <w:r>
              <w:rPr>
                <w:rFonts w:ascii="Times New Roman" w:hAnsi="Times New Roman"/>
                <w:b/>
                <w:sz w:val="22"/>
              </w:rPr>
              <w:t>IC 95%</w:t>
            </w:r>
          </w:p>
        </w:tc>
      </w:tr>
      <w:tr>
        <w:tc>
          <w:tcPr>
            <w:tcW w:type="dxa" w:w="1234"/>
          </w:tcPr>
          <w:p>
            <w:pPr>
              <w:spacing w:line="360" w:lineRule="auto"/>
            </w:pPr>
            <w:r>
              <w:rPr>
                <w:rFonts w:ascii="Times New Roman" w:hAnsi="Times New Roman"/>
                <w:sz w:val="22"/>
              </w:rPr>
              <w:t>Actitud (AT)</w:t>
            </w:r>
          </w:p>
        </w:tc>
        <w:tc>
          <w:tcPr>
            <w:tcW w:type="dxa" w:w="1234"/>
          </w:tcPr>
          <w:p>
            <w:pPr>
              <w:spacing w:line="360" w:lineRule="auto"/>
            </w:pPr>
            <w:r>
              <w:rPr>
                <w:rFonts w:ascii="Times New Roman" w:hAnsi="Times New Roman"/>
                <w:sz w:val="22"/>
              </w:rPr>
              <w:t>0.582</w:t>
            </w:r>
          </w:p>
        </w:tc>
        <w:tc>
          <w:tcPr>
            <w:tcW w:type="dxa" w:w="1234"/>
          </w:tcPr>
          <w:p>
            <w:pPr>
              <w:spacing w:line="360" w:lineRule="auto"/>
            </w:pPr>
            <w:r>
              <w:rPr>
                <w:rFonts w:ascii="Times New Roman" w:hAnsi="Times New Roman"/>
                <w:sz w:val="22"/>
              </w:rPr>
              <w:t>0.548</w:t>
            </w:r>
          </w:p>
        </w:tc>
        <w:tc>
          <w:tcPr>
            <w:tcW w:type="dxa" w:w="1234"/>
          </w:tcPr>
          <w:p>
            <w:pPr>
              <w:spacing w:line="360" w:lineRule="auto"/>
            </w:pPr>
            <w:r>
              <w:rPr>
                <w:rFonts w:ascii="Times New Roman" w:hAnsi="Times New Roman"/>
                <w:sz w:val="22"/>
              </w:rPr>
              <w:t>0.045</w:t>
            </w:r>
          </w:p>
        </w:tc>
        <w:tc>
          <w:tcPr>
            <w:tcW w:type="dxa" w:w="1234"/>
          </w:tcPr>
          <w:p>
            <w:pPr>
              <w:spacing w:line="360" w:lineRule="auto"/>
            </w:pPr>
            <w:r>
              <w:rPr>
                <w:rFonts w:ascii="Times New Roman" w:hAnsi="Times New Roman"/>
                <w:sz w:val="22"/>
              </w:rPr>
              <w:t>12.88</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[0.493, 0.671]</w:t>
            </w:r>
          </w:p>
        </w:tc>
      </w:tr>
      <w:tr>
        <w:tc>
          <w:tcPr>
            <w:tcW w:type="dxa" w:w="1234"/>
          </w:tcPr>
          <w:p>
            <w:pPr>
              <w:spacing w:line="360" w:lineRule="auto"/>
            </w:pPr>
            <w:r>
              <w:rPr>
                <w:rFonts w:ascii="Times New Roman" w:hAnsi="Times New Roman"/>
                <w:sz w:val="22"/>
              </w:rPr>
              <w:t>Normas Subjetivas (SN)</w:t>
            </w:r>
          </w:p>
        </w:tc>
        <w:tc>
          <w:tcPr>
            <w:tcW w:type="dxa" w:w="1234"/>
          </w:tcPr>
          <w:p>
            <w:pPr>
              <w:spacing w:line="360" w:lineRule="auto"/>
            </w:pPr>
            <w:r>
              <w:rPr>
                <w:rFonts w:ascii="Times New Roman" w:hAnsi="Times New Roman"/>
                <w:sz w:val="22"/>
              </w:rPr>
              <w:t>0.156</w:t>
            </w:r>
          </w:p>
        </w:tc>
        <w:tc>
          <w:tcPr>
            <w:tcW w:type="dxa" w:w="1234"/>
          </w:tcPr>
          <w:p>
            <w:pPr>
              <w:spacing w:line="360" w:lineRule="auto"/>
            </w:pPr>
            <w:r>
              <w:rPr>
                <w:rFonts w:ascii="Times New Roman" w:hAnsi="Times New Roman"/>
                <w:sz w:val="22"/>
              </w:rPr>
              <w:t>0.147</w:t>
            </w:r>
          </w:p>
        </w:tc>
        <w:tc>
          <w:tcPr>
            <w:tcW w:type="dxa" w:w="1234"/>
          </w:tcPr>
          <w:p>
            <w:pPr>
              <w:spacing w:line="360" w:lineRule="auto"/>
            </w:pPr>
            <w:r>
              <w:rPr>
                <w:rFonts w:ascii="Times New Roman" w:hAnsi="Times New Roman"/>
                <w:sz w:val="22"/>
              </w:rPr>
              <w:t>0.041</w:t>
            </w:r>
          </w:p>
        </w:tc>
        <w:tc>
          <w:tcPr>
            <w:tcW w:type="dxa" w:w="1234"/>
          </w:tcPr>
          <w:p>
            <w:pPr>
              <w:spacing w:line="360" w:lineRule="auto"/>
            </w:pPr>
            <w:r>
              <w:rPr>
                <w:rFonts w:ascii="Times New Roman" w:hAnsi="Times New Roman"/>
                <w:sz w:val="22"/>
              </w:rPr>
              <w:t>3.82</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[0.075, 0.237]</w:t>
            </w:r>
          </w:p>
        </w:tc>
      </w:tr>
      <w:tr>
        <w:tc>
          <w:tcPr>
            <w:tcW w:type="dxa" w:w="1234"/>
          </w:tcPr>
          <w:p>
            <w:pPr>
              <w:spacing w:line="360" w:lineRule="auto"/>
            </w:pPr>
            <w:r>
              <w:rPr>
                <w:rFonts w:ascii="Times New Roman" w:hAnsi="Times New Roman"/>
                <w:sz w:val="22"/>
              </w:rPr>
              <w:t>Control Conductual (PBC)</w:t>
            </w:r>
          </w:p>
        </w:tc>
        <w:tc>
          <w:tcPr>
            <w:tcW w:type="dxa" w:w="1234"/>
          </w:tcPr>
          <w:p>
            <w:pPr>
              <w:spacing w:line="360" w:lineRule="auto"/>
            </w:pPr>
            <w:r>
              <w:rPr>
                <w:rFonts w:ascii="Times New Roman" w:hAnsi="Times New Roman"/>
                <w:sz w:val="22"/>
              </w:rPr>
              <w:t>0.418</w:t>
            </w:r>
          </w:p>
        </w:tc>
        <w:tc>
          <w:tcPr>
            <w:tcW w:type="dxa" w:w="1234"/>
          </w:tcPr>
          <w:p>
            <w:pPr>
              <w:spacing w:line="360" w:lineRule="auto"/>
            </w:pPr>
            <w:r>
              <w:rPr>
                <w:rFonts w:ascii="Times New Roman" w:hAnsi="Times New Roman"/>
                <w:sz w:val="22"/>
              </w:rPr>
              <w:t>0.395</w:t>
            </w:r>
          </w:p>
        </w:tc>
        <w:tc>
          <w:tcPr>
            <w:tcW w:type="dxa" w:w="1234"/>
          </w:tcPr>
          <w:p>
            <w:pPr>
              <w:spacing w:line="360" w:lineRule="auto"/>
            </w:pPr>
            <w:r>
              <w:rPr>
                <w:rFonts w:ascii="Times New Roman" w:hAnsi="Times New Roman"/>
                <w:sz w:val="22"/>
              </w:rPr>
              <w:t>0.049</w:t>
            </w:r>
          </w:p>
        </w:tc>
        <w:tc>
          <w:tcPr>
            <w:tcW w:type="dxa" w:w="1234"/>
          </w:tcPr>
          <w:p>
            <w:pPr>
              <w:spacing w:line="360" w:lineRule="auto"/>
            </w:pPr>
            <w:r>
              <w:rPr>
                <w:rFonts w:ascii="Times New Roman" w:hAnsi="Times New Roman"/>
                <w:sz w:val="22"/>
              </w:rPr>
              <w:t>8.58</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[0.322, 0.515]</w:t>
            </w:r>
          </w:p>
        </w:tc>
      </w:tr>
      <w:tr>
        <w:tc>
          <w:tcPr>
            <w:tcW w:type="dxa" w:w="1234"/>
          </w:tcPr>
          <w:p>
            <w:pPr>
              <w:spacing w:line="360" w:lineRule="auto"/>
            </w:pPr>
            <w:r>
              <w:rPr>
                <w:rFonts w:ascii="Times New Roman" w:hAnsi="Times New Roman"/>
                <w:sz w:val="22"/>
              </w:rPr>
              <w:t>Constante</w:t>
            </w:r>
          </w:p>
        </w:tc>
        <w:tc>
          <w:tcPr>
            <w:tcW w:type="dxa" w:w="1234"/>
          </w:tcPr>
          <w:p>
            <w:pPr>
              <w:spacing w:line="360" w:lineRule="auto"/>
            </w:pPr>
            <w:r>
              <w:rPr>
                <w:rFonts w:ascii="Times New Roman" w:hAnsi="Times New Roman"/>
                <w:sz w:val="22"/>
              </w:rPr>
              <w:t>0.234</w:t>
            </w:r>
          </w:p>
        </w:tc>
        <w:tc>
          <w:tcPr>
            <w:tcW w:type="dxa" w:w="1234"/>
          </w:tcPr>
          <w:p>
            <w:pPr>
              <w:spacing w:line="360" w:lineRule="auto"/>
            </w:pPr>
            <w:r>
              <w:rPr>
                <w:rFonts w:ascii="Times New Roman" w:hAnsi="Times New Roman"/>
                <w:sz w:val="22"/>
              </w:rPr>
              <w:t>—</w:t>
            </w:r>
          </w:p>
        </w:tc>
        <w:tc>
          <w:tcPr>
            <w:tcW w:type="dxa" w:w="1234"/>
          </w:tcPr>
          <w:p>
            <w:pPr>
              <w:spacing w:line="360" w:lineRule="auto"/>
            </w:pPr>
            <w:r>
              <w:rPr>
                <w:rFonts w:ascii="Times New Roman" w:hAnsi="Times New Roman"/>
                <w:sz w:val="22"/>
              </w:rPr>
              <w:t>0.321</w:t>
            </w:r>
          </w:p>
        </w:tc>
        <w:tc>
          <w:tcPr>
            <w:tcW w:type="dxa" w:w="1234"/>
          </w:tcPr>
          <w:p>
            <w:pPr>
              <w:spacing w:line="360" w:lineRule="auto"/>
            </w:pPr>
            <w:r>
              <w:rPr>
                <w:rFonts w:ascii="Times New Roman" w:hAnsi="Times New Roman"/>
                <w:sz w:val="22"/>
              </w:rPr>
              <w:t>0.73</w:t>
            </w:r>
          </w:p>
        </w:tc>
        <w:tc>
          <w:tcPr>
            <w:tcW w:type="dxa" w:w="1234"/>
          </w:tcPr>
          <w:p>
            <w:pPr>
              <w:spacing w:line="360" w:lineRule="auto"/>
            </w:pPr>
            <w:r>
              <w:rPr>
                <w:rFonts w:ascii="Times New Roman" w:hAnsi="Times New Roman"/>
                <w:sz w:val="22"/>
              </w:rPr>
              <w:t>0.467</w:t>
            </w:r>
          </w:p>
        </w:tc>
        <w:tc>
          <w:tcPr>
            <w:tcW w:type="dxa" w:w="1234"/>
          </w:tcPr>
          <w:p>
            <w:pPr>
              <w:spacing w:line="360" w:lineRule="auto"/>
            </w:pPr>
            <w:r>
              <w:rPr>
                <w:rFonts w:ascii="Times New Roman" w:hAnsi="Times New Roman"/>
                <w:sz w:val="22"/>
              </w:rPr>
              <w:t>[-0.397, 0.865]</w:t>
            </w:r>
          </w:p>
        </w:tc>
      </w:tr>
    </w:tbl>
    <w:p>
      <w:pPr>
        <w:spacing w:line="360" w:lineRule="auto"/>
      </w:pPr>
    </w:p>
    <w:p>
      <w:pPr>
        <w:spacing w:line="360" w:lineRule="auto"/>
      </w:pPr>
      <w:r>
        <w:rPr>
          <w:rFonts w:ascii="Times New Roman" w:hAnsi="Times New Roman"/>
          <w:sz w:val="24"/>
        </w:rPr>
        <w:t>Índices de ajuste:</w:t>
      </w:r>
    </w:p>
    <w:p>
      <w:pPr>
        <w:spacing w:line="360" w:lineRule="auto"/>
      </w:pPr>
    </w:p>
    <w:p>
      <w:pPr>
        <w:spacing w:line="360" w:lineRule="auto"/>
      </w:pPr>
      <w:r>
        <w:rPr>
          <w:rFonts w:ascii="Times New Roman" w:hAnsi="Times New Roman"/>
          <w:sz w:val="24"/>
        </w:rPr>
        <w:t>- R² = 0.478 (modelo explica 47.8% de varianza en intención)</w:t>
      </w:r>
    </w:p>
    <w:p>
      <w:pPr>
        <w:spacing w:line="360" w:lineRule="auto"/>
      </w:pPr>
      <w:r>
        <w:rPr>
          <w:rFonts w:ascii="Times New Roman" w:hAnsi="Times New Roman"/>
          <w:sz w:val="24"/>
        </w:rPr>
        <w:t>- R² ajustado = 0.476</w:t>
      </w:r>
    </w:p>
    <w:p>
      <w:pPr>
        <w:spacing w:line="360" w:lineRule="auto"/>
      </w:pPr>
      <w:r>
        <w:rPr>
          <w:rFonts w:ascii="Times New Roman" w:hAnsi="Times New Roman"/>
          <w:sz w:val="24"/>
        </w:rPr>
        <w:t>- F(3, 536) = 163.2, p&lt;0.001</w:t>
      </w:r>
    </w:p>
    <w:p>
      <w:pPr>
        <w:spacing w:line="360" w:lineRule="auto"/>
      </w:pPr>
      <w:r>
        <w:rPr>
          <w:rFonts w:ascii="Times New Roman" w:hAnsi="Times New Roman"/>
          <w:sz w:val="24"/>
        </w:rPr>
        <w:t>- RMSE = 1.38</w:t>
      </w:r>
    </w:p>
    <w:p>
      <w:pPr>
        <w:spacing w:line="360" w:lineRule="auto"/>
      </w:pPr>
    </w:p>
    <w:p>
      <w:pPr>
        <w:spacing w:line="360" w:lineRule="auto"/>
      </w:pPr>
      <w:r>
        <w:rPr>
          <w:rFonts w:ascii="Times New Roman" w:hAnsi="Times New Roman"/>
          <w:sz w:val="24"/>
        </w:rPr>
        <w:t>Interpretación: Los tres componentes TCP predicen significativamente intención emprendedora (todos p&lt;0.001), confirmando H₁₁, H₁₂, H₁₃. El efecto de actitud (β=0.548) es más fuerte que normas (β=0.147) y control (β=0.395), con jerarquía consistente con teoría. El modelo explica aproximadamente la mitad de la varianza, comparable a reportes de meta-análisis (45–50%).</w:t>
      </w:r>
    </w:p>
    <w:p>
      <w:pPr>
        <w:spacing w:line="360" w:lineRule="auto"/>
      </w:pPr>
    </w:p>
    <w:p>
      <w:pPr>
        <w:spacing w:line="360" w:lineRule="auto"/>
      </w:pPr>
      <w:r>
        <w:rPr>
          <w:rFonts w:ascii="Times New Roman" w:hAnsi="Times New Roman"/>
          <w:sz w:val="24"/>
        </w:rPr>
        <w:t>Modelo 2 (Ampliado): TCP + Políticas Públicas</w:t>
      </w:r>
    </w:p>
    <w:p>
      <w:pPr>
        <w:spacing w:line="360" w:lineRule="auto"/>
      </w:pPr>
    </w:p>
    <w:p>
      <w:pPr>
        <w:spacing w:line="360" w:lineRule="auto"/>
      </w:pPr>
      <w:r>
        <w:rPr>
          <w:rFonts w:ascii="Times New Roman" w:hAnsi="Times New Roman"/>
          <w:sz w:val="24"/>
        </w:rPr>
        <w:t>Especificación:</w:t>
      </w:r>
    </w:p>
    <w:p>
      <w:pPr>
        <w:spacing w:line="360" w:lineRule="auto"/>
      </w:pPr>
    </w:p>
    <w:p>
      <w:pPr>
        <w:spacing w:line="360" w:lineRule="auto"/>
      </w:pPr>
      <w:r>
        <w:rPr>
          <w:rFonts w:ascii="Times New Roman" w:hAnsi="Times New Roman"/>
          <w:sz w:val="24"/>
        </w:rPr>
        <w:t>[Ecuación]</w:t>
      </w:r>
    </w:p>
    <w:p>
      <w:pPr>
        <w:spacing w:line="360" w:lineRule="auto"/>
      </w:pPr>
    </w:p>
    <w:p>
      <w:pPr>
        <w:spacing w:line="360" w:lineRule="auto"/>
      </w:pPr>
      <w:r>
        <w:rPr>
          <w:rFonts w:ascii="Times New Roman" w:hAnsi="Times New Roman"/>
          <w:sz w:val="24"/>
        </w:rPr>
        <w:t>Este modelo incluye variables de políticas públicas (conocimiento formal del ecosistema FK, alfabetización financiera FL) como predictores directos de intención, probando hipótesis H₀₄-H₀₅.</w:t>
      </w:r>
    </w:p>
    <w:p>
      <w:pPr>
        <w:spacing w:line="360" w:lineRule="auto"/>
      </w:pPr>
    </w:p>
    <w:p>
      <w:pPr>
        <w:spacing w:line="360" w:lineRule="auto"/>
      </w:pPr>
      <w:r>
        <w:rPr>
          <w:rFonts w:ascii="Times New Roman" w:hAnsi="Times New Roman"/>
          <w:sz w:val="24"/>
        </w:rPr>
        <w:t>Resultados Modelo 2:</w:t>
      </w:r>
    </w:p>
    <w:p>
      <w:pPr>
        <w:spacing w:line="360" w:lineRule="auto"/>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360" w:lineRule="auto"/>
            </w:pPr>
            <w:r>
              <w:rPr>
                <w:rFonts w:ascii="Times New Roman" w:hAnsi="Times New Roman"/>
                <w:b/>
                <w:sz w:val="22"/>
              </w:rPr>
              <w:t>Predictor</w:t>
            </w:r>
          </w:p>
        </w:tc>
        <w:tc>
          <w:tcPr>
            <w:tcW w:type="dxa" w:w="1234"/>
          </w:tcPr>
          <w:p>
            <w:pPr>
              <w:spacing w:line="360" w:lineRule="auto"/>
            </w:pPr>
            <w:r>
              <w:rPr>
                <w:rFonts w:ascii="Times New Roman" w:hAnsi="Times New Roman"/>
                <w:b/>
                <w:sz w:val="22"/>
              </w:rPr>
              <w:t>β (est.)</w:t>
            </w:r>
          </w:p>
        </w:tc>
        <w:tc>
          <w:tcPr>
            <w:tcW w:type="dxa" w:w="1234"/>
          </w:tcPr>
          <w:p>
            <w:pPr>
              <w:spacing w:line="360" w:lineRule="auto"/>
            </w:pPr>
            <w:r>
              <w:rPr>
                <w:rFonts w:ascii="Times New Roman" w:hAnsi="Times New Roman"/>
                <w:b/>
                <w:sz w:val="22"/>
              </w:rPr>
              <w:t>β (stand.)</w:t>
            </w:r>
          </w:p>
        </w:tc>
        <w:tc>
          <w:tcPr>
            <w:tcW w:type="dxa" w:w="1234"/>
          </w:tcPr>
          <w:p>
            <w:pPr>
              <w:spacing w:line="360" w:lineRule="auto"/>
            </w:pPr>
            <w:r>
              <w:rPr>
                <w:rFonts w:ascii="Times New Roman" w:hAnsi="Times New Roman"/>
                <w:b/>
                <w:sz w:val="22"/>
              </w:rPr>
              <w:t>EE</w:t>
            </w:r>
          </w:p>
        </w:tc>
        <w:tc>
          <w:tcPr>
            <w:tcW w:type="dxa" w:w="1234"/>
          </w:tcPr>
          <w:p>
            <w:pPr>
              <w:spacing w:line="360" w:lineRule="auto"/>
            </w:pPr>
            <w:r>
              <w:rPr>
                <w:rFonts w:ascii="Times New Roman" w:hAnsi="Times New Roman"/>
                <w:b/>
                <w:sz w:val="22"/>
              </w:rPr>
              <w:t>t</w:t>
            </w:r>
          </w:p>
        </w:tc>
        <w:tc>
          <w:tcPr>
            <w:tcW w:type="dxa" w:w="1234"/>
          </w:tcPr>
          <w:p>
            <w:pPr>
              <w:spacing w:line="360" w:lineRule="auto"/>
            </w:pPr>
            <w:r>
              <w:rPr>
                <w:rFonts w:ascii="Times New Roman" w:hAnsi="Times New Roman"/>
                <w:b/>
                <w:sz w:val="22"/>
              </w:rPr>
              <w:t>p</w:t>
            </w:r>
          </w:p>
        </w:tc>
        <w:tc>
          <w:tcPr>
            <w:tcW w:type="dxa" w:w="1234"/>
          </w:tcPr>
          <w:p>
            <w:pPr>
              <w:spacing w:line="360" w:lineRule="auto"/>
            </w:pPr>
            <w:r>
              <w:rPr>
                <w:rFonts w:ascii="Times New Roman" w:hAnsi="Times New Roman"/>
                <w:b/>
                <w:sz w:val="22"/>
              </w:rPr>
              <w:t>IC 95%</w:t>
            </w:r>
          </w:p>
        </w:tc>
      </w:tr>
      <w:tr>
        <w:tc>
          <w:tcPr>
            <w:tcW w:type="dxa" w:w="1234"/>
          </w:tcPr>
          <w:p>
            <w:pPr>
              <w:spacing w:line="360" w:lineRule="auto"/>
            </w:pPr>
            <w:r>
              <w:rPr>
                <w:rFonts w:ascii="Times New Roman" w:hAnsi="Times New Roman"/>
                <w:sz w:val="22"/>
              </w:rPr>
              <w:t>Actitud (AT)</w:t>
            </w:r>
          </w:p>
        </w:tc>
        <w:tc>
          <w:tcPr>
            <w:tcW w:type="dxa" w:w="1234"/>
          </w:tcPr>
          <w:p>
            <w:pPr>
              <w:spacing w:line="360" w:lineRule="auto"/>
            </w:pPr>
            <w:r>
              <w:rPr>
                <w:rFonts w:ascii="Times New Roman" w:hAnsi="Times New Roman"/>
                <w:sz w:val="22"/>
              </w:rPr>
              <w:t>0.516</w:t>
            </w:r>
          </w:p>
        </w:tc>
        <w:tc>
          <w:tcPr>
            <w:tcW w:type="dxa" w:w="1234"/>
          </w:tcPr>
          <w:p>
            <w:pPr>
              <w:spacing w:line="360" w:lineRule="auto"/>
            </w:pPr>
            <w:r>
              <w:rPr>
                <w:rFonts w:ascii="Times New Roman" w:hAnsi="Times New Roman"/>
                <w:sz w:val="22"/>
              </w:rPr>
              <w:t>0.486</w:t>
            </w:r>
          </w:p>
        </w:tc>
        <w:tc>
          <w:tcPr>
            <w:tcW w:type="dxa" w:w="1234"/>
          </w:tcPr>
          <w:p>
            <w:pPr>
              <w:spacing w:line="360" w:lineRule="auto"/>
            </w:pPr>
            <w:r>
              <w:rPr>
                <w:rFonts w:ascii="Times New Roman" w:hAnsi="Times New Roman"/>
                <w:sz w:val="22"/>
              </w:rPr>
              <w:t>0.049</w:t>
            </w:r>
          </w:p>
        </w:tc>
        <w:tc>
          <w:tcPr>
            <w:tcW w:type="dxa" w:w="1234"/>
          </w:tcPr>
          <w:p>
            <w:pPr>
              <w:spacing w:line="360" w:lineRule="auto"/>
            </w:pPr>
            <w:r>
              <w:rPr>
                <w:rFonts w:ascii="Times New Roman" w:hAnsi="Times New Roman"/>
                <w:sz w:val="22"/>
              </w:rPr>
              <w:t>10.51</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[0.420, 0.612]</w:t>
            </w:r>
          </w:p>
        </w:tc>
      </w:tr>
      <w:tr>
        <w:tc>
          <w:tcPr>
            <w:tcW w:type="dxa" w:w="1234"/>
          </w:tcPr>
          <w:p>
            <w:pPr>
              <w:spacing w:line="360" w:lineRule="auto"/>
            </w:pPr>
            <w:r>
              <w:rPr>
                <w:rFonts w:ascii="Times New Roman" w:hAnsi="Times New Roman"/>
                <w:sz w:val="22"/>
              </w:rPr>
              <w:t>Normas Subjetivas (SN)</w:t>
            </w:r>
          </w:p>
        </w:tc>
        <w:tc>
          <w:tcPr>
            <w:tcW w:type="dxa" w:w="1234"/>
          </w:tcPr>
          <w:p>
            <w:pPr>
              <w:spacing w:line="360" w:lineRule="auto"/>
            </w:pPr>
            <w:r>
              <w:rPr>
                <w:rFonts w:ascii="Times New Roman" w:hAnsi="Times New Roman"/>
                <w:sz w:val="22"/>
              </w:rPr>
              <w:t>0.095</w:t>
            </w:r>
          </w:p>
        </w:tc>
        <w:tc>
          <w:tcPr>
            <w:tcW w:type="dxa" w:w="1234"/>
          </w:tcPr>
          <w:p>
            <w:pPr>
              <w:spacing w:line="360" w:lineRule="auto"/>
            </w:pPr>
            <w:r>
              <w:rPr>
                <w:rFonts w:ascii="Times New Roman" w:hAnsi="Times New Roman"/>
                <w:sz w:val="22"/>
              </w:rPr>
              <w:t>0.090</w:t>
            </w:r>
          </w:p>
        </w:tc>
        <w:tc>
          <w:tcPr>
            <w:tcW w:type="dxa" w:w="1234"/>
          </w:tcPr>
          <w:p>
            <w:pPr>
              <w:spacing w:line="360" w:lineRule="auto"/>
            </w:pPr>
            <w:r>
              <w:rPr>
                <w:rFonts w:ascii="Times New Roman" w:hAnsi="Times New Roman"/>
                <w:sz w:val="22"/>
              </w:rPr>
              <w:t>0.043</w:t>
            </w:r>
          </w:p>
        </w:tc>
        <w:tc>
          <w:tcPr>
            <w:tcW w:type="dxa" w:w="1234"/>
          </w:tcPr>
          <w:p>
            <w:pPr>
              <w:spacing w:line="360" w:lineRule="auto"/>
            </w:pPr>
            <w:r>
              <w:rPr>
                <w:rFonts w:ascii="Times New Roman" w:hAnsi="Times New Roman"/>
                <w:sz w:val="22"/>
              </w:rPr>
              <w:t>2.20</w:t>
            </w:r>
          </w:p>
        </w:tc>
        <w:tc>
          <w:tcPr>
            <w:tcW w:type="dxa" w:w="1234"/>
          </w:tcPr>
          <w:p>
            <w:pPr>
              <w:spacing w:line="360" w:lineRule="auto"/>
            </w:pPr>
            <w:r>
              <w:rPr>
                <w:rFonts w:ascii="Times New Roman" w:hAnsi="Times New Roman"/>
                <w:sz w:val="22"/>
              </w:rPr>
              <w:t>0.028</w:t>
            </w:r>
          </w:p>
        </w:tc>
        <w:tc>
          <w:tcPr>
            <w:tcW w:type="dxa" w:w="1234"/>
          </w:tcPr>
          <w:p>
            <w:pPr>
              <w:spacing w:line="360" w:lineRule="auto"/>
            </w:pPr>
            <w:r>
              <w:rPr>
                <w:rFonts w:ascii="Times New Roman" w:hAnsi="Times New Roman"/>
                <w:sz w:val="22"/>
              </w:rPr>
              <w:t>[0.010, 0.180]</w:t>
            </w:r>
          </w:p>
        </w:tc>
      </w:tr>
      <w:tr>
        <w:tc>
          <w:tcPr>
            <w:tcW w:type="dxa" w:w="1234"/>
          </w:tcPr>
          <w:p>
            <w:pPr>
              <w:spacing w:line="360" w:lineRule="auto"/>
            </w:pPr>
            <w:r>
              <w:rPr>
                <w:rFonts w:ascii="Times New Roman" w:hAnsi="Times New Roman"/>
                <w:sz w:val="22"/>
              </w:rPr>
              <w:t>Control Conductual (PBC)</w:t>
            </w:r>
          </w:p>
        </w:tc>
        <w:tc>
          <w:tcPr>
            <w:tcW w:type="dxa" w:w="1234"/>
          </w:tcPr>
          <w:p>
            <w:pPr>
              <w:spacing w:line="360" w:lineRule="auto"/>
            </w:pPr>
            <w:r>
              <w:rPr>
                <w:rFonts w:ascii="Times New Roman" w:hAnsi="Times New Roman"/>
                <w:sz w:val="22"/>
              </w:rPr>
              <w:t>0.349</w:t>
            </w:r>
          </w:p>
        </w:tc>
        <w:tc>
          <w:tcPr>
            <w:tcW w:type="dxa" w:w="1234"/>
          </w:tcPr>
          <w:p>
            <w:pPr>
              <w:spacing w:line="360" w:lineRule="auto"/>
            </w:pPr>
            <w:r>
              <w:rPr>
                <w:rFonts w:ascii="Times New Roman" w:hAnsi="Times New Roman"/>
                <w:sz w:val="22"/>
              </w:rPr>
              <w:t>0.330</w:t>
            </w:r>
          </w:p>
        </w:tc>
        <w:tc>
          <w:tcPr>
            <w:tcW w:type="dxa" w:w="1234"/>
          </w:tcPr>
          <w:p>
            <w:pPr>
              <w:spacing w:line="360" w:lineRule="auto"/>
            </w:pPr>
            <w:r>
              <w:rPr>
                <w:rFonts w:ascii="Times New Roman" w:hAnsi="Times New Roman"/>
                <w:sz w:val="22"/>
              </w:rPr>
              <w:t>0.052</w:t>
            </w:r>
          </w:p>
        </w:tc>
        <w:tc>
          <w:tcPr>
            <w:tcW w:type="dxa" w:w="1234"/>
          </w:tcPr>
          <w:p>
            <w:pPr>
              <w:spacing w:line="360" w:lineRule="auto"/>
            </w:pPr>
            <w:r>
              <w:rPr>
                <w:rFonts w:ascii="Times New Roman" w:hAnsi="Times New Roman"/>
                <w:sz w:val="22"/>
              </w:rPr>
              <w:t>6.69</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[0.246, 0.451]</w:t>
            </w:r>
          </w:p>
        </w:tc>
      </w:tr>
      <w:tr>
        <w:tc>
          <w:tcPr>
            <w:tcW w:type="dxa" w:w="1234"/>
          </w:tcPr>
          <w:p>
            <w:pPr>
              <w:spacing w:line="360" w:lineRule="auto"/>
            </w:pPr>
            <w:r>
              <w:rPr>
                <w:rFonts w:ascii="Times New Roman" w:hAnsi="Times New Roman"/>
                <w:sz w:val="22"/>
              </w:rPr>
              <w:t>Conocimiento Ecosistema (FK)</w:t>
            </w:r>
          </w:p>
        </w:tc>
        <w:tc>
          <w:tcPr>
            <w:tcW w:type="dxa" w:w="1234"/>
          </w:tcPr>
          <w:p>
            <w:pPr>
              <w:spacing w:line="360" w:lineRule="auto"/>
            </w:pPr>
            <w:r>
              <w:rPr>
                <w:rFonts w:ascii="Times New Roman" w:hAnsi="Times New Roman"/>
                <w:sz w:val="22"/>
              </w:rPr>
              <w:t>0.168</w:t>
            </w:r>
          </w:p>
        </w:tc>
        <w:tc>
          <w:tcPr>
            <w:tcW w:type="dxa" w:w="1234"/>
          </w:tcPr>
          <w:p>
            <w:pPr>
              <w:spacing w:line="360" w:lineRule="auto"/>
            </w:pPr>
            <w:r>
              <w:rPr>
                <w:rFonts w:ascii="Times New Roman" w:hAnsi="Times New Roman"/>
                <w:sz w:val="22"/>
              </w:rPr>
              <w:t>0.159</w:t>
            </w:r>
          </w:p>
        </w:tc>
        <w:tc>
          <w:tcPr>
            <w:tcW w:type="dxa" w:w="1234"/>
          </w:tcPr>
          <w:p>
            <w:pPr>
              <w:spacing w:line="360" w:lineRule="auto"/>
            </w:pPr>
            <w:r>
              <w:rPr>
                <w:rFonts w:ascii="Times New Roman" w:hAnsi="Times New Roman"/>
                <w:sz w:val="22"/>
              </w:rPr>
              <w:t>0.038</w:t>
            </w:r>
          </w:p>
        </w:tc>
        <w:tc>
          <w:tcPr>
            <w:tcW w:type="dxa" w:w="1234"/>
          </w:tcPr>
          <w:p>
            <w:pPr>
              <w:spacing w:line="360" w:lineRule="auto"/>
            </w:pPr>
            <w:r>
              <w:rPr>
                <w:rFonts w:ascii="Times New Roman" w:hAnsi="Times New Roman"/>
                <w:sz w:val="22"/>
              </w:rPr>
              <w:t>4.43</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[0.093, 0.243]</w:t>
            </w:r>
          </w:p>
        </w:tc>
      </w:tr>
      <w:tr>
        <w:tc>
          <w:tcPr>
            <w:tcW w:type="dxa" w:w="1234"/>
          </w:tcPr>
          <w:p>
            <w:pPr>
              <w:spacing w:line="360" w:lineRule="auto"/>
            </w:pPr>
            <w:r>
              <w:rPr>
                <w:rFonts w:ascii="Times New Roman" w:hAnsi="Times New Roman"/>
                <w:sz w:val="22"/>
              </w:rPr>
              <w:t>Alfabetización Financiera (FL)</w:t>
            </w:r>
          </w:p>
        </w:tc>
        <w:tc>
          <w:tcPr>
            <w:tcW w:type="dxa" w:w="1234"/>
          </w:tcPr>
          <w:p>
            <w:pPr>
              <w:spacing w:line="360" w:lineRule="auto"/>
            </w:pPr>
            <w:r>
              <w:rPr>
                <w:rFonts w:ascii="Times New Roman" w:hAnsi="Times New Roman"/>
                <w:sz w:val="22"/>
              </w:rPr>
              <w:t>0.084</w:t>
            </w:r>
          </w:p>
        </w:tc>
        <w:tc>
          <w:tcPr>
            <w:tcW w:type="dxa" w:w="1234"/>
          </w:tcPr>
          <w:p>
            <w:pPr>
              <w:spacing w:line="360" w:lineRule="auto"/>
            </w:pPr>
            <w:r>
              <w:rPr>
                <w:rFonts w:ascii="Times New Roman" w:hAnsi="Times New Roman"/>
                <w:sz w:val="22"/>
              </w:rPr>
              <w:t>0.080</w:t>
            </w:r>
          </w:p>
        </w:tc>
        <w:tc>
          <w:tcPr>
            <w:tcW w:type="dxa" w:w="1234"/>
          </w:tcPr>
          <w:p>
            <w:pPr>
              <w:spacing w:line="360" w:lineRule="auto"/>
            </w:pPr>
            <w:r>
              <w:rPr>
                <w:rFonts w:ascii="Times New Roman" w:hAnsi="Times New Roman"/>
                <w:sz w:val="22"/>
              </w:rPr>
              <w:t>0.041</w:t>
            </w:r>
          </w:p>
        </w:tc>
        <w:tc>
          <w:tcPr>
            <w:tcW w:type="dxa" w:w="1234"/>
          </w:tcPr>
          <w:p>
            <w:pPr>
              <w:spacing w:line="360" w:lineRule="auto"/>
            </w:pPr>
            <w:r>
              <w:rPr>
                <w:rFonts w:ascii="Times New Roman" w:hAnsi="Times New Roman"/>
                <w:sz w:val="22"/>
              </w:rPr>
              <w:t>2.03</w:t>
            </w:r>
          </w:p>
        </w:tc>
        <w:tc>
          <w:tcPr>
            <w:tcW w:type="dxa" w:w="1234"/>
          </w:tcPr>
          <w:p>
            <w:pPr>
              <w:spacing w:line="360" w:lineRule="auto"/>
            </w:pPr>
            <w:r>
              <w:rPr>
                <w:rFonts w:ascii="Times New Roman" w:hAnsi="Times New Roman"/>
                <w:sz w:val="22"/>
              </w:rPr>
              <w:t>0.043</w:t>
            </w:r>
          </w:p>
        </w:tc>
        <w:tc>
          <w:tcPr>
            <w:tcW w:type="dxa" w:w="1234"/>
          </w:tcPr>
          <w:p>
            <w:pPr>
              <w:spacing w:line="360" w:lineRule="auto"/>
            </w:pPr>
            <w:r>
              <w:rPr>
                <w:rFonts w:ascii="Times New Roman" w:hAnsi="Times New Roman"/>
                <w:sz w:val="22"/>
              </w:rPr>
              <w:t>[0.003, 0.165]</w:t>
            </w:r>
          </w:p>
        </w:tc>
      </w:tr>
      <w:tr>
        <w:tc>
          <w:tcPr>
            <w:tcW w:type="dxa" w:w="1234"/>
          </w:tcPr>
          <w:p>
            <w:pPr>
              <w:spacing w:line="360" w:lineRule="auto"/>
            </w:pPr>
            <w:r>
              <w:rPr>
                <w:rFonts w:ascii="Times New Roman" w:hAnsi="Times New Roman"/>
                <w:sz w:val="22"/>
              </w:rPr>
              <w:t>Constante</w:t>
            </w:r>
          </w:p>
        </w:tc>
        <w:tc>
          <w:tcPr>
            <w:tcW w:type="dxa" w:w="1234"/>
          </w:tcPr>
          <w:p>
            <w:pPr>
              <w:spacing w:line="360" w:lineRule="auto"/>
            </w:pPr>
            <w:r>
              <w:rPr>
                <w:rFonts w:ascii="Times New Roman" w:hAnsi="Times New Roman"/>
                <w:sz w:val="22"/>
              </w:rPr>
              <w:t>-0.287</w:t>
            </w:r>
          </w:p>
        </w:tc>
        <w:tc>
          <w:tcPr>
            <w:tcW w:type="dxa" w:w="1234"/>
          </w:tcPr>
          <w:p>
            <w:pPr>
              <w:spacing w:line="360" w:lineRule="auto"/>
            </w:pPr>
            <w:r>
              <w:rPr>
                <w:rFonts w:ascii="Times New Roman" w:hAnsi="Times New Roman"/>
                <w:sz w:val="22"/>
              </w:rPr>
              <w:t>—</w:t>
            </w:r>
          </w:p>
        </w:tc>
        <w:tc>
          <w:tcPr>
            <w:tcW w:type="dxa" w:w="1234"/>
          </w:tcPr>
          <w:p>
            <w:pPr>
              <w:spacing w:line="360" w:lineRule="auto"/>
            </w:pPr>
            <w:r>
              <w:rPr>
                <w:rFonts w:ascii="Times New Roman" w:hAnsi="Times New Roman"/>
                <w:sz w:val="22"/>
              </w:rPr>
              <w:t>0.384</w:t>
            </w:r>
          </w:p>
        </w:tc>
        <w:tc>
          <w:tcPr>
            <w:tcW w:type="dxa" w:w="1234"/>
          </w:tcPr>
          <w:p>
            <w:pPr>
              <w:spacing w:line="360" w:lineRule="auto"/>
            </w:pPr>
            <w:r>
              <w:rPr>
                <w:rFonts w:ascii="Times New Roman" w:hAnsi="Times New Roman"/>
                <w:sz w:val="22"/>
              </w:rPr>
              <w:t>-0.75</w:t>
            </w:r>
          </w:p>
        </w:tc>
        <w:tc>
          <w:tcPr>
            <w:tcW w:type="dxa" w:w="1234"/>
          </w:tcPr>
          <w:p>
            <w:pPr>
              <w:spacing w:line="360" w:lineRule="auto"/>
            </w:pPr>
            <w:r>
              <w:rPr>
                <w:rFonts w:ascii="Times New Roman" w:hAnsi="Times New Roman"/>
                <w:sz w:val="22"/>
              </w:rPr>
              <w:t>0.454</w:t>
            </w:r>
          </w:p>
        </w:tc>
        <w:tc>
          <w:tcPr>
            <w:tcW w:type="dxa" w:w="1234"/>
          </w:tcPr>
          <w:p>
            <w:pPr>
              <w:spacing w:line="360" w:lineRule="auto"/>
            </w:pPr>
            <w:r>
              <w:rPr>
                <w:rFonts w:ascii="Times New Roman" w:hAnsi="Times New Roman"/>
                <w:sz w:val="22"/>
              </w:rPr>
              <w:t>[-1.041, 0.467]</w:t>
            </w:r>
          </w:p>
        </w:tc>
      </w:tr>
    </w:tbl>
    <w:p>
      <w:pPr>
        <w:spacing w:line="360" w:lineRule="auto"/>
      </w:pPr>
    </w:p>
    <w:p>
      <w:pPr>
        <w:spacing w:line="360" w:lineRule="auto"/>
      </w:pPr>
      <w:r>
        <w:rPr>
          <w:rFonts w:ascii="Times New Roman" w:hAnsi="Times New Roman"/>
          <w:sz w:val="24"/>
        </w:rPr>
        <w:t>Índices de ajuste:</w:t>
      </w:r>
    </w:p>
    <w:p>
      <w:pPr>
        <w:spacing w:line="360" w:lineRule="auto"/>
      </w:pPr>
    </w:p>
    <w:p>
      <w:pPr>
        <w:spacing w:line="360" w:lineRule="auto"/>
      </w:pPr>
      <w:r>
        <w:rPr>
          <w:rFonts w:ascii="Times New Roman" w:hAnsi="Times New Roman"/>
          <w:sz w:val="24"/>
        </w:rPr>
        <w:t>- R² = 0.512</w:t>
      </w:r>
    </w:p>
    <w:p>
      <w:pPr>
        <w:spacing w:line="360" w:lineRule="auto"/>
      </w:pPr>
      <w:r>
        <w:rPr>
          <w:rFonts w:ascii="Times New Roman" w:hAnsi="Times New Roman"/>
          <w:sz w:val="24"/>
        </w:rPr>
        <w:t>- R² ajustado = 0.509</w:t>
      </w:r>
    </w:p>
    <w:p>
      <w:pPr>
        <w:spacing w:line="360" w:lineRule="auto"/>
      </w:pPr>
      <w:r>
        <w:rPr>
          <w:rFonts w:ascii="Times New Roman" w:hAnsi="Times New Roman"/>
          <w:sz w:val="24"/>
        </w:rPr>
        <w:t>- F(5, 534) = 112.0, p&lt;0.001</w:t>
      </w:r>
    </w:p>
    <w:p>
      <w:pPr>
        <w:spacing w:line="360" w:lineRule="auto"/>
      </w:pPr>
      <w:r>
        <w:rPr>
          <w:rFonts w:ascii="Times New Roman" w:hAnsi="Times New Roman"/>
          <w:sz w:val="24"/>
        </w:rPr>
        <w:t>- RMSE = 1.33</w:t>
      </w:r>
    </w:p>
    <w:p>
      <w:pPr>
        <w:spacing w:line="360" w:lineRule="auto"/>
      </w:pPr>
    </w:p>
    <w:p>
      <w:pPr>
        <w:spacing w:line="360" w:lineRule="auto"/>
      </w:pPr>
      <w:r>
        <w:rPr>
          <w:rFonts w:ascii="Times New Roman" w:hAnsi="Times New Roman"/>
          <w:sz w:val="24"/>
        </w:rPr>
        <w:t>Cambio en R²: ΔR² = 0.034 (el modelo 2 añade 3.4% de varianza explicada respecto al modelo 1), F(2, 534) = 10.39, p&lt;0.001 (cambio significativo).</w:t>
      </w:r>
    </w:p>
    <w:p>
      <w:pPr>
        <w:spacing w:line="360" w:lineRule="auto"/>
      </w:pPr>
    </w:p>
    <w:p>
      <w:pPr>
        <w:spacing w:line="360" w:lineRule="auto"/>
      </w:pPr>
      <w:r>
        <w:rPr>
          <w:rFonts w:ascii="Times New Roman" w:hAnsi="Times New Roman"/>
          <w:sz w:val="24"/>
        </w:rPr>
        <w:t>Interpretación: Ambas variables de política pública (FK y FL) predicen intención significativamente (p&lt;0.001 y p=0.043 respectivamente), soportando H₁₄ (conocimiento formal) y H₁₅ (alfabetización financiera). El efecto de FK (β=0.159) es más fuerte que FL (β=0.080), sugiriendo que conocimiento de programas y marcos regulatorios es más importante que comprensión de conceptos financieros específicos. Nótese que los coeficientes de TCP se reducen cuando se incluyen moderadores (AT: 0.548→0.486, PBC: 0.395→0.330), sugiriendo que parte del efecto de estos componentes opera a través de conocimiento y alfabetización. Las normas subjetivas pierden significancia en algunas especificaciones (β=0.090, p=0.028 vs. p&lt;0.001 en Modelo 1), reflejando su carácter más contexto-dependiente.</w:t>
      </w:r>
    </w:p>
    <w:p>
      <w:pPr>
        <w:spacing w:line="360" w:lineRule="auto"/>
      </w:pPr>
    </w:p>
    <w:p>
      <w:pPr>
        <w:spacing w:line="360" w:lineRule="auto"/>
      </w:pPr>
      <w:r>
        <w:rPr>
          <w:rFonts w:ascii="Times New Roman" w:hAnsi="Times New Roman"/>
          <w:sz w:val="24"/>
        </w:rPr>
        <w:t>Modelo 3 (Moderación): TCP × Contexto Universitario</w:t>
      </w:r>
    </w:p>
    <w:p>
      <w:pPr>
        <w:spacing w:line="360" w:lineRule="auto"/>
      </w:pPr>
    </w:p>
    <w:p>
      <w:pPr>
        <w:spacing w:line="360" w:lineRule="auto"/>
      </w:pPr>
      <w:r>
        <w:rPr>
          <w:rFonts w:ascii="Times New Roman" w:hAnsi="Times New Roman"/>
          <w:sz w:val="24"/>
        </w:rPr>
        <w:t>Especificación:</w:t>
      </w:r>
    </w:p>
    <w:p>
      <w:pPr>
        <w:spacing w:line="360" w:lineRule="auto"/>
      </w:pPr>
    </w:p>
    <w:p>
      <w:pPr>
        <w:spacing w:line="360" w:lineRule="auto"/>
      </w:pPr>
      <w:r>
        <w:rPr>
          <w:rFonts w:ascii="Times New Roman" w:hAnsi="Times New Roman"/>
          <w:sz w:val="24"/>
        </w:rPr>
        <w:t>[Ecuación]</w:t>
      </w:r>
    </w:p>
    <w:p>
      <w:pPr>
        <w:spacing w:line="360" w:lineRule="auto"/>
      </w:pPr>
    </w:p>
    <w:p>
      <w:pPr>
        <w:spacing w:line="360" w:lineRule="auto"/>
      </w:pPr>
      <w:r>
        <w:rPr>
          <w:rFonts w:ascii="Times New Roman" w:hAnsi="Times New Roman"/>
          <w:sz w:val="24"/>
        </w:rPr>
        <w:t>Este modelo especifica interacciones entre componentes TCP y contexto universitario, probando H₀₆-H₀₇ (moderación). Por claridad y parsimonia, incluimos términos de interacción principales (AT × Desarrollo, PBC × Desarrollo) y una variable de contexto adicional (Clima de Aprendizaje LC como predictor directo).</w:t>
      </w:r>
    </w:p>
    <w:p>
      <w:pPr>
        <w:spacing w:line="360" w:lineRule="auto"/>
      </w:pPr>
    </w:p>
    <w:p>
      <w:pPr>
        <w:spacing w:line="360" w:lineRule="auto"/>
      </w:pPr>
      <w:r>
        <w:rPr>
          <w:rFonts w:ascii="Times New Roman" w:hAnsi="Times New Roman"/>
          <w:sz w:val="24"/>
        </w:rPr>
        <w:t>Procedimiento: Variables continuas fueron centradas en su media antes de crear términos de interacción, para reducir multicolinealidad y facilitar interpretación.</w:t>
      </w:r>
    </w:p>
    <w:p>
      <w:pPr>
        <w:spacing w:line="360" w:lineRule="auto"/>
      </w:pPr>
    </w:p>
    <w:p>
      <w:pPr>
        <w:spacing w:line="360" w:lineRule="auto"/>
      </w:pPr>
      <w:r>
        <w:rPr>
          <w:rFonts w:ascii="Times New Roman" w:hAnsi="Times New Roman"/>
          <w:sz w:val="24"/>
        </w:rPr>
        <w:t>Resultados Modelo 3:</w:t>
      </w:r>
    </w:p>
    <w:p>
      <w:pPr>
        <w:spacing w:line="360" w:lineRule="auto"/>
      </w:pP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360" w:lineRule="auto"/>
            </w:pPr>
            <w:r>
              <w:rPr>
                <w:rFonts w:ascii="Times New Roman" w:hAnsi="Times New Roman"/>
                <w:b/>
                <w:sz w:val="22"/>
              </w:rPr>
              <w:t>Predictor</w:t>
            </w:r>
          </w:p>
        </w:tc>
        <w:tc>
          <w:tcPr>
            <w:tcW w:type="dxa" w:w="1234"/>
          </w:tcPr>
          <w:p>
            <w:pPr>
              <w:spacing w:line="360" w:lineRule="auto"/>
            </w:pPr>
            <w:r>
              <w:rPr>
                <w:rFonts w:ascii="Times New Roman" w:hAnsi="Times New Roman"/>
                <w:b/>
                <w:sz w:val="22"/>
              </w:rPr>
              <w:t>β (est.)</w:t>
            </w:r>
          </w:p>
        </w:tc>
        <w:tc>
          <w:tcPr>
            <w:tcW w:type="dxa" w:w="1234"/>
          </w:tcPr>
          <w:p>
            <w:pPr>
              <w:spacing w:line="360" w:lineRule="auto"/>
            </w:pPr>
            <w:r>
              <w:rPr>
                <w:rFonts w:ascii="Times New Roman" w:hAnsi="Times New Roman"/>
                <w:b/>
                <w:sz w:val="22"/>
              </w:rPr>
              <w:t>β (stand.)</w:t>
            </w:r>
          </w:p>
        </w:tc>
        <w:tc>
          <w:tcPr>
            <w:tcW w:type="dxa" w:w="1234"/>
          </w:tcPr>
          <w:p>
            <w:pPr>
              <w:spacing w:line="360" w:lineRule="auto"/>
            </w:pPr>
            <w:r>
              <w:rPr>
                <w:rFonts w:ascii="Times New Roman" w:hAnsi="Times New Roman"/>
                <w:b/>
                <w:sz w:val="22"/>
              </w:rPr>
              <w:t>EE</w:t>
            </w:r>
          </w:p>
        </w:tc>
        <w:tc>
          <w:tcPr>
            <w:tcW w:type="dxa" w:w="1234"/>
          </w:tcPr>
          <w:p>
            <w:pPr>
              <w:spacing w:line="360" w:lineRule="auto"/>
            </w:pPr>
            <w:r>
              <w:rPr>
                <w:rFonts w:ascii="Times New Roman" w:hAnsi="Times New Roman"/>
                <w:b/>
                <w:sz w:val="22"/>
              </w:rPr>
              <w:t>t</w:t>
            </w:r>
          </w:p>
        </w:tc>
        <w:tc>
          <w:tcPr>
            <w:tcW w:type="dxa" w:w="1234"/>
          </w:tcPr>
          <w:p>
            <w:pPr>
              <w:spacing w:line="360" w:lineRule="auto"/>
            </w:pPr>
            <w:r>
              <w:rPr>
                <w:rFonts w:ascii="Times New Roman" w:hAnsi="Times New Roman"/>
                <w:b/>
                <w:sz w:val="22"/>
              </w:rPr>
              <w:t>p</w:t>
            </w:r>
          </w:p>
        </w:tc>
        <w:tc>
          <w:tcPr>
            <w:tcW w:type="dxa" w:w="1234"/>
          </w:tcPr>
          <w:p>
            <w:pPr>
              <w:spacing w:line="360" w:lineRule="auto"/>
            </w:pPr>
            <w:r>
              <w:rPr>
                <w:rFonts w:ascii="Times New Roman" w:hAnsi="Times New Roman"/>
                <w:b/>
                <w:sz w:val="22"/>
              </w:rPr>
              <w:t>IC 95%</w:t>
            </w:r>
          </w:p>
        </w:tc>
      </w:tr>
      <w:tr>
        <w:tc>
          <w:tcPr>
            <w:tcW w:type="dxa" w:w="1234"/>
          </w:tcPr>
          <w:p>
            <w:pPr>
              <w:spacing w:line="360" w:lineRule="auto"/>
            </w:pPr>
            <w:r>
              <w:rPr>
                <w:rFonts w:ascii="Times New Roman" w:hAnsi="Times New Roman"/>
                <w:sz w:val="22"/>
              </w:rPr>
              <w:t>Actitud (AT, centrada)</w:t>
            </w:r>
          </w:p>
        </w:tc>
        <w:tc>
          <w:tcPr>
            <w:tcW w:type="dxa" w:w="1234"/>
          </w:tcPr>
          <w:p>
            <w:pPr>
              <w:spacing w:line="360" w:lineRule="auto"/>
            </w:pPr>
            <w:r>
              <w:rPr>
                <w:rFonts w:ascii="Times New Roman" w:hAnsi="Times New Roman"/>
                <w:sz w:val="22"/>
              </w:rPr>
              <w:t>0.524</w:t>
            </w:r>
          </w:p>
        </w:tc>
        <w:tc>
          <w:tcPr>
            <w:tcW w:type="dxa" w:w="1234"/>
          </w:tcPr>
          <w:p>
            <w:pPr>
              <w:spacing w:line="360" w:lineRule="auto"/>
            </w:pPr>
            <w:r>
              <w:rPr>
                <w:rFonts w:ascii="Times New Roman" w:hAnsi="Times New Roman"/>
                <w:sz w:val="22"/>
              </w:rPr>
              <w:t>0.494</w:t>
            </w:r>
          </w:p>
        </w:tc>
        <w:tc>
          <w:tcPr>
            <w:tcW w:type="dxa" w:w="1234"/>
          </w:tcPr>
          <w:p>
            <w:pPr>
              <w:spacing w:line="360" w:lineRule="auto"/>
            </w:pPr>
            <w:r>
              <w:rPr>
                <w:rFonts w:ascii="Times New Roman" w:hAnsi="Times New Roman"/>
                <w:sz w:val="22"/>
              </w:rPr>
              <w:t>0.050</w:t>
            </w:r>
          </w:p>
        </w:tc>
        <w:tc>
          <w:tcPr>
            <w:tcW w:type="dxa" w:w="1234"/>
          </w:tcPr>
          <w:p>
            <w:pPr>
              <w:spacing w:line="360" w:lineRule="auto"/>
            </w:pPr>
            <w:r>
              <w:rPr>
                <w:rFonts w:ascii="Times New Roman" w:hAnsi="Times New Roman"/>
                <w:sz w:val="22"/>
              </w:rPr>
              <w:t>10.42</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[0.425, 0.623]</w:t>
            </w:r>
          </w:p>
        </w:tc>
      </w:tr>
      <w:tr>
        <w:tc>
          <w:tcPr>
            <w:tcW w:type="dxa" w:w="1234"/>
          </w:tcPr>
          <w:p>
            <w:pPr>
              <w:spacing w:line="360" w:lineRule="auto"/>
            </w:pPr>
            <w:r>
              <w:rPr>
                <w:rFonts w:ascii="Times New Roman" w:hAnsi="Times New Roman"/>
                <w:sz w:val="22"/>
              </w:rPr>
              <w:t>Normas Subjetivas (SN, centrada)</w:t>
            </w:r>
          </w:p>
        </w:tc>
        <w:tc>
          <w:tcPr>
            <w:tcW w:type="dxa" w:w="1234"/>
          </w:tcPr>
          <w:p>
            <w:pPr>
              <w:spacing w:line="360" w:lineRule="auto"/>
            </w:pPr>
            <w:r>
              <w:rPr>
                <w:rFonts w:ascii="Times New Roman" w:hAnsi="Times New Roman"/>
                <w:sz w:val="22"/>
              </w:rPr>
              <w:t>0.087</w:t>
            </w:r>
          </w:p>
        </w:tc>
        <w:tc>
          <w:tcPr>
            <w:tcW w:type="dxa" w:w="1234"/>
          </w:tcPr>
          <w:p>
            <w:pPr>
              <w:spacing w:line="360" w:lineRule="auto"/>
            </w:pPr>
            <w:r>
              <w:rPr>
                <w:rFonts w:ascii="Times New Roman" w:hAnsi="Times New Roman"/>
                <w:sz w:val="22"/>
              </w:rPr>
              <w:t>0.082</w:t>
            </w:r>
          </w:p>
        </w:tc>
        <w:tc>
          <w:tcPr>
            <w:tcW w:type="dxa" w:w="1234"/>
          </w:tcPr>
          <w:p>
            <w:pPr>
              <w:spacing w:line="360" w:lineRule="auto"/>
            </w:pPr>
            <w:r>
              <w:rPr>
                <w:rFonts w:ascii="Times New Roman" w:hAnsi="Times New Roman"/>
                <w:sz w:val="22"/>
              </w:rPr>
              <w:t>0.044</w:t>
            </w:r>
          </w:p>
        </w:tc>
        <w:tc>
          <w:tcPr>
            <w:tcW w:type="dxa" w:w="1234"/>
          </w:tcPr>
          <w:p>
            <w:pPr>
              <w:spacing w:line="360" w:lineRule="auto"/>
            </w:pPr>
            <w:r>
              <w:rPr>
                <w:rFonts w:ascii="Times New Roman" w:hAnsi="Times New Roman"/>
                <w:sz w:val="22"/>
              </w:rPr>
              <w:t>1.98</w:t>
            </w:r>
          </w:p>
        </w:tc>
        <w:tc>
          <w:tcPr>
            <w:tcW w:type="dxa" w:w="1234"/>
          </w:tcPr>
          <w:p>
            <w:pPr>
              <w:spacing w:line="360" w:lineRule="auto"/>
            </w:pPr>
            <w:r>
              <w:rPr>
                <w:rFonts w:ascii="Times New Roman" w:hAnsi="Times New Roman"/>
                <w:sz w:val="22"/>
              </w:rPr>
              <w:t>0.049</w:t>
            </w:r>
          </w:p>
        </w:tc>
        <w:tc>
          <w:tcPr>
            <w:tcW w:type="dxa" w:w="1234"/>
          </w:tcPr>
          <w:p>
            <w:pPr>
              <w:spacing w:line="360" w:lineRule="auto"/>
            </w:pPr>
            <w:r>
              <w:rPr>
                <w:rFonts w:ascii="Times New Roman" w:hAnsi="Times New Roman"/>
                <w:sz w:val="22"/>
              </w:rPr>
              <w:t>[-0.001, 0.174]</w:t>
            </w:r>
          </w:p>
        </w:tc>
      </w:tr>
      <w:tr>
        <w:tc>
          <w:tcPr>
            <w:tcW w:type="dxa" w:w="1234"/>
          </w:tcPr>
          <w:p>
            <w:pPr>
              <w:spacing w:line="360" w:lineRule="auto"/>
            </w:pPr>
            <w:r>
              <w:rPr>
                <w:rFonts w:ascii="Times New Roman" w:hAnsi="Times New Roman"/>
                <w:sz w:val="22"/>
              </w:rPr>
              <w:t>Control Conductual (PBC, centrada)</w:t>
            </w:r>
          </w:p>
        </w:tc>
        <w:tc>
          <w:tcPr>
            <w:tcW w:type="dxa" w:w="1234"/>
          </w:tcPr>
          <w:p>
            <w:pPr>
              <w:spacing w:line="360" w:lineRule="auto"/>
            </w:pPr>
            <w:r>
              <w:rPr>
                <w:rFonts w:ascii="Times New Roman" w:hAnsi="Times New Roman"/>
                <w:sz w:val="22"/>
              </w:rPr>
              <w:t>0.372</w:t>
            </w:r>
          </w:p>
        </w:tc>
        <w:tc>
          <w:tcPr>
            <w:tcW w:type="dxa" w:w="1234"/>
          </w:tcPr>
          <w:p>
            <w:pPr>
              <w:spacing w:line="360" w:lineRule="auto"/>
            </w:pPr>
            <w:r>
              <w:rPr>
                <w:rFonts w:ascii="Times New Roman" w:hAnsi="Times New Roman"/>
                <w:sz w:val="22"/>
              </w:rPr>
              <w:t>0.352</w:t>
            </w:r>
          </w:p>
        </w:tc>
        <w:tc>
          <w:tcPr>
            <w:tcW w:type="dxa" w:w="1234"/>
          </w:tcPr>
          <w:p>
            <w:pPr>
              <w:spacing w:line="360" w:lineRule="auto"/>
            </w:pPr>
            <w:r>
              <w:rPr>
                <w:rFonts w:ascii="Times New Roman" w:hAnsi="Times New Roman"/>
                <w:sz w:val="22"/>
              </w:rPr>
              <w:t>0.053</w:t>
            </w:r>
          </w:p>
        </w:tc>
        <w:tc>
          <w:tcPr>
            <w:tcW w:type="dxa" w:w="1234"/>
          </w:tcPr>
          <w:p>
            <w:pPr>
              <w:spacing w:line="360" w:lineRule="auto"/>
            </w:pPr>
            <w:r>
              <w:rPr>
                <w:rFonts w:ascii="Times New Roman" w:hAnsi="Times New Roman"/>
                <w:sz w:val="22"/>
              </w:rPr>
              <w:t>7.01</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[0.268, 0.477]</w:t>
            </w:r>
          </w:p>
        </w:tc>
      </w:tr>
      <w:tr>
        <w:tc>
          <w:tcPr>
            <w:tcW w:type="dxa" w:w="1234"/>
          </w:tcPr>
          <w:p>
            <w:pPr>
              <w:spacing w:line="360" w:lineRule="auto"/>
            </w:pPr>
            <w:r>
              <w:rPr>
                <w:rFonts w:ascii="Times New Roman" w:hAnsi="Times New Roman"/>
                <w:sz w:val="22"/>
              </w:rPr>
              <w:t>Conocimiento Ecosistema (FK)</w:t>
            </w:r>
          </w:p>
        </w:tc>
        <w:tc>
          <w:tcPr>
            <w:tcW w:type="dxa" w:w="1234"/>
          </w:tcPr>
          <w:p>
            <w:pPr>
              <w:spacing w:line="360" w:lineRule="auto"/>
            </w:pPr>
            <w:r>
              <w:rPr>
                <w:rFonts w:ascii="Times New Roman" w:hAnsi="Times New Roman"/>
                <w:sz w:val="22"/>
              </w:rPr>
              <w:t>0.145</w:t>
            </w:r>
          </w:p>
        </w:tc>
        <w:tc>
          <w:tcPr>
            <w:tcW w:type="dxa" w:w="1234"/>
          </w:tcPr>
          <w:p>
            <w:pPr>
              <w:spacing w:line="360" w:lineRule="auto"/>
            </w:pPr>
            <w:r>
              <w:rPr>
                <w:rFonts w:ascii="Times New Roman" w:hAnsi="Times New Roman"/>
                <w:sz w:val="22"/>
              </w:rPr>
              <w:t>0.137</w:t>
            </w:r>
          </w:p>
        </w:tc>
        <w:tc>
          <w:tcPr>
            <w:tcW w:type="dxa" w:w="1234"/>
          </w:tcPr>
          <w:p>
            <w:pPr>
              <w:spacing w:line="360" w:lineRule="auto"/>
            </w:pPr>
            <w:r>
              <w:rPr>
                <w:rFonts w:ascii="Times New Roman" w:hAnsi="Times New Roman"/>
                <w:sz w:val="22"/>
              </w:rPr>
              <w:t>0.041</w:t>
            </w:r>
          </w:p>
        </w:tc>
        <w:tc>
          <w:tcPr>
            <w:tcW w:type="dxa" w:w="1234"/>
          </w:tcPr>
          <w:p>
            <w:pPr>
              <w:spacing w:line="360" w:lineRule="auto"/>
            </w:pPr>
            <w:r>
              <w:rPr>
                <w:rFonts w:ascii="Times New Roman" w:hAnsi="Times New Roman"/>
                <w:sz w:val="22"/>
              </w:rPr>
              <w:t>3.54</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[0.065, 0.225]</w:t>
            </w:r>
          </w:p>
        </w:tc>
      </w:tr>
      <w:tr>
        <w:tc>
          <w:tcPr>
            <w:tcW w:type="dxa" w:w="1234"/>
          </w:tcPr>
          <w:p>
            <w:pPr>
              <w:spacing w:line="360" w:lineRule="auto"/>
            </w:pPr>
            <w:r>
              <w:rPr>
                <w:rFonts w:ascii="Times New Roman" w:hAnsi="Times New Roman"/>
                <w:sz w:val="22"/>
              </w:rPr>
              <w:t>Alfabetización Financiera (FL)</w:t>
            </w:r>
          </w:p>
        </w:tc>
        <w:tc>
          <w:tcPr>
            <w:tcW w:type="dxa" w:w="1234"/>
          </w:tcPr>
          <w:p>
            <w:pPr>
              <w:spacing w:line="360" w:lineRule="auto"/>
            </w:pPr>
            <w:r>
              <w:rPr>
                <w:rFonts w:ascii="Times New Roman" w:hAnsi="Times New Roman"/>
                <w:sz w:val="22"/>
              </w:rPr>
              <w:t>0.067</w:t>
            </w:r>
          </w:p>
        </w:tc>
        <w:tc>
          <w:tcPr>
            <w:tcW w:type="dxa" w:w="1234"/>
          </w:tcPr>
          <w:p>
            <w:pPr>
              <w:spacing w:line="360" w:lineRule="auto"/>
            </w:pPr>
            <w:r>
              <w:rPr>
                <w:rFonts w:ascii="Times New Roman" w:hAnsi="Times New Roman"/>
                <w:sz w:val="22"/>
              </w:rPr>
              <w:t>0.063</w:t>
            </w:r>
          </w:p>
        </w:tc>
        <w:tc>
          <w:tcPr>
            <w:tcW w:type="dxa" w:w="1234"/>
          </w:tcPr>
          <w:p>
            <w:pPr>
              <w:spacing w:line="360" w:lineRule="auto"/>
            </w:pPr>
            <w:r>
              <w:rPr>
                <w:rFonts w:ascii="Times New Roman" w:hAnsi="Times New Roman"/>
                <w:sz w:val="22"/>
              </w:rPr>
              <w:t>0.043</w:t>
            </w:r>
          </w:p>
        </w:tc>
        <w:tc>
          <w:tcPr>
            <w:tcW w:type="dxa" w:w="1234"/>
          </w:tcPr>
          <w:p>
            <w:pPr>
              <w:spacing w:line="360" w:lineRule="auto"/>
            </w:pPr>
            <w:r>
              <w:rPr>
                <w:rFonts w:ascii="Times New Roman" w:hAnsi="Times New Roman"/>
                <w:sz w:val="22"/>
              </w:rPr>
              <w:t>1.54</w:t>
            </w:r>
          </w:p>
        </w:tc>
        <w:tc>
          <w:tcPr>
            <w:tcW w:type="dxa" w:w="1234"/>
          </w:tcPr>
          <w:p>
            <w:pPr>
              <w:spacing w:line="360" w:lineRule="auto"/>
            </w:pPr>
            <w:r>
              <w:rPr>
                <w:rFonts w:ascii="Times New Roman" w:hAnsi="Times New Roman"/>
                <w:sz w:val="22"/>
              </w:rPr>
              <w:t>0.125</w:t>
            </w:r>
          </w:p>
        </w:tc>
        <w:tc>
          <w:tcPr>
            <w:tcW w:type="dxa" w:w="1234"/>
          </w:tcPr>
          <w:p>
            <w:pPr>
              <w:spacing w:line="360" w:lineRule="auto"/>
            </w:pPr>
            <w:r>
              <w:rPr>
                <w:rFonts w:ascii="Times New Roman" w:hAnsi="Times New Roman"/>
                <w:sz w:val="22"/>
              </w:rPr>
              <w:t>[-0.018, 0.152]</w:t>
            </w:r>
          </w:p>
        </w:tc>
      </w:tr>
      <w:tr>
        <w:tc>
          <w:tcPr>
            <w:tcW w:type="dxa" w:w="1234"/>
          </w:tcPr>
          <w:p>
            <w:pPr>
              <w:spacing w:line="360" w:lineRule="auto"/>
            </w:pPr>
            <w:r>
              <w:rPr>
                <w:rFonts w:ascii="Times New Roman" w:hAnsi="Times New Roman"/>
                <w:sz w:val="22"/>
              </w:rPr>
              <w:t>Desarrollo Institucional (U-D, centrada)</w:t>
            </w:r>
          </w:p>
        </w:tc>
        <w:tc>
          <w:tcPr>
            <w:tcW w:type="dxa" w:w="1234"/>
          </w:tcPr>
          <w:p>
            <w:pPr>
              <w:spacing w:line="360" w:lineRule="auto"/>
            </w:pPr>
            <w:r>
              <w:rPr>
                <w:rFonts w:ascii="Times New Roman" w:hAnsi="Times New Roman"/>
                <w:sz w:val="22"/>
              </w:rPr>
              <w:t>0.134</w:t>
            </w:r>
          </w:p>
        </w:tc>
        <w:tc>
          <w:tcPr>
            <w:tcW w:type="dxa" w:w="1234"/>
          </w:tcPr>
          <w:p>
            <w:pPr>
              <w:spacing w:line="360" w:lineRule="auto"/>
            </w:pPr>
            <w:r>
              <w:rPr>
                <w:rFonts w:ascii="Times New Roman" w:hAnsi="Times New Roman"/>
                <w:sz w:val="22"/>
              </w:rPr>
              <w:t>0.127</w:t>
            </w:r>
          </w:p>
        </w:tc>
        <w:tc>
          <w:tcPr>
            <w:tcW w:type="dxa" w:w="1234"/>
          </w:tcPr>
          <w:p>
            <w:pPr>
              <w:spacing w:line="360" w:lineRule="auto"/>
            </w:pPr>
            <w:r>
              <w:rPr>
                <w:rFonts w:ascii="Times New Roman" w:hAnsi="Times New Roman"/>
                <w:sz w:val="22"/>
              </w:rPr>
              <w:t>0.048</w:t>
            </w:r>
          </w:p>
        </w:tc>
        <w:tc>
          <w:tcPr>
            <w:tcW w:type="dxa" w:w="1234"/>
          </w:tcPr>
          <w:p>
            <w:pPr>
              <w:spacing w:line="360" w:lineRule="auto"/>
            </w:pPr>
            <w:r>
              <w:rPr>
                <w:rFonts w:ascii="Times New Roman" w:hAnsi="Times New Roman"/>
                <w:sz w:val="22"/>
              </w:rPr>
              <w:t>2.81</w:t>
            </w:r>
          </w:p>
        </w:tc>
        <w:tc>
          <w:tcPr>
            <w:tcW w:type="dxa" w:w="1234"/>
          </w:tcPr>
          <w:p>
            <w:pPr>
              <w:spacing w:line="360" w:lineRule="auto"/>
            </w:pPr>
            <w:r>
              <w:rPr>
                <w:rFonts w:ascii="Times New Roman" w:hAnsi="Times New Roman"/>
                <w:sz w:val="22"/>
              </w:rPr>
              <w:t>0.005</w:t>
            </w:r>
          </w:p>
        </w:tc>
        <w:tc>
          <w:tcPr>
            <w:tcW w:type="dxa" w:w="1234"/>
          </w:tcPr>
          <w:p>
            <w:pPr>
              <w:spacing w:line="360" w:lineRule="auto"/>
            </w:pPr>
            <w:r>
              <w:rPr>
                <w:rFonts w:ascii="Times New Roman" w:hAnsi="Times New Roman"/>
                <w:sz w:val="22"/>
              </w:rPr>
              <w:t>[0.041, 0.227]</w:t>
            </w:r>
          </w:p>
        </w:tc>
      </w:tr>
      <w:tr>
        <w:tc>
          <w:tcPr>
            <w:tcW w:type="dxa" w:w="1234"/>
          </w:tcPr>
          <w:p>
            <w:pPr>
              <w:spacing w:line="360" w:lineRule="auto"/>
            </w:pPr>
            <w:r>
              <w:rPr>
                <w:rFonts w:ascii="Times New Roman" w:hAnsi="Times New Roman"/>
                <w:sz w:val="22"/>
              </w:rPr>
              <w:t>Clima Aprendizaje (LC)</w:t>
            </w:r>
          </w:p>
        </w:tc>
        <w:tc>
          <w:tcPr>
            <w:tcW w:type="dxa" w:w="1234"/>
          </w:tcPr>
          <w:p>
            <w:pPr>
              <w:spacing w:line="360" w:lineRule="auto"/>
            </w:pPr>
            <w:r>
              <w:rPr>
                <w:rFonts w:ascii="Times New Roman" w:hAnsi="Times New Roman"/>
                <w:sz w:val="22"/>
              </w:rPr>
              <w:t>0.118</w:t>
            </w:r>
          </w:p>
        </w:tc>
        <w:tc>
          <w:tcPr>
            <w:tcW w:type="dxa" w:w="1234"/>
          </w:tcPr>
          <w:p>
            <w:pPr>
              <w:spacing w:line="360" w:lineRule="auto"/>
            </w:pPr>
            <w:r>
              <w:rPr>
                <w:rFonts w:ascii="Times New Roman" w:hAnsi="Times New Roman"/>
                <w:sz w:val="22"/>
              </w:rPr>
              <w:t>0.109</w:t>
            </w:r>
          </w:p>
        </w:tc>
        <w:tc>
          <w:tcPr>
            <w:tcW w:type="dxa" w:w="1234"/>
          </w:tcPr>
          <w:p>
            <w:pPr>
              <w:spacing w:line="360" w:lineRule="auto"/>
            </w:pPr>
            <w:r>
              <w:rPr>
                <w:rFonts w:ascii="Times New Roman" w:hAnsi="Times New Roman"/>
                <w:sz w:val="22"/>
              </w:rPr>
              <w:t>0.044</w:t>
            </w:r>
          </w:p>
        </w:tc>
        <w:tc>
          <w:tcPr>
            <w:tcW w:type="dxa" w:w="1234"/>
          </w:tcPr>
          <w:p>
            <w:pPr>
              <w:spacing w:line="360" w:lineRule="auto"/>
            </w:pPr>
            <w:r>
              <w:rPr>
                <w:rFonts w:ascii="Times New Roman" w:hAnsi="Times New Roman"/>
                <w:sz w:val="22"/>
              </w:rPr>
              <w:t>2.70</w:t>
            </w:r>
          </w:p>
        </w:tc>
        <w:tc>
          <w:tcPr>
            <w:tcW w:type="dxa" w:w="1234"/>
          </w:tcPr>
          <w:p>
            <w:pPr>
              <w:spacing w:line="360" w:lineRule="auto"/>
            </w:pPr>
            <w:r>
              <w:rPr>
                <w:rFonts w:ascii="Times New Roman" w:hAnsi="Times New Roman"/>
                <w:sz w:val="22"/>
              </w:rPr>
              <w:t>0.007</w:t>
            </w:r>
          </w:p>
        </w:tc>
        <w:tc>
          <w:tcPr>
            <w:tcW w:type="dxa" w:w="1234"/>
          </w:tcPr>
          <w:p>
            <w:pPr>
              <w:spacing w:line="360" w:lineRule="auto"/>
            </w:pPr>
            <w:r>
              <w:rPr>
                <w:rFonts w:ascii="Times New Roman" w:hAnsi="Times New Roman"/>
                <w:sz w:val="22"/>
              </w:rPr>
              <w:t>[0.031, 0.204]</w:t>
            </w:r>
          </w:p>
        </w:tc>
      </w:tr>
      <w:tr>
        <w:tc>
          <w:tcPr>
            <w:tcW w:type="dxa" w:w="1234"/>
          </w:tcPr>
          <w:p>
            <w:pPr>
              <w:spacing w:line="360" w:lineRule="auto"/>
            </w:pPr>
            <w:r>
              <w:rPr>
                <w:rFonts w:ascii="Times New Roman" w:hAnsi="Times New Roman"/>
                <w:sz w:val="22"/>
              </w:rPr>
              <w:t>AT × U-D (interacción)</w:t>
            </w:r>
          </w:p>
        </w:tc>
        <w:tc>
          <w:tcPr>
            <w:tcW w:type="dxa" w:w="1234"/>
          </w:tcPr>
          <w:p>
            <w:pPr>
              <w:spacing w:line="360" w:lineRule="auto"/>
            </w:pPr>
            <w:r>
              <w:rPr>
                <w:rFonts w:ascii="Times New Roman" w:hAnsi="Times New Roman"/>
                <w:sz w:val="22"/>
              </w:rPr>
              <w:t>0.089</w:t>
            </w:r>
          </w:p>
        </w:tc>
        <w:tc>
          <w:tcPr>
            <w:tcW w:type="dxa" w:w="1234"/>
          </w:tcPr>
          <w:p>
            <w:pPr>
              <w:spacing w:line="360" w:lineRule="auto"/>
            </w:pPr>
            <w:r>
              <w:rPr>
                <w:rFonts w:ascii="Times New Roman" w:hAnsi="Times New Roman"/>
                <w:sz w:val="22"/>
              </w:rPr>
              <w:t>0.084</w:t>
            </w:r>
          </w:p>
        </w:tc>
        <w:tc>
          <w:tcPr>
            <w:tcW w:type="dxa" w:w="1234"/>
          </w:tcPr>
          <w:p>
            <w:pPr>
              <w:spacing w:line="360" w:lineRule="auto"/>
            </w:pPr>
            <w:r>
              <w:rPr>
                <w:rFonts w:ascii="Times New Roman" w:hAnsi="Times New Roman"/>
                <w:sz w:val="22"/>
              </w:rPr>
              <w:t>0.041</w:t>
            </w:r>
          </w:p>
        </w:tc>
        <w:tc>
          <w:tcPr>
            <w:tcW w:type="dxa" w:w="1234"/>
          </w:tcPr>
          <w:p>
            <w:pPr>
              <w:spacing w:line="360" w:lineRule="auto"/>
            </w:pPr>
            <w:r>
              <w:rPr>
                <w:rFonts w:ascii="Times New Roman" w:hAnsi="Times New Roman"/>
                <w:sz w:val="22"/>
              </w:rPr>
              <w:t>2.17</w:t>
            </w:r>
          </w:p>
        </w:tc>
        <w:tc>
          <w:tcPr>
            <w:tcW w:type="dxa" w:w="1234"/>
          </w:tcPr>
          <w:p>
            <w:pPr>
              <w:spacing w:line="360" w:lineRule="auto"/>
            </w:pPr>
            <w:r>
              <w:rPr>
                <w:rFonts w:ascii="Times New Roman" w:hAnsi="Times New Roman"/>
                <w:sz w:val="22"/>
              </w:rPr>
              <w:t>0.031</w:t>
            </w:r>
          </w:p>
        </w:tc>
        <w:tc>
          <w:tcPr>
            <w:tcW w:type="dxa" w:w="1234"/>
          </w:tcPr>
          <w:p>
            <w:pPr>
              <w:spacing w:line="360" w:lineRule="auto"/>
            </w:pPr>
            <w:r>
              <w:rPr>
                <w:rFonts w:ascii="Times New Roman" w:hAnsi="Times New Roman"/>
                <w:sz w:val="22"/>
              </w:rPr>
              <w:t>[0.009, 0.169]</w:t>
            </w:r>
          </w:p>
        </w:tc>
      </w:tr>
      <w:tr>
        <w:tc>
          <w:tcPr>
            <w:tcW w:type="dxa" w:w="1234"/>
          </w:tcPr>
          <w:p>
            <w:pPr>
              <w:spacing w:line="360" w:lineRule="auto"/>
            </w:pPr>
            <w:r>
              <w:rPr>
                <w:rFonts w:ascii="Times New Roman" w:hAnsi="Times New Roman"/>
                <w:sz w:val="22"/>
              </w:rPr>
              <w:t>PBC × U-D (interacción)</w:t>
            </w:r>
          </w:p>
        </w:tc>
        <w:tc>
          <w:tcPr>
            <w:tcW w:type="dxa" w:w="1234"/>
          </w:tcPr>
          <w:p>
            <w:pPr>
              <w:spacing w:line="360" w:lineRule="auto"/>
            </w:pPr>
            <w:r>
              <w:rPr>
                <w:rFonts w:ascii="Times New Roman" w:hAnsi="Times New Roman"/>
                <w:sz w:val="22"/>
              </w:rPr>
              <w:t>0.072</w:t>
            </w:r>
          </w:p>
        </w:tc>
        <w:tc>
          <w:tcPr>
            <w:tcW w:type="dxa" w:w="1234"/>
          </w:tcPr>
          <w:p>
            <w:pPr>
              <w:spacing w:line="360" w:lineRule="auto"/>
            </w:pPr>
            <w:r>
              <w:rPr>
                <w:rFonts w:ascii="Times New Roman" w:hAnsi="Times New Roman"/>
                <w:sz w:val="22"/>
              </w:rPr>
              <w:t>0.068</w:t>
            </w:r>
          </w:p>
        </w:tc>
        <w:tc>
          <w:tcPr>
            <w:tcW w:type="dxa" w:w="1234"/>
          </w:tcPr>
          <w:p>
            <w:pPr>
              <w:spacing w:line="360" w:lineRule="auto"/>
            </w:pPr>
            <w:r>
              <w:rPr>
                <w:rFonts w:ascii="Times New Roman" w:hAnsi="Times New Roman"/>
                <w:sz w:val="22"/>
              </w:rPr>
              <w:t>0.038</w:t>
            </w:r>
          </w:p>
        </w:tc>
        <w:tc>
          <w:tcPr>
            <w:tcW w:type="dxa" w:w="1234"/>
          </w:tcPr>
          <w:p>
            <w:pPr>
              <w:spacing w:line="360" w:lineRule="auto"/>
            </w:pPr>
            <w:r>
              <w:rPr>
                <w:rFonts w:ascii="Times New Roman" w:hAnsi="Times New Roman"/>
                <w:sz w:val="22"/>
              </w:rPr>
              <w:t>1.90</w:t>
            </w:r>
          </w:p>
        </w:tc>
        <w:tc>
          <w:tcPr>
            <w:tcW w:type="dxa" w:w="1234"/>
          </w:tcPr>
          <w:p>
            <w:pPr>
              <w:spacing w:line="360" w:lineRule="auto"/>
            </w:pPr>
            <w:r>
              <w:rPr>
                <w:rFonts w:ascii="Times New Roman" w:hAnsi="Times New Roman"/>
                <w:sz w:val="22"/>
              </w:rPr>
              <w:t>0.058</w:t>
            </w:r>
          </w:p>
        </w:tc>
        <w:tc>
          <w:tcPr>
            <w:tcW w:type="dxa" w:w="1234"/>
          </w:tcPr>
          <w:p>
            <w:pPr>
              <w:spacing w:line="360" w:lineRule="auto"/>
            </w:pPr>
            <w:r>
              <w:rPr>
                <w:rFonts w:ascii="Times New Roman" w:hAnsi="Times New Roman"/>
                <w:sz w:val="22"/>
              </w:rPr>
              <w:t>[-0.002, 0.146]</w:t>
            </w:r>
          </w:p>
        </w:tc>
      </w:tr>
      <w:tr>
        <w:tc>
          <w:tcPr>
            <w:tcW w:type="dxa" w:w="1234"/>
          </w:tcPr>
          <w:p>
            <w:pPr>
              <w:spacing w:line="360" w:lineRule="auto"/>
            </w:pPr>
            <w:r>
              <w:rPr>
                <w:rFonts w:ascii="Times New Roman" w:hAnsi="Times New Roman"/>
                <w:sz w:val="22"/>
              </w:rPr>
              <w:t>Constante</w:t>
            </w:r>
          </w:p>
        </w:tc>
        <w:tc>
          <w:tcPr>
            <w:tcW w:type="dxa" w:w="1234"/>
          </w:tcPr>
          <w:p>
            <w:pPr>
              <w:spacing w:line="360" w:lineRule="auto"/>
            </w:pPr>
            <w:r>
              <w:rPr>
                <w:rFonts w:ascii="Times New Roman" w:hAnsi="Times New Roman"/>
                <w:sz w:val="22"/>
              </w:rPr>
              <w:t>3.745</w:t>
            </w:r>
          </w:p>
        </w:tc>
        <w:tc>
          <w:tcPr>
            <w:tcW w:type="dxa" w:w="1234"/>
          </w:tcPr>
          <w:p>
            <w:pPr>
              <w:spacing w:line="360" w:lineRule="auto"/>
            </w:pPr>
            <w:r>
              <w:rPr>
                <w:rFonts w:ascii="Times New Roman" w:hAnsi="Times New Roman"/>
                <w:sz w:val="22"/>
              </w:rPr>
              <w:t>—</w:t>
            </w:r>
          </w:p>
        </w:tc>
        <w:tc>
          <w:tcPr>
            <w:tcW w:type="dxa" w:w="1234"/>
          </w:tcPr>
          <w:p>
            <w:pPr>
              <w:spacing w:line="360" w:lineRule="auto"/>
            </w:pPr>
            <w:r>
              <w:rPr>
                <w:rFonts w:ascii="Times New Roman" w:hAnsi="Times New Roman"/>
                <w:sz w:val="22"/>
              </w:rPr>
              <w:t>0.183</w:t>
            </w:r>
          </w:p>
        </w:tc>
        <w:tc>
          <w:tcPr>
            <w:tcW w:type="dxa" w:w="1234"/>
          </w:tcPr>
          <w:p>
            <w:pPr>
              <w:spacing w:line="360" w:lineRule="auto"/>
            </w:pPr>
            <w:r>
              <w:rPr>
                <w:rFonts w:ascii="Times New Roman" w:hAnsi="Times New Roman"/>
                <w:sz w:val="22"/>
              </w:rPr>
              <w:t>20.46</w:t>
            </w:r>
          </w:p>
        </w:tc>
        <w:tc>
          <w:tcPr>
            <w:tcW w:type="dxa" w:w="1234"/>
          </w:tcPr>
          <w:p>
            <w:pPr>
              <w:spacing w:line="360" w:lineRule="auto"/>
            </w:pPr>
            <w:r>
              <w:rPr>
                <w:rFonts w:ascii="Times New Roman" w:hAnsi="Times New Roman"/>
                <w:sz w:val="22"/>
              </w:rPr>
              <w:t>&lt;0.001</w:t>
            </w:r>
          </w:p>
        </w:tc>
        <w:tc>
          <w:tcPr>
            <w:tcW w:type="dxa" w:w="1234"/>
          </w:tcPr>
          <w:p>
            <w:pPr>
              <w:spacing w:line="360" w:lineRule="auto"/>
            </w:pPr>
            <w:r>
              <w:rPr>
                <w:rFonts w:ascii="Times New Roman" w:hAnsi="Times New Roman"/>
                <w:sz w:val="22"/>
              </w:rPr>
              <w:t>[3.386, 4.104]</w:t>
            </w:r>
          </w:p>
        </w:tc>
      </w:tr>
    </w:tbl>
    <w:p>
      <w:pPr>
        <w:spacing w:line="360" w:lineRule="auto"/>
      </w:pPr>
    </w:p>
    <w:p>
      <w:pPr>
        <w:spacing w:line="360" w:lineRule="auto"/>
      </w:pPr>
      <w:r>
        <w:rPr>
          <w:rFonts w:ascii="Times New Roman" w:hAnsi="Times New Roman"/>
          <w:sz w:val="24"/>
        </w:rPr>
        <w:t>Índices de ajuste:</w:t>
      </w:r>
    </w:p>
    <w:p>
      <w:pPr>
        <w:spacing w:line="360" w:lineRule="auto"/>
      </w:pPr>
    </w:p>
    <w:p>
      <w:pPr>
        <w:spacing w:line="360" w:lineRule="auto"/>
      </w:pPr>
      <w:r>
        <w:rPr>
          <w:rFonts w:ascii="Times New Roman" w:hAnsi="Times New Roman"/>
          <w:sz w:val="24"/>
        </w:rPr>
        <w:t>- R² = 0.535</w:t>
      </w:r>
    </w:p>
    <w:p>
      <w:pPr>
        <w:spacing w:line="360" w:lineRule="auto"/>
      </w:pPr>
      <w:r>
        <w:rPr>
          <w:rFonts w:ascii="Times New Roman" w:hAnsi="Times New Roman"/>
          <w:sz w:val="24"/>
        </w:rPr>
        <w:t>- R² ajustado = 0.528</w:t>
      </w:r>
    </w:p>
    <w:p>
      <w:pPr>
        <w:spacing w:line="360" w:lineRule="auto"/>
      </w:pPr>
      <w:r>
        <w:rPr>
          <w:rFonts w:ascii="Times New Roman" w:hAnsi="Times New Roman"/>
          <w:sz w:val="24"/>
        </w:rPr>
        <w:t>- F(9, 530) = 67.3, p&lt;0.001</w:t>
      </w:r>
    </w:p>
    <w:p>
      <w:pPr>
        <w:spacing w:line="360" w:lineRule="auto"/>
      </w:pPr>
      <w:r>
        <w:rPr>
          <w:rFonts w:ascii="Times New Roman" w:hAnsi="Times New Roman"/>
          <w:sz w:val="24"/>
        </w:rPr>
        <w:t>- RMSE = 1.29</w:t>
      </w:r>
    </w:p>
    <w:p>
      <w:pPr>
        <w:spacing w:line="360" w:lineRule="auto"/>
      </w:pPr>
    </w:p>
    <w:p>
      <w:pPr>
        <w:spacing w:line="360" w:lineRule="auto"/>
      </w:pPr>
      <w:r>
        <w:rPr>
          <w:rFonts w:ascii="Times New Roman" w:hAnsi="Times New Roman"/>
          <w:sz w:val="24"/>
        </w:rPr>
        <w:t>Cambio en R²: ΔR² = 0.023 (el modelo 3 añade 2.3% de varianza vs. modelo 2), F(4, 530) = 3.48, p=0.008 (cambio significativo).</w:t>
      </w:r>
    </w:p>
    <w:p>
      <w:pPr>
        <w:spacing w:line="360" w:lineRule="auto"/>
      </w:pPr>
    </w:p>
    <w:p>
      <w:pPr>
        <w:spacing w:line="360" w:lineRule="auto"/>
      </w:pPr>
      <w:r>
        <w:rPr>
          <w:rFonts w:ascii="Times New Roman" w:hAnsi="Times New Roman"/>
          <w:sz w:val="24"/>
        </w:rPr>
        <w:t>Interpretación de interacciones:</w:t>
      </w:r>
    </w:p>
    <w:p>
      <w:pPr>
        <w:spacing w:line="360" w:lineRule="auto"/>
      </w:pPr>
    </w:p>
    <w:p>
      <w:pPr>
        <w:spacing w:line="360" w:lineRule="auto"/>
      </w:pPr>
      <w:r>
        <w:rPr>
          <w:rFonts w:ascii="Times New Roman" w:hAnsi="Times New Roman"/>
          <w:sz w:val="24"/>
        </w:rPr>
        <w:t>- AT × U-D: β=0.089, p=0.031. El efecto de actitud sobre intención es amplificado en instituciones con mejor desarrollo universitario. Específicamente, un incremento de 1 unidad en desarrollo institucional aumenta el efecto de actitud sobre intención en 0.089 unidades. Este hallazgo sugiere que las universidades con ecosistema emprendedor robusto amplifican la traducción de actitud favorable hacia intención de actuar.</w:t>
      </w:r>
    </w:p>
    <w:p>
      <w:pPr>
        <w:spacing w:line="360" w:lineRule="auto"/>
      </w:pPr>
    </w:p>
    <w:p>
      <w:pPr>
        <w:spacing w:line="360" w:lineRule="auto"/>
      </w:pPr>
      <w:r>
        <w:rPr>
          <w:rFonts w:ascii="Times New Roman" w:hAnsi="Times New Roman"/>
          <w:sz w:val="24"/>
        </w:rPr>
        <w:t>- PBC × U-D: β=0.072, p=0.058 (marginalmente significativo). El efecto de control conductual percibido es amplificado levemente por desarrollo institucional. La significancia marginal sugiere que el contexto universitario modula el control percibido, pero el efecto es más débil que para actitud.</w:t>
      </w:r>
    </w:p>
    <w:p>
      <w:pPr>
        <w:spacing w:line="360" w:lineRule="auto"/>
      </w:pPr>
    </w:p>
    <w:p>
      <w:pPr>
        <w:spacing w:line="360" w:lineRule="auto"/>
      </w:pPr>
      <w:r>
        <w:rPr>
          <w:rFonts w:ascii="Times New Roman" w:hAnsi="Times New Roman"/>
          <w:sz w:val="24"/>
        </w:rPr>
        <w:t>Conclusión sobre los tres modelos:</w:t>
      </w:r>
    </w:p>
    <w:p>
      <w:pPr>
        <w:spacing w:line="360" w:lineRule="auto"/>
      </w:pPr>
    </w:p>
    <w:p>
      <w:pPr>
        <w:spacing w:line="360" w:lineRule="auto"/>
      </w:pPr>
      <w:r>
        <w:rPr>
          <w:rFonts w:ascii="Times New Roman" w:hAnsi="Times New Roman"/>
          <w:sz w:val="24"/>
        </w:rPr>
        <w:t>Los modelos progresivos muestran: (1) TCP predice robustamente intención (Modelo 1, R²=0.478); (2) políticas públicas añaden predicción significativa (Modelo 2, ΔR²=0.034); (3) contexto universitario modula relaciones TCP (Modelo 3, ΔR²=0.023, con términos de interacción significativos). El modelo final explica 53.5% de varianza en intención emprendedora, mejora sustancial respecto a TCP en solitario.</w:t>
      </w:r>
    </w:p>
    <w:p>
      <w:pPr>
        <w:spacing w:line="360" w:lineRule="auto"/>
      </w:pPr>
    </w:p>
    <w:p>
      <w:pPr>
        <w:pStyle w:val="Heading3"/>
        <w:spacing w:line="360" w:lineRule="auto"/>
      </w:pPr>
      <w:r>
        <w:rPr>
          <w:rFonts w:ascii="Times New Roman" w:hAnsi="Times New Roman"/>
          <w:b/>
          <w:sz w:val="24"/>
        </w:rPr>
        <w:t>3.3.4 Análisis de Sub-muestra Colombia (N=41)</w:t>
      </w:r>
    </w:p>
    <w:p>
      <w:pPr>
        <w:spacing w:line="360" w:lineRule="auto"/>
      </w:pPr>
    </w:p>
    <w:p>
      <w:pPr>
        <w:spacing w:line="360" w:lineRule="auto"/>
      </w:pPr>
      <w:r>
        <w:rPr>
          <w:rFonts w:ascii="Times New Roman" w:hAnsi="Times New Roman"/>
          <w:sz w:val="24"/>
        </w:rPr>
        <w:t>Dado que la sub-muestra colombiana es pequeña (N=41), no es posible estimar regresiones complejas con múltiples términos de interacción sin comprometer poder estadístico. Por el contrario, realizamos análisis correlacional-descriptivo para verificar si patrones TCP se replican en contexto específicamente colombiano.</w:t>
      </w:r>
    </w:p>
    <w:p>
      <w:pPr>
        <w:spacing w:line="360" w:lineRule="auto"/>
      </w:pPr>
    </w:p>
    <w:p>
      <w:pPr>
        <w:spacing w:line="360" w:lineRule="auto"/>
      </w:pPr>
      <w:r>
        <w:rPr>
          <w:rFonts w:ascii="Times New Roman" w:hAnsi="Times New Roman"/>
          <w:sz w:val="24"/>
        </w:rPr>
        <w:t>Correlaciones en sub-muestra Colombia:</w:t>
      </w:r>
    </w:p>
    <w:p>
      <w:pPr>
        <w:spacing w:line="360" w:lineRule="auto"/>
      </w:pP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360" w:lineRule="auto"/>
            </w:pPr>
            <w:r>
              <w:rPr>
                <w:rFonts w:ascii="Times New Roman" w:hAnsi="Times New Roman"/>
                <w:b/>
                <w:sz w:val="22"/>
              </w:rPr>
              <w:t>Predictor</w:t>
            </w:r>
          </w:p>
        </w:tc>
        <w:tc>
          <w:tcPr>
            <w:tcW w:type="dxa" w:w="2880"/>
          </w:tcPr>
          <w:p>
            <w:pPr>
              <w:spacing w:line="360" w:lineRule="auto"/>
            </w:pPr>
            <w:r>
              <w:rPr>
                <w:rFonts w:ascii="Times New Roman" w:hAnsi="Times New Roman"/>
                <w:b/>
                <w:sz w:val="22"/>
              </w:rPr>
              <w:t>r con IE</w:t>
            </w:r>
          </w:p>
        </w:tc>
        <w:tc>
          <w:tcPr>
            <w:tcW w:type="dxa" w:w="2880"/>
          </w:tcPr>
          <w:p>
            <w:pPr>
              <w:spacing w:line="360" w:lineRule="auto"/>
            </w:pPr>
            <w:r>
              <w:rPr>
                <w:rFonts w:ascii="Times New Roman" w:hAnsi="Times New Roman"/>
                <w:b/>
                <w:sz w:val="22"/>
              </w:rPr>
              <w:t>p</w:t>
            </w:r>
          </w:p>
        </w:tc>
      </w:tr>
      <w:tr>
        <w:tc>
          <w:tcPr>
            <w:tcW w:type="dxa" w:w="2880"/>
          </w:tcPr>
          <w:p>
            <w:pPr>
              <w:spacing w:line="360" w:lineRule="auto"/>
            </w:pPr>
            <w:r>
              <w:rPr>
                <w:rFonts w:ascii="Times New Roman" w:hAnsi="Times New Roman"/>
                <w:sz w:val="22"/>
              </w:rPr>
              <w:t>Actitud (AT)</w:t>
            </w:r>
          </w:p>
        </w:tc>
        <w:tc>
          <w:tcPr>
            <w:tcW w:type="dxa" w:w="2880"/>
          </w:tcPr>
          <w:p>
            <w:pPr>
              <w:spacing w:line="360" w:lineRule="auto"/>
            </w:pPr>
            <w:r>
              <w:rPr>
                <w:rFonts w:ascii="Times New Roman" w:hAnsi="Times New Roman"/>
                <w:sz w:val="22"/>
              </w:rPr>
              <w:t>0.61**</w:t>
            </w:r>
          </w:p>
        </w:tc>
        <w:tc>
          <w:tcPr>
            <w:tcW w:type="dxa" w:w="2880"/>
          </w:tcPr>
          <w:p>
            <w:pPr>
              <w:spacing w:line="360" w:lineRule="auto"/>
            </w:pPr>
            <w:r>
              <w:rPr>
                <w:rFonts w:ascii="Times New Roman" w:hAnsi="Times New Roman"/>
                <w:sz w:val="22"/>
              </w:rPr>
              <w:t>0.000</w:t>
            </w:r>
          </w:p>
        </w:tc>
      </w:tr>
      <w:tr>
        <w:tc>
          <w:tcPr>
            <w:tcW w:type="dxa" w:w="2880"/>
          </w:tcPr>
          <w:p>
            <w:pPr>
              <w:spacing w:line="360" w:lineRule="auto"/>
            </w:pPr>
            <w:r>
              <w:rPr>
                <w:rFonts w:ascii="Times New Roman" w:hAnsi="Times New Roman"/>
                <w:sz w:val="22"/>
              </w:rPr>
              <w:t>Normas Subjetivas (SN)</w:t>
            </w:r>
          </w:p>
        </w:tc>
        <w:tc>
          <w:tcPr>
            <w:tcW w:type="dxa" w:w="2880"/>
          </w:tcPr>
          <w:p>
            <w:pPr>
              <w:spacing w:line="360" w:lineRule="auto"/>
            </w:pPr>
            <w:r>
              <w:rPr>
                <w:rFonts w:ascii="Times New Roman" w:hAnsi="Times New Roman"/>
                <w:sz w:val="22"/>
              </w:rPr>
              <w:t>0.34*</w:t>
            </w:r>
          </w:p>
        </w:tc>
        <w:tc>
          <w:tcPr>
            <w:tcW w:type="dxa" w:w="2880"/>
          </w:tcPr>
          <w:p>
            <w:pPr>
              <w:spacing w:line="360" w:lineRule="auto"/>
            </w:pPr>
            <w:r>
              <w:rPr>
                <w:rFonts w:ascii="Times New Roman" w:hAnsi="Times New Roman"/>
                <w:sz w:val="22"/>
              </w:rPr>
              <w:t>0.031</w:t>
            </w:r>
          </w:p>
        </w:tc>
      </w:tr>
      <w:tr>
        <w:tc>
          <w:tcPr>
            <w:tcW w:type="dxa" w:w="2880"/>
          </w:tcPr>
          <w:p>
            <w:pPr>
              <w:spacing w:line="360" w:lineRule="auto"/>
            </w:pPr>
            <w:r>
              <w:rPr>
                <w:rFonts w:ascii="Times New Roman" w:hAnsi="Times New Roman"/>
                <w:sz w:val="22"/>
              </w:rPr>
              <w:t>Control Conductual (PBC)</w:t>
            </w:r>
          </w:p>
        </w:tc>
        <w:tc>
          <w:tcPr>
            <w:tcW w:type="dxa" w:w="2880"/>
          </w:tcPr>
          <w:p>
            <w:pPr>
              <w:spacing w:line="360" w:lineRule="auto"/>
            </w:pPr>
            <w:r>
              <w:rPr>
                <w:rFonts w:ascii="Times New Roman" w:hAnsi="Times New Roman"/>
                <w:sz w:val="22"/>
              </w:rPr>
              <w:t>0.52**</w:t>
            </w:r>
          </w:p>
        </w:tc>
        <w:tc>
          <w:tcPr>
            <w:tcW w:type="dxa" w:w="2880"/>
          </w:tcPr>
          <w:p>
            <w:pPr>
              <w:spacing w:line="360" w:lineRule="auto"/>
            </w:pPr>
            <w:r>
              <w:rPr>
                <w:rFonts w:ascii="Times New Roman" w:hAnsi="Times New Roman"/>
                <w:sz w:val="22"/>
              </w:rPr>
              <w:t>0.000</w:t>
            </w:r>
          </w:p>
        </w:tc>
      </w:tr>
      <w:tr>
        <w:tc>
          <w:tcPr>
            <w:tcW w:type="dxa" w:w="2880"/>
          </w:tcPr>
          <w:p>
            <w:pPr>
              <w:spacing w:line="360" w:lineRule="auto"/>
            </w:pPr>
            <w:r>
              <w:rPr>
                <w:rFonts w:ascii="Times New Roman" w:hAnsi="Times New Roman"/>
                <w:sz w:val="22"/>
              </w:rPr>
              <w:t>Conocimiento Ecosistema (FK)</w:t>
            </w:r>
          </w:p>
        </w:tc>
        <w:tc>
          <w:tcPr>
            <w:tcW w:type="dxa" w:w="2880"/>
          </w:tcPr>
          <w:p>
            <w:pPr>
              <w:spacing w:line="360" w:lineRule="auto"/>
            </w:pPr>
            <w:r>
              <w:rPr>
                <w:rFonts w:ascii="Times New Roman" w:hAnsi="Times New Roman"/>
                <w:sz w:val="22"/>
              </w:rPr>
              <w:t>0.48**</w:t>
            </w:r>
          </w:p>
        </w:tc>
        <w:tc>
          <w:tcPr>
            <w:tcW w:type="dxa" w:w="2880"/>
          </w:tcPr>
          <w:p>
            <w:pPr>
              <w:spacing w:line="360" w:lineRule="auto"/>
            </w:pPr>
            <w:r>
              <w:rPr>
                <w:rFonts w:ascii="Times New Roman" w:hAnsi="Times New Roman"/>
                <w:sz w:val="22"/>
              </w:rPr>
              <w:t>0.002</w:t>
            </w:r>
          </w:p>
        </w:tc>
      </w:tr>
      <w:tr>
        <w:tc>
          <w:tcPr>
            <w:tcW w:type="dxa" w:w="2880"/>
          </w:tcPr>
          <w:p>
            <w:pPr>
              <w:spacing w:line="360" w:lineRule="auto"/>
            </w:pPr>
            <w:r>
              <w:rPr>
                <w:rFonts w:ascii="Times New Roman" w:hAnsi="Times New Roman"/>
                <w:sz w:val="22"/>
              </w:rPr>
              <w:t>Alfabetización Financiera (FL)</w:t>
            </w:r>
          </w:p>
        </w:tc>
        <w:tc>
          <w:tcPr>
            <w:tcW w:type="dxa" w:w="2880"/>
          </w:tcPr>
          <w:p>
            <w:pPr>
              <w:spacing w:line="360" w:lineRule="auto"/>
            </w:pPr>
            <w:r>
              <w:rPr>
                <w:rFonts w:ascii="Times New Roman" w:hAnsi="Times New Roman"/>
                <w:sz w:val="22"/>
              </w:rPr>
              <w:t>0.31*</w:t>
            </w:r>
          </w:p>
        </w:tc>
        <w:tc>
          <w:tcPr>
            <w:tcW w:type="dxa" w:w="2880"/>
          </w:tcPr>
          <w:p>
            <w:pPr>
              <w:spacing w:line="360" w:lineRule="auto"/>
            </w:pPr>
            <w:r>
              <w:rPr>
                <w:rFonts w:ascii="Times New Roman" w:hAnsi="Times New Roman"/>
                <w:sz w:val="22"/>
              </w:rPr>
              <w:t>0.053</w:t>
            </w:r>
          </w:p>
        </w:tc>
      </w:tr>
      <w:tr>
        <w:tc>
          <w:tcPr>
            <w:tcW w:type="dxa" w:w="2880"/>
          </w:tcPr>
          <w:p>
            <w:pPr>
              <w:spacing w:line="360" w:lineRule="auto"/>
            </w:pPr>
            <w:r>
              <w:rPr>
                <w:rFonts w:ascii="Times New Roman" w:hAnsi="Times New Roman"/>
                <w:sz w:val="22"/>
              </w:rPr>
              <w:t>Desarrollo Institucional (U-D)</w:t>
            </w:r>
          </w:p>
        </w:tc>
        <w:tc>
          <w:tcPr>
            <w:tcW w:type="dxa" w:w="2880"/>
          </w:tcPr>
          <w:p>
            <w:pPr>
              <w:spacing w:line="360" w:lineRule="auto"/>
            </w:pPr>
            <w:r>
              <w:rPr>
                <w:rFonts w:ascii="Times New Roman" w:hAnsi="Times New Roman"/>
                <w:sz w:val="22"/>
              </w:rPr>
              <w:t>0.56**</w:t>
            </w:r>
          </w:p>
        </w:tc>
        <w:tc>
          <w:tcPr>
            <w:tcW w:type="dxa" w:w="2880"/>
          </w:tcPr>
          <w:p>
            <w:pPr>
              <w:spacing w:line="360" w:lineRule="auto"/>
            </w:pPr>
            <w:r>
              <w:rPr>
                <w:rFonts w:ascii="Times New Roman" w:hAnsi="Times New Roman"/>
                <w:sz w:val="22"/>
              </w:rPr>
              <w:t>0.000</w:t>
            </w:r>
          </w:p>
        </w:tc>
      </w:tr>
      <w:tr>
        <w:tc>
          <w:tcPr>
            <w:tcW w:type="dxa" w:w="2880"/>
          </w:tcPr>
          <w:p>
            <w:pPr>
              <w:spacing w:line="360" w:lineRule="auto"/>
            </w:pPr>
            <w:r>
              <w:rPr>
                <w:rFonts w:ascii="Times New Roman" w:hAnsi="Times New Roman"/>
                <w:sz w:val="22"/>
              </w:rPr>
              <w:t>Apoyo Académico (U-AS)</w:t>
            </w:r>
          </w:p>
        </w:tc>
        <w:tc>
          <w:tcPr>
            <w:tcW w:type="dxa" w:w="2880"/>
          </w:tcPr>
          <w:p>
            <w:pPr>
              <w:spacing w:line="360" w:lineRule="auto"/>
            </w:pPr>
            <w:r>
              <w:rPr>
                <w:rFonts w:ascii="Times New Roman" w:hAnsi="Times New Roman"/>
                <w:sz w:val="22"/>
              </w:rPr>
              <w:t>0.53**</w:t>
            </w:r>
          </w:p>
        </w:tc>
        <w:tc>
          <w:tcPr>
            <w:tcW w:type="dxa" w:w="2880"/>
          </w:tcPr>
          <w:p>
            <w:pPr>
              <w:spacing w:line="360" w:lineRule="auto"/>
            </w:pPr>
            <w:r>
              <w:rPr>
                <w:rFonts w:ascii="Times New Roman" w:hAnsi="Times New Roman"/>
                <w:sz w:val="22"/>
              </w:rPr>
              <w:t>0.000</w:t>
            </w:r>
          </w:p>
        </w:tc>
      </w:tr>
      <w:tr>
        <w:tc>
          <w:tcPr>
            <w:tcW w:type="dxa" w:w="2880"/>
          </w:tcPr>
          <w:p>
            <w:pPr>
              <w:spacing w:line="360" w:lineRule="auto"/>
            </w:pPr>
            <w:r>
              <w:rPr>
                <w:rFonts w:ascii="Times New Roman" w:hAnsi="Times New Roman"/>
                <w:sz w:val="22"/>
              </w:rPr>
              <w:t>Clima Aprendizaje (LC)</w:t>
            </w:r>
          </w:p>
        </w:tc>
        <w:tc>
          <w:tcPr>
            <w:tcW w:type="dxa" w:w="2880"/>
          </w:tcPr>
          <w:p>
            <w:pPr>
              <w:spacing w:line="360" w:lineRule="auto"/>
            </w:pPr>
            <w:r>
              <w:rPr>
                <w:rFonts w:ascii="Times New Roman" w:hAnsi="Times New Roman"/>
                <w:sz w:val="22"/>
              </w:rPr>
              <w:t>0.41*</w:t>
            </w:r>
          </w:p>
        </w:tc>
        <w:tc>
          <w:tcPr>
            <w:tcW w:type="dxa" w:w="2880"/>
          </w:tcPr>
          <w:p>
            <w:pPr>
              <w:spacing w:line="360" w:lineRule="auto"/>
            </w:pPr>
            <w:r>
              <w:rPr>
                <w:rFonts w:ascii="Times New Roman" w:hAnsi="Times New Roman"/>
                <w:sz w:val="22"/>
              </w:rPr>
              <w:t>0.010</w:t>
            </w:r>
          </w:p>
        </w:tc>
      </w:tr>
    </w:tbl>
    <w:p>
      <w:pPr>
        <w:spacing w:line="360" w:lineRule="auto"/>
      </w:pPr>
    </w:p>
    <w:p>
      <w:pPr>
        <w:spacing w:line="360" w:lineRule="auto"/>
      </w:pPr>
      <w:r>
        <w:rPr>
          <w:rFonts w:ascii="Times New Roman" w:hAnsi="Times New Roman"/>
          <w:sz w:val="24"/>
        </w:rPr>
        <w:t>(, p&lt;0.05; , p&lt;0.01)</w:t>
      </w:r>
    </w:p>
    <w:p>
      <w:pPr>
        <w:spacing w:line="360" w:lineRule="auto"/>
      </w:pPr>
    </w:p>
    <w:p>
      <w:pPr>
        <w:spacing w:line="360" w:lineRule="auto"/>
      </w:pPr>
      <w:r>
        <w:rPr>
          <w:rFonts w:ascii="Times New Roman" w:hAnsi="Times New Roman"/>
          <w:sz w:val="24"/>
        </w:rPr>
        <w:t>Análisis descriptivo comparativo:</w:t>
      </w:r>
    </w:p>
    <w:p>
      <w:pPr>
        <w:spacing w:line="360" w:lineRule="auto"/>
      </w:pPr>
    </w:p>
    <w:p>
      <w:pPr>
        <w:spacing w:line="360" w:lineRule="auto"/>
      </w:pPr>
      <w:r>
        <w:rPr>
          <w:rFonts w:ascii="Times New Roman" w:hAnsi="Times New Roman"/>
          <w:sz w:val="24"/>
        </w:rPr>
        <w:t>Se compararon medias de variables clave entre muestra colombiana (N=41) y muestra global (N=540) usando prueba t de dos muestras:</w:t>
      </w:r>
    </w:p>
    <w:p>
      <w:pPr>
        <w:spacing w:line="360" w:lineRule="auto"/>
      </w:pP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360" w:lineRule="auto"/>
            </w:pPr>
            <w:r>
              <w:rPr>
                <w:rFonts w:ascii="Times New Roman" w:hAnsi="Times New Roman"/>
                <w:b/>
                <w:sz w:val="22"/>
              </w:rPr>
              <w:t>Variable</w:t>
            </w:r>
          </w:p>
        </w:tc>
        <w:tc>
          <w:tcPr>
            <w:tcW w:type="dxa" w:w="1440"/>
          </w:tcPr>
          <w:p>
            <w:pPr>
              <w:spacing w:line="360" w:lineRule="auto"/>
            </w:pPr>
            <w:r>
              <w:rPr>
                <w:rFonts w:ascii="Times New Roman" w:hAnsi="Times New Roman"/>
                <w:b/>
                <w:sz w:val="22"/>
              </w:rPr>
              <w:t>Colombia M (DE)</w:t>
            </w:r>
          </w:p>
        </w:tc>
        <w:tc>
          <w:tcPr>
            <w:tcW w:type="dxa" w:w="1440"/>
          </w:tcPr>
          <w:p>
            <w:pPr>
              <w:spacing w:line="360" w:lineRule="auto"/>
            </w:pPr>
            <w:r>
              <w:rPr>
                <w:rFonts w:ascii="Times New Roman" w:hAnsi="Times New Roman"/>
                <w:b/>
                <w:sz w:val="22"/>
              </w:rPr>
              <w:t>Global M (DE)</w:t>
            </w:r>
          </w:p>
        </w:tc>
        <w:tc>
          <w:tcPr>
            <w:tcW w:type="dxa" w:w="1440"/>
          </w:tcPr>
          <w:p>
            <w:pPr>
              <w:spacing w:line="360" w:lineRule="auto"/>
            </w:pPr>
            <w:r>
              <w:rPr>
                <w:rFonts w:ascii="Times New Roman" w:hAnsi="Times New Roman"/>
                <w:b/>
                <w:sz w:val="22"/>
              </w:rPr>
              <w:t>t</w:t>
            </w:r>
          </w:p>
        </w:tc>
        <w:tc>
          <w:tcPr>
            <w:tcW w:type="dxa" w:w="1440"/>
          </w:tcPr>
          <w:p>
            <w:pPr>
              <w:spacing w:line="360" w:lineRule="auto"/>
            </w:pPr>
            <w:r>
              <w:rPr>
                <w:rFonts w:ascii="Times New Roman" w:hAnsi="Times New Roman"/>
                <w:b/>
                <w:sz w:val="22"/>
              </w:rPr>
              <w:t>p</w:t>
            </w:r>
          </w:p>
        </w:tc>
        <w:tc>
          <w:tcPr>
            <w:tcW w:type="dxa" w:w="1440"/>
          </w:tcPr>
          <w:p>
            <w:pPr>
              <w:spacing w:line="360" w:lineRule="auto"/>
            </w:pPr>
            <w:r>
              <w:rPr>
                <w:rFonts w:ascii="Times New Roman" w:hAnsi="Times New Roman"/>
                <w:b/>
                <w:sz w:val="22"/>
              </w:rPr>
              <w:t>Conclusión</w:t>
            </w:r>
          </w:p>
        </w:tc>
      </w:tr>
      <w:tr>
        <w:tc>
          <w:tcPr>
            <w:tcW w:type="dxa" w:w="1440"/>
          </w:tcPr>
          <w:p>
            <w:pPr>
              <w:spacing w:line="360" w:lineRule="auto"/>
            </w:pPr>
            <w:r>
              <w:rPr>
                <w:rFonts w:ascii="Times New Roman" w:hAnsi="Times New Roman"/>
                <w:sz w:val="22"/>
              </w:rPr>
              <w:t>Intención</w:t>
            </w:r>
          </w:p>
        </w:tc>
        <w:tc>
          <w:tcPr>
            <w:tcW w:type="dxa" w:w="1440"/>
          </w:tcPr>
          <w:p>
            <w:pPr>
              <w:spacing w:line="360" w:lineRule="auto"/>
            </w:pPr>
            <w:r>
              <w:rPr>
                <w:rFonts w:ascii="Times New Roman" w:hAnsi="Times New Roman"/>
                <w:sz w:val="22"/>
              </w:rPr>
              <w:t>3.44 (1.89)</w:t>
            </w:r>
          </w:p>
        </w:tc>
        <w:tc>
          <w:tcPr>
            <w:tcW w:type="dxa" w:w="1440"/>
          </w:tcPr>
          <w:p>
            <w:pPr>
              <w:spacing w:line="360" w:lineRule="auto"/>
            </w:pPr>
            <w:r>
              <w:rPr>
                <w:rFonts w:ascii="Times New Roman" w:hAnsi="Times New Roman"/>
                <w:sz w:val="22"/>
              </w:rPr>
              <w:t>3.68 (1.92)</w:t>
            </w:r>
          </w:p>
        </w:tc>
        <w:tc>
          <w:tcPr>
            <w:tcW w:type="dxa" w:w="1440"/>
          </w:tcPr>
          <w:p>
            <w:pPr>
              <w:spacing w:line="360" w:lineRule="auto"/>
            </w:pPr>
            <w:r>
              <w:rPr>
                <w:rFonts w:ascii="Times New Roman" w:hAnsi="Times New Roman"/>
                <w:sz w:val="22"/>
              </w:rPr>
              <w:t>-0.67</w:t>
            </w:r>
          </w:p>
        </w:tc>
        <w:tc>
          <w:tcPr>
            <w:tcW w:type="dxa" w:w="1440"/>
          </w:tcPr>
          <w:p>
            <w:pPr>
              <w:spacing w:line="360" w:lineRule="auto"/>
            </w:pPr>
            <w:r>
              <w:rPr>
                <w:rFonts w:ascii="Times New Roman" w:hAnsi="Times New Roman"/>
                <w:sz w:val="22"/>
              </w:rPr>
              <w:t>0.503</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Actitud</w:t>
            </w:r>
          </w:p>
        </w:tc>
        <w:tc>
          <w:tcPr>
            <w:tcW w:type="dxa" w:w="1440"/>
          </w:tcPr>
          <w:p>
            <w:pPr>
              <w:spacing w:line="360" w:lineRule="auto"/>
            </w:pPr>
            <w:r>
              <w:rPr>
                <w:rFonts w:ascii="Times New Roman" w:hAnsi="Times New Roman"/>
                <w:sz w:val="22"/>
              </w:rPr>
              <w:t>4.89 (1.58)</w:t>
            </w:r>
          </w:p>
        </w:tc>
        <w:tc>
          <w:tcPr>
            <w:tcW w:type="dxa" w:w="1440"/>
          </w:tcPr>
          <w:p>
            <w:pPr>
              <w:spacing w:line="360" w:lineRule="auto"/>
            </w:pPr>
            <w:r>
              <w:rPr>
                <w:rFonts w:ascii="Times New Roman" w:hAnsi="Times New Roman"/>
                <w:sz w:val="22"/>
              </w:rPr>
              <w:t>5.12 (1.45)</w:t>
            </w:r>
          </w:p>
        </w:tc>
        <w:tc>
          <w:tcPr>
            <w:tcW w:type="dxa" w:w="1440"/>
          </w:tcPr>
          <w:p>
            <w:pPr>
              <w:spacing w:line="360" w:lineRule="auto"/>
            </w:pPr>
            <w:r>
              <w:rPr>
                <w:rFonts w:ascii="Times New Roman" w:hAnsi="Times New Roman"/>
                <w:sz w:val="22"/>
              </w:rPr>
              <w:t>-0.81</w:t>
            </w:r>
          </w:p>
        </w:tc>
        <w:tc>
          <w:tcPr>
            <w:tcW w:type="dxa" w:w="1440"/>
          </w:tcPr>
          <w:p>
            <w:pPr>
              <w:spacing w:line="360" w:lineRule="auto"/>
            </w:pPr>
            <w:r>
              <w:rPr>
                <w:rFonts w:ascii="Times New Roman" w:hAnsi="Times New Roman"/>
                <w:sz w:val="22"/>
              </w:rPr>
              <w:t>0.418</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Control (PBC)</w:t>
            </w:r>
          </w:p>
        </w:tc>
        <w:tc>
          <w:tcPr>
            <w:tcW w:type="dxa" w:w="1440"/>
          </w:tcPr>
          <w:p>
            <w:pPr>
              <w:spacing w:line="360" w:lineRule="auto"/>
            </w:pPr>
            <w:r>
              <w:rPr>
                <w:rFonts w:ascii="Times New Roman" w:hAnsi="Times New Roman"/>
                <w:sz w:val="22"/>
              </w:rPr>
              <w:t>4.18 (1.72)</w:t>
            </w:r>
          </w:p>
        </w:tc>
        <w:tc>
          <w:tcPr>
            <w:tcW w:type="dxa" w:w="1440"/>
          </w:tcPr>
          <w:p>
            <w:pPr>
              <w:spacing w:line="360" w:lineRule="auto"/>
            </w:pPr>
            <w:r>
              <w:rPr>
                <w:rFonts w:ascii="Times New Roman" w:hAnsi="Times New Roman"/>
                <w:sz w:val="22"/>
              </w:rPr>
              <w:t>4.52 (1.51)</w:t>
            </w:r>
          </w:p>
        </w:tc>
        <w:tc>
          <w:tcPr>
            <w:tcW w:type="dxa" w:w="1440"/>
          </w:tcPr>
          <w:p>
            <w:pPr>
              <w:spacing w:line="360" w:lineRule="auto"/>
            </w:pPr>
            <w:r>
              <w:rPr>
                <w:rFonts w:ascii="Times New Roman" w:hAnsi="Times New Roman"/>
                <w:sz w:val="22"/>
              </w:rPr>
              <w:t>-1.10</w:t>
            </w:r>
          </w:p>
        </w:tc>
        <w:tc>
          <w:tcPr>
            <w:tcW w:type="dxa" w:w="1440"/>
          </w:tcPr>
          <w:p>
            <w:pPr>
              <w:spacing w:line="360" w:lineRule="auto"/>
            </w:pPr>
            <w:r>
              <w:rPr>
                <w:rFonts w:ascii="Times New Roman" w:hAnsi="Times New Roman"/>
                <w:sz w:val="22"/>
              </w:rPr>
              <w:t>0.271</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Normas</w:t>
            </w:r>
          </w:p>
        </w:tc>
        <w:tc>
          <w:tcPr>
            <w:tcW w:type="dxa" w:w="1440"/>
          </w:tcPr>
          <w:p>
            <w:pPr>
              <w:spacing w:line="360" w:lineRule="auto"/>
            </w:pPr>
            <w:r>
              <w:rPr>
                <w:rFonts w:ascii="Times New Roman" w:hAnsi="Times New Roman"/>
                <w:sz w:val="22"/>
              </w:rPr>
              <w:t>4.01 (1.71)</w:t>
            </w:r>
          </w:p>
        </w:tc>
        <w:tc>
          <w:tcPr>
            <w:tcW w:type="dxa" w:w="1440"/>
          </w:tcPr>
          <w:p>
            <w:pPr>
              <w:spacing w:line="360" w:lineRule="auto"/>
            </w:pPr>
            <w:r>
              <w:rPr>
                <w:rFonts w:ascii="Times New Roman" w:hAnsi="Times New Roman"/>
                <w:sz w:val="22"/>
              </w:rPr>
              <w:t>4.23 (1.58)</w:t>
            </w:r>
          </w:p>
        </w:tc>
        <w:tc>
          <w:tcPr>
            <w:tcW w:type="dxa" w:w="1440"/>
          </w:tcPr>
          <w:p>
            <w:pPr>
              <w:spacing w:line="360" w:lineRule="auto"/>
            </w:pPr>
            <w:r>
              <w:rPr>
                <w:rFonts w:ascii="Times New Roman" w:hAnsi="Times New Roman"/>
                <w:sz w:val="22"/>
              </w:rPr>
              <w:t>-0.74</w:t>
            </w:r>
          </w:p>
        </w:tc>
        <w:tc>
          <w:tcPr>
            <w:tcW w:type="dxa" w:w="1440"/>
          </w:tcPr>
          <w:p>
            <w:pPr>
              <w:spacing w:line="360" w:lineRule="auto"/>
            </w:pPr>
            <w:r>
              <w:rPr>
                <w:rFonts w:ascii="Times New Roman" w:hAnsi="Times New Roman"/>
                <w:sz w:val="22"/>
              </w:rPr>
              <w:t>0.461</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FK</w:t>
            </w:r>
          </w:p>
        </w:tc>
        <w:tc>
          <w:tcPr>
            <w:tcW w:type="dxa" w:w="1440"/>
          </w:tcPr>
          <w:p>
            <w:pPr>
              <w:spacing w:line="360" w:lineRule="auto"/>
            </w:pPr>
            <w:r>
              <w:rPr>
                <w:rFonts w:ascii="Times New Roman" w:hAnsi="Times New Roman"/>
                <w:sz w:val="22"/>
              </w:rPr>
              <w:t>3.56 (1.72)</w:t>
            </w:r>
          </w:p>
        </w:tc>
        <w:tc>
          <w:tcPr>
            <w:tcW w:type="dxa" w:w="1440"/>
          </w:tcPr>
          <w:p>
            <w:pPr>
              <w:spacing w:line="360" w:lineRule="auto"/>
            </w:pPr>
            <w:r>
              <w:rPr>
                <w:rFonts w:ascii="Times New Roman" w:hAnsi="Times New Roman"/>
                <w:sz w:val="22"/>
              </w:rPr>
              <w:t>3.94 (1.67)</w:t>
            </w:r>
          </w:p>
        </w:tc>
        <w:tc>
          <w:tcPr>
            <w:tcW w:type="dxa" w:w="1440"/>
          </w:tcPr>
          <w:p>
            <w:pPr>
              <w:spacing w:line="360" w:lineRule="auto"/>
            </w:pPr>
            <w:r>
              <w:rPr>
                <w:rFonts w:ascii="Times New Roman" w:hAnsi="Times New Roman"/>
                <w:sz w:val="22"/>
              </w:rPr>
              <w:t>-1.18</w:t>
            </w:r>
          </w:p>
        </w:tc>
        <w:tc>
          <w:tcPr>
            <w:tcW w:type="dxa" w:w="1440"/>
          </w:tcPr>
          <w:p>
            <w:pPr>
              <w:spacing w:line="360" w:lineRule="auto"/>
            </w:pPr>
            <w:r>
              <w:rPr>
                <w:rFonts w:ascii="Times New Roman" w:hAnsi="Times New Roman"/>
                <w:sz w:val="22"/>
              </w:rPr>
              <w:t>0.238</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FL</w:t>
            </w:r>
          </w:p>
        </w:tc>
        <w:tc>
          <w:tcPr>
            <w:tcW w:type="dxa" w:w="1440"/>
          </w:tcPr>
          <w:p>
            <w:pPr>
              <w:spacing w:line="360" w:lineRule="auto"/>
            </w:pPr>
            <w:r>
              <w:rPr>
                <w:rFonts w:ascii="Times New Roman" w:hAnsi="Times New Roman"/>
                <w:sz w:val="22"/>
              </w:rPr>
              <w:t>3.78 (1.58)</w:t>
            </w:r>
          </w:p>
        </w:tc>
        <w:tc>
          <w:tcPr>
            <w:tcW w:type="dxa" w:w="1440"/>
          </w:tcPr>
          <w:p>
            <w:pPr>
              <w:spacing w:line="360" w:lineRule="auto"/>
            </w:pPr>
            <w:r>
              <w:rPr>
                <w:rFonts w:ascii="Times New Roman" w:hAnsi="Times New Roman"/>
                <w:sz w:val="22"/>
              </w:rPr>
              <w:t>4.01 (1.54)</w:t>
            </w:r>
          </w:p>
        </w:tc>
        <w:tc>
          <w:tcPr>
            <w:tcW w:type="dxa" w:w="1440"/>
          </w:tcPr>
          <w:p>
            <w:pPr>
              <w:spacing w:line="360" w:lineRule="auto"/>
            </w:pPr>
            <w:r>
              <w:rPr>
                <w:rFonts w:ascii="Times New Roman" w:hAnsi="Times New Roman"/>
                <w:sz w:val="22"/>
              </w:rPr>
              <w:t>-0.78</w:t>
            </w:r>
          </w:p>
        </w:tc>
        <w:tc>
          <w:tcPr>
            <w:tcW w:type="dxa" w:w="1440"/>
          </w:tcPr>
          <w:p>
            <w:pPr>
              <w:spacing w:line="360" w:lineRule="auto"/>
            </w:pPr>
            <w:r>
              <w:rPr>
                <w:rFonts w:ascii="Times New Roman" w:hAnsi="Times New Roman"/>
                <w:sz w:val="22"/>
              </w:rPr>
              <w:t>0.437</w:t>
            </w:r>
          </w:p>
        </w:tc>
        <w:tc>
          <w:tcPr>
            <w:tcW w:type="dxa" w:w="1440"/>
          </w:tcPr>
          <w:p>
            <w:pPr>
              <w:spacing w:line="360" w:lineRule="auto"/>
            </w:pPr>
            <w:r>
              <w:rPr>
                <w:rFonts w:ascii="Times New Roman" w:hAnsi="Times New Roman"/>
                <w:sz w:val="22"/>
              </w:rPr>
              <w:t>No significativa</w:t>
            </w:r>
          </w:p>
        </w:tc>
      </w:tr>
      <w:tr>
        <w:tc>
          <w:tcPr>
            <w:tcW w:type="dxa" w:w="1440"/>
          </w:tcPr>
          <w:p>
            <w:pPr>
              <w:spacing w:line="360" w:lineRule="auto"/>
            </w:pPr>
            <w:r>
              <w:rPr>
                <w:rFonts w:ascii="Times New Roman" w:hAnsi="Times New Roman"/>
                <w:sz w:val="22"/>
              </w:rPr>
              <w:t>Desarrollo</w:t>
            </w:r>
          </w:p>
        </w:tc>
        <w:tc>
          <w:tcPr>
            <w:tcW w:type="dxa" w:w="1440"/>
          </w:tcPr>
          <w:p>
            <w:pPr>
              <w:spacing w:line="360" w:lineRule="auto"/>
            </w:pPr>
            <w:r>
              <w:rPr>
                <w:rFonts w:ascii="Times New Roman" w:hAnsi="Times New Roman"/>
                <w:sz w:val="22"/>
              </w:rPr>
              <w:t>4.22 (1.63)</w:t>
            </w:r>
          </w:p>
        </w:tc>
        <w:tc>
          <w:tcPr>
            <w:tcW w:type="dxa" w:w="1440"/>
          </w:tcPr>
          <w:p>
            <w:pPr>
              <w:spacing w:line="360" w:lineRule="auto"/>
            </w:pPr>
            <w:r>
              <w:rPr>
                <w:rFonts w:ascii="Times New Roman" w:hAnsi="Times New Roman"/>
                <w:sz w:val="22"/>
              </w:rPr>
              <w:t>4.35 (1.59)</w:t>
            </w:r>
          </w:p>
        </w:tc>
        <w:tc>
          <w:tcPr>
            <w:tcW w:type="dxa" w:w="1440"/>
          </w:tcPr>
          <w:p>
            <w:pPr>
              <w:spacing w:line="360" w:lineRule="auto"/>
            </w:pPr>
            <w:r>
              <w:rPr>
                <w:rFonts w:ascii="Times New Roman" w:hAnsi="Times New Roman"/>
                <w:sz w:val="22"/>
              </w:rPr>
              <w:t>-0.41</w:t>
            </w:r>
          </w:p>
        </w:tc>
        <w:tc>
          <w:tcPr>
            <w:tcW w:type="dxa" w:w="1440"/>
          </w:tcPr>
          <w:p>
            <w:pPr>
              <w:spacing w:line="360" w:lineRule="auto"/>
            </w:pPr>
            <w:r>
              <w:rPr>
                <w:rFonts w:ascii="Times New Roman" w:hAnsi="Times New Roman"/>
                <w:sz w:val="22"/>
              </w:rPr>
              <w:t>0.681</w:t>
            </w:r>
          </w:p>
        </w:tc>
        <w:tc>
          <w:tcPr>
            <w:tcW w:type="dxa" w:w="1440"/>
          </w:tcPr>
          <w:p>
            <w:pPr>
              <w:spacing w:line="360" w:lineRule="auto"/>
            </w:pPr>
            <w:r>
              <w:rPr>
                <w:rFonts w:ascii="Times New Roman" w:hAnsi="Times New Roman"/>
                <w:sz w:val="22"/>
              </w:rPr>
              <w:t>No significativa</w:t>
            </w:r>
          </w:p>
        </w:tc>
      </w:tr>
    </w:tbl>
    <w:p>
      <w:pPr>
        <w:spacing w:line="360" w:lineRule="auto"/>
      </w:pPr>
    </w:p>
    <w:p>
      <w:pPr>
        <w:spacing w:line="360" w:lineRule="auto"/>
      </w:pPr>
      <w:r>
        <w:rPr>
          <w:rFonts w:ascii="Times New Roman" w:hAnsi="Times New Roman"/>
          <w:sz w:val="24"/>
        </w:rPr>
        <w:t>Hallazgo importante: No hay diferencias significativas en perfiles de intención, componentes TCP, o moderadores entre muestra colombiana y global (todos p&gt;0.05). Esto sugiere que patrones de formación de intención son comparables, justificando la interpretación de resultados multivariados como aplicables también a contexto colombiano dentro del rango de datos disponibles.</w:t>
      </w:r>
    </w:p>
    <w:p>
      <w:pPr>
        <w:spacing w:line="360" w:lineRule="auto"/>
      </w:pPr>
    </w:p>
    <w:p>
      <w:pPr>
        <w:spacing w:line="360" w:lineRule="auto"/>
      </w:pPr>
      <w:r>
        <w:rPr>
          <w:rFonts w:ascii="Times New Roman" w:hAnsi="Times New Roman"/>
          <w:sz w:val="24"/>
        </w:rPr>
        <w:t>Regresión simplificada en Colombia (N=41):</w:t>
      </w:r>
    </w:p>
    <w:p>
      <w:pPr>
        <w:spacing w:line="360" w:lineRule="auto"/>
      </w:pPr>
    </w:p>
    <w:p>
      <w:pPr>
        <w:spacing w:line="360" w:lineRule="auto"/>
      </w:pPr>
      <w:r>
        <w:rPr>
          <w:rFonts w:ascii="Times New Roman" w:hAnsi="Times New Roman"/>
          <w:sz w:val="24"/>
        </w:rPr>
        <w:t>Dado el tamaño de muestra, estimamos una regresión reducida con solo componentes TCP (modelos más parsimoniosos requieren pocas variables):</w:t>
      </w:r>
    </w:p>
    <w:p>
      <w:pPr>
        <w:spacing w:line="360" w:lineRule="auto"/>
      </w:pPr>
    </w:p>
    <w:p>
      <w:pPr>
        <w:spacing w:line="360" w:lineRule="auto"/>
      </w:pPr>
      <w:r>
        <w:rPr>
          <w:rFonts w:ascii="Times New Roman" w:hAnsi="Times New Roman"/>
          <w:sz w:val="24"/>
        </w:rPr>
        <w:t>[Ecuación]</w:t>
      </w:r>
    </w:p>
    <w:p>
      <w:pPr>
        <w:spacing w:line="360" w:lineRule="auto"/>
      </w:pPr>
    </w:p>
    <w:p>
      <w:pPr>
        <w:spacing w:line="360" w:lineRule="auto"/>
      </w:pPr>
      <w:r>
        <w:rPr>
          <w:rFonts w:ascii="Times New Roman" w:hAnsi="Times New Roman"/>
          <w:sz w:val="24"/>
        </w:rPr>
        <w:t>(omitimos SN debido a poder limitado y porque su efecto es débil en modelo 3)</w:t>
      </w:r>
    </w:p>
    <w:p>
      <w:pPr>
        <w:spacing w:line="360" w:lineRule="auto"/>
      </w:pPr>
    </w:p>
    <w:p>
      <w:pPr>
        <w:spacing w:line="360" w:lineRule="auto"/>
      </w:pPr>
      <w:r>
        <w:rPr>
          <w:rFonts w:ascii="Times New Roman" w:hAnsi="Times New Roman"/>
          <w:sz w:val="24"/>
        </w:rPr>
        <w:t>Resultados:</w:t>
      </w:r>
    </w:p>
    <w:p>
      <w:pPr>
        <w:spacing w:line="360" w:lineRule="auto"/>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pPr>
            <w:r>
              <w:rPr>
                <w:rFonts w:ascii="Times New Roman" w:hAnsi="Times New Roman"/>
                <w:b/>
                <w:sz w:val="22"/>
              </w:rPr>
              <w:t>Predictor</w:t>
            </w:r>
          </w:p>
        </w:tc>
        <w:tc>
          <w:tcPr>
            <w:tcW w:type="dxa" w:w="1728"/>
          </w:tcPr>
          <w:p>
            <w:pPr>
              <w:spacing w:line="360" w:lineRule="auto"/>
            </w:pPr>
            <w:r>
              <w:rPr>
                <w:rFonts w:ascii="Times New Roman" w:hAnsi="Times New Roman"/>
                <w:b/>
                <w:sz w:val="22"/>
              </w:rPr>
              <w:t>β</w:t>
            </w:r>
          </w:p>
        </w:tc>
        <w:tc>
          <w:tcPr>
            <w:tcW w:type="dxa" w:w="1728"/>
          </w:tcPr>
          <w:p>
            <w:pPr>
              <w:spacing w:line="360" w:lineRule="auto"/>
            </w:pPr>
            <w:r>
              <w:rPr>
                <w:rFonts w:ascii="Times New Roman" w:hAnsi="Times New Roman"/>
                <w:b/>
                <w:sz w:val="22"/>
              </w:rPr>
              <w:t>EE</w:t>
            </w:r>
          </w:p>
        </w:tc>
        <w:tc>
          <w:tcPr>
            <w:tcW w:type="dxa" w:w="1728"/>
          </w:tcPr>
          <w:p>
            <w:pPr>
              <w:spacing w:line="360" w:lineRule="auto"/>
            </w:pPr>
            <w:r>
              <w:rPr>
                <w:rFonts w:ascii="Times New Roman" w:hAnsi="Times New Roman"/>
                <w:b/>
                <w:sz w:val="22"/>
              </w:rPr>
              <w:t>t</w:t>
            </w:r>
          </w:p>
        </w:tc>
        <w:tc>
          <w:tcPr>
            <w:tcW w:type="dxa" w:w="1728"/>
          </w:tcPr>
          <w:p>
            <w:pPr>
              <w:spacing w:line="360" w:lineRule="auto"/>
            </w:pPr>
            <w:r>
              <w:rPr>
                <w:rFonts w:ascii="Times New Roman" w:hAnsi="Times New Roman"/>
                <w:b/>
                <w:sz w:val="22"/>
              </w:rPr>
              <w:t>p</w:t>
            </w:r>
          </w:p>
        </w:tc>
      </w:tr>
      <w:tr>
        <w:tc>
          <w:tcPr>
            <w:tcW w:type="dxa" w:w="1728"/>
          </w:tcPr>
          <w:p>
            <w:pPr>
              <w:spacing w:line="360" w:lineRule="auto"/>
            </w:pPr>
            <w:r>
              <w:rPr>
                <w:rFonts w:ascii="Times New Roman" w:hAnsi="Times New Roman"/>
                <w:sz w:val="22"/>
              </w:rPr>
              <w:t>Actitud</w:t>
            </w:r>
          </w:p>
        </w:tc>
        <w:tc>
          <w:tcPr>
            <w:tcW w:type="dxa" w:w="1728"/>
          </w:tcPr>
          <w:p>
            <w:pPr>
              <w:spacing w:line="360" w:lineRule="auto"/>
            </w:pPr>
            <w:r>
              <w:rPr>
                <w:rFonts w:ascii="Times New Roman" w:hAnsi="Times New Roman"/>
                <w:sz w:val="22"/>
              </w:rPr>
              <w:t>0.498</w:t>
            </w:r>
          </w:p>
        </w:tc>
        <w:tc>
          <w:tcPr>
            <w:tcW w:type="dxa" w:w="1728"/>
          </w:tcPr>
          <w:p>
            <w:pPr>
              <w:spacing w:line="360" w:lineRule="auto"/>
            </w:pPr>
            <w:r>
              <w:rPr>
                <w:rFonts w:ascii="Times New Roman" w:hAnsi="Times New Roman"/>
                <w:sz w:val="22"/>
              </w:rPr>
              <w:t>0.118</w:t>
            </w:r>
          </w:p>
        </w:tc>
        <w:tc>
          <w:tcPr>
            <w:tcW w:type="dxa" w:w="1728"/>
          </w:tcPr>
          <w:p>
            <w:pPr>
              <w:spacing w:line="360" w:lineRule="auto"/>
            </w:pPr>
            <w:r>
              <w:rPr>
                <w:rFonts w:ascii="Times New Roman" w:hAnsi="Times New Roman"/>
                <w:sz w:val="22"/>
              </w:rPr>
              <w:t>4.22</w:t>
            </w:r>
          </w:p>
        </w:tc>
        <w:tc>
          <w:tcPr>
            <w:tcW w:type="dxa" w:w="1728"/>
          </w:tcPr>
          <w:p>
            <w:pPr>
              <w:spacing w:line="360" w:lineRule="auto"/>
            </w:pPr>
            <w:r>
              <w:rPr>
                <w:rFonts w:ascii="Times New Roman" w:hAnsi="Times New Roman"/>
                <w:sz w:val="22"/>
              </w:rPr>
              <w:t>&lt;0.001</w:t>
            </w:r>
          </w:p>
        </w:tc>
      </w:tr>
      <w:tr>
        <w:tc>
          <w:tcPr>
            <w:tcW w:type="dxa" w:w="1728"/>
          </w:tcPr>
          <w:p>
            <w:pPr>
              <w:spacing w:line="360" w:lineRule="auto"/>
            </w:pPr>
            <w:r>
              <w:rPr>
                <w:rFonts w:ascii="Times New Roman" w:hAnsi="Times New Roman"/>
                <w:sz w:val="22"/>
              </w:rPr>
              <w:t>Control (PBC)</w:t>
            </w:r>
          </w:p>
        </w:tc>
        <w:tc>
          <w:tcPr>
            <w:tcW w:type="dxa" w:w="1728"/>
          </w:tcPr>
          <w:p>
            <w:pPr>
              <w:spacing w:line="360" w:lineRule="auto"/>
            </w:pPr>
            <w:r>
              <w:rPr>
                <w:rFonts w:ascii="Times New Roman" w:hAnsi="Times New Roman"/>
                <w:sz w:val="22"/>
              </w:rPr>
              <w:t>0.361</w:t>
            </w:r>
          </w:p>
        </w:tc>
        <w:tc>
          <w:tcPr>
            <w:tcW w:type="dxa" w:w="1728"/>
          </w:tcPr>
          <w:p>
            <w:pPr>
              <w:spacing w:line="360" w:lineRule="auto"/>
            </w:pPr>
            <w:r>
              <w:rPr>
                <w:rFonts w:ascii="Times New Roman" w:hAnsi="Times New Roman"/>
                <w:sz w:val="22"/>
              </w:rPr>
              <w:t>0.114</w:t>
            </w:r>
          </w:p>
        </w:tc>
        <w:tc>
          <w:tcPr>
            <w:tcW w:type="dxa" w:w="1728"/>
          </w:tcPr>
          <w:p>
            <w:pPr>
              <w:spacing w:line="360" w:lineRule="auto"/>
            </w:pPr>
            <w:r>
              <w:rPr>
                <w:rFonts w:ascii="Times New Roman" w:hAnsi="Times New Roman"/>
                <w:sz w:val="22"/>
              </w:rPr>
              <w:t>3.17</w:t>
            </w:r>
          </w:p>
        </w:tc>
        <w:tc>
          <w:tcPr>
            <w:tcW w:type="dxa" w:w="1728"/>
          </w:tcPr>
          <w:p>
            <w:pPr>
              <w:spacing w:line="360" w:lineRule="auto"/>
            </w:pPr>
            <w:r>
              <w:rPr>
                <w:rFonts w:ascii="Times New Roman" w:hAnsi="Times New Roman"/>
                <w:sz w:val="22"/>
              </w:rPr>
              <w:t>0.003</w:t>
            </w:r>
          </w:p>
        </w:tc>
      </w:tr>
      <w:tr>
        <w:tc>
          <w:tcPr>
            <w:tcW w:type="dxa" w:w="1728"/>
          </w:tcPr>
          <w:p>
            <w:pPr>
              <w:spacing w:line="360" w:lineRule="auto"/>
            </w:pPr>
            <w:r>
              <w:rPr>
                <w:rFonts w:ascii="Times New Roman" w:hAnsi="Times New Roman"/>
                <w:sz w:val="22"/>
              </w:rPr>
              <w:t>Constante</w:t>
            </w:r>
          </w:p>
        </w:tc>
        <w:tc>
          <w:tcPr>
            <w:tcW w:type="dxa" w:w="1728"/>
          </w:tcPr>
          <w:p>
            <w:pPr>
              <w:spacing w:line="360" w:lineRule="auto"/>
            </w:pPr>
            <w:r>
              <w:rPr>
                <w:rFonts w:ascii="Times New Roman" w:hAnsi="Times New Roman"/>
                <w:sz w:val="22"/>
              </w:rPr>
              <w:t>0.445</w:t>
            </w:r>
          </w:p>
        </w:tc>
        <w:tc>
          <w:tcPr>
            <w:tcW w:type="dxa" w:w="1728"/>
          </w:tcPr>
          <w:p>
            <w:pPr>
              <w:spacing w:line="360" w:lineRule="auto"/>
            </w:pPr>
            <w:r>
              <w:rPr>
                <w:rFonts w:ascii="Times New Roman" w:hAnsi="Times New Roman"/>
                <w:sz w:val="22"/>
              </w:rPr>
              <w:t>0.562</w:t>
            </w:r>
          </w:p>
        </w:tc>
        <w:tc>
          <w:tcPr>
            <w:tcW w:type="dxa" w:w="1728"/>
          </w:tcPr>
          <w:p>
            <w:pPr>
              <w:spacing w:line="360" w:lineRule="auto"/>
            </w:pPr>
            <w:r>
              <w:rPr>
                <w:rFonts w:ascii="Times New Roman" w:hAnsi="Times New Roman"/>
                <w:sz w:val="22"/>
              </w:rPr>
              <w:t>0.79</w:t>
            </w:r>
          </w:p>
        </w:tc>
        <w:tc>
          <w:tcPr>
            <w:tcW w:type="dxa" w:w="1728"/>
          </w:tcPr>
          <w:p>
            <w:pPr>
              <w:spacing w:line="360" w:lineRule="auto"/>
            </w:pPr>
            <w:r>
              <w:rPr>
                <w:rFonts w:ascii="Times New Roman" w:hAnsi="Times New Roman"/>
                <w:sz w:val="22"/>
              </w:rPr>
              <w:t>0.433</w:t>
            </w:r>
          </w:p>
        </w:tc>
      </w:tr>
    </w:tbl>
    <w:p>
      <w:pPr>
        <w:spacing w:line="360" w:lineRule="auto"/>
      </w:pPr>
    </w:p>
    <w:p>
      <w:pPr>
        <w:spacing w:line="360" w:lineRule="auto"/>
      </w:pPr>
      <w:r>
        <w:rPr>
          <w:rFonts w:ascii="Times New Roman" w:hAnsi="Times New Roman"/>
          <w:sz w:val="24"/>
        </w:rPr>
        <w:t>R² = 0.487, F(2, 38) = 17.90, p&lt;0.001</w:t>
      </w:r>
    </w:p>
    <w:p>
      <w:pPr>
        <w:spacing w:line="360" w:lineRule="auto"/>
      </w:pPr>
    </w:p>
    <w:p>
      <w:pPr>
        <w:spacing w:line="360" w:lineRule="auto"/>
      </w:pPr>
      <w:r>
        <w:rPr>
          <w:rFonts w:ascii="Times New Roman" w:hAnsi="Times New Roman"/>
          <w:sz w:val="24"/>
        </w:rPr>
        <w:t>Interpretación: En muestra colombiana, actitud y control conductual percibido predicen intención (R²=0.487), con magnitudes de efecto similares a muestra global (AT: β=0.498 vs. β=0.548 global; PBC: β=0.361 vs. β=0.330 global). Aunque N es pequeño, el patrón de validez cruzada en sub-muestra colombiana apoya que hallazgos de regresión global no son artefactos de otras regiones.</w:t>
      </w:r>
    </w:p>
    <w:p>
      <w:pPr>
        <w:spacing w:line="360" w:lineRule="auto"/>
      </w:pPr>
    </w:p>
    <w:p>
      <w:pPr>
        <w:spacing w:line="360" w:lineRule="auto"/>
      </w:pPr>
    </w:p>
    <w:p>
      <w:pPr>
        <w:pStyle w:val="Heading1"/>
        <w:spacing w:line="360" w:lineRule="auto"/>
      </w:pPr>
      <w:r>
        <w:rPr>
          <w:rFonts w:ascii="Times New Roman" w:hAnsi="Times New Roman"/>
          <w:b/>
          <w:sz w:val="24"/>
        </w:rPr>
        <w:t>PARTE B: METODOLOGÍA CUALITATIVA</w:t>
      </w:r>
    </w:p>
    <w:p>
      <w:pPr>
        <w:spacing w:line="360" w:lineRule="auto"/>
      </w:pPr>
    </w:p>
    <w:p>
      <w:pPr>
        <w:pStyle w:val="Heading2"/>
        <w:spacing w:line="360" w:lineRule="auto"/>
      </w:pPr>
      <w:r>
        <w:rPr>
          <w:rFonts w:ascii="Times New Roman" w:hAnsi="Times New Roman"/>
          <w:b/>
          <w:sz w:val="24"/>
        </w:rPr>
        <w:t>3.4. Datos Cualitativos: Fuentes y Recolección</w:t>
      </w:r>
    </w:p>
    <w:p>
      <w:pPr>
        <w:spacing w:line="360" w:lineRule="auto"/>
      </w:pPr>
    </w:p>
    <w:p>
      <w:pPr>
        <w:pStyle w:val="Heading3"/>
        <w:spacing w:line="360" w:lineRule="auto"/>
      </w:pPr>
      <w:r>
        <w:rPr>
          <w:rFonts w:ascii="Times New Roman" w:hAnsi="Times New Roman"/>
          <w:b/>
          <w:sz w:val="24"/>
        </w:rPr>
        <w:t>3.4.1 Justificación del Enfoque Cualitativo</w:t>
      </w:r>
    </w:p>
    <w:p>
      <w:pPr>
        <w:spacing w:line="360" w:lineRule="auto"/>
      </w:pPr>
    </w:p>
    <w:p>
      <w:pPr>
        <w:spacing w:line="360" w:lineRule="auto"/>
      </w:pPr>
      <w:r>
        <w:rPr>
          <w:rFonts w:ascii="Times New Roman" w:hAnsi="Times New Roman"/>
          <w:sz w:val="24"/>
        </w:rPr>
        <w:t>El componente cualitativo de este estudio responde a la necesidad metodológica de explicar mecanismos subyacentes a los patrones cuantitativos. Específicamente, el análisis cuantitativo (Parte A) reveló que contexto universitario y conocimiento del ecosistema modulan las relaciones TCP-intención, pero no explica cómo operan estos mecanismos en la práctica. El componente cualitativo interpela directamente a actores del ecosistema colombiano (diseñadores de política pública, implementadores institucionales, mentores empresariales) para obtener sus perspectivas sobre:</w:t>
      </w:r>
    </w:p>
    <w:p>
      <w:pPr>
        <w:spacing w:line="360" w:lineRule="auto"/>
      </w:pPr>
    </w:p>
    <w:p>
      <w:pPr>
        <w:spacing w:line="360" w:lineRule="auto"/>
      </w:pPr>
      <w:r>
        <w:rPr>
          <w:rFonts w:ascii="Times New Roman" w:hAnsi="Times New Roman"/>
          <w:sz w:val="24"/>
        </w:rPr>
        <w:t>1. ¿Qué factores creen que impulsan o frenan la intención emprendedora en estudiantes?</w:t>
      </w:r>
    </w:p>
    <w:p>
      <w:pPr>
        <w:spacing w:line="360" w:lineRule="auto"/>
      </w:pPr>
      <w:r>
        <w:rPr>
          <w:rFonts w:ascii="Times New Roman" w:hAnsi="Times New Roman"/>
          <w:sz w:val="24"/>
        </w:rPr>
        <w:t>2. ¿Cómo experimentan los actores la brecha intención-acción?</w:t>
      </w:r>
    </w:p>
    <w:p>
      <w:pPr>
        <w:spacing w:line="360" w:lineRule="auto"/>
      </w:pPr>
      <w:r>
        <w:rPr>
          <w:rFonts w:ascii="Times New Roman" w:hAnsi="Times New Roman"/>
          <w:sz w:val="24"/>
        </w:rPr>
        <w:t>3. ¿Cuáles son los mecanismos específicos mediante los cuales políticas públicas influyen (o fallan en influir) intención?</w:t>
      </w:r>
    </w:p>
    <w:p>
      <w:pPr>
        <w:spacing w:line="360" w:lineRule="auto"/>
      </w:pPr>
    </w:p>
    <w:p>
      <w:pPr>
        <w:spacing w:line="360" w:lineRule="auto"/>
      </w:pPr>
      <w:r>
        <w:rPr>
          <w:rFonts w:ascii="Times New Roman" w:hAnsi="Times New Roman"/>
          <w:sz w:val="24"/>
        </w:rPr>
        <w:t>Este enfoque es consistente con literatura sobre métodos mixtos confirmatorios (Creswell &amp; Plano Clark, 2018): la fase cualitativa no pretende generar hipótesis nuevas sino explicar mecanismos de hipótesis ya generadas cuantitativamente.</w:t>
      </w:r>
    </w:p>
    <w:p>
      <w:pPr>
        <w:spacing w:line="360" w:lineRule="auto"/>
      </w:pPr>
    </w:p>
    <w:p>
      <w:pPr>
        <w:pStyle w:val="Heading3"/>
        <w:spacing w:line="360" w:lineRule="auto"/>
      </w:pPr>
      <w:r>
        <w:rPr>
          <w:rFonts w:ascii="Times New Roman" w:hAnsi="Times New Roman"/>
          <w:b/>
          <w:sz w:val="24"/>
        </w:rPr>
        <w:t>3.4.2 Fuentes de Datos Cualitativos</w:t>
      </w:r>
    </w:p>
    <w:p>
      <w:pPr>
        <w:spacing w:line="360" w:lineRule="auto"/>
      </w:pPr>
    </w:p>
    <w:p>
      <w:pPr>
        <w:spacing w:line="360" w:lineRule="auto"/>
      </w:pPr>
      <w:r>
        <w:rPr>
          <w:rFonts w:ascii="Times New Roman" w:hAnsi="Times New Roman"/>
          <w:sz w:val="24"/>
        </w:rPr>
        <w:t>Se utilizaron dos fuentes de datos cualitativos, ambas de carácter documental/observacional (no entrevistas primarias directas):</w:t>
      </w:r>
    </w:p>
    <w:p>
      <w:pPr>
        <w:spacing w:line="360" w:lineRule="auto"/>
      </w:pPr>
    </w:p>
    <w:p>
      <w:pPr>
        <w:spacing w:line="360" w:lineRule="auto"/>
      </w:pPr>
      <w:r>
        <w:rPr>
          <w:rFonts w:ascii="Times New Roman" w:hAnsi="Times New Roman"/>
          <w:sz w:val="24"/>
        </w:rPr>
        <w:t>Fuente 1: Transcripciones de Videos YouTube (n=38 videos)</w:t>
      </w:r>
    </w:p>
    <w:p>
      <w:pPr>
        <w:spacing w:line="360" w:lineRule="auto"/>
      </w:pPr>
    </w:p>
    <w:p>
      <w:pPr>
        <w:spacing w:line="360" w:lineRule="auto"/>
      </w:pPr>
      <w:r>
        <w:rPr>
          <w:rFonts w:ascii="Times New Roman" w:hAnsi="Times New Roman"/>
          <w:sz w:val="24"/>
        </w:rPr>
        <w:t>Se recopilaron y transcribieron videos de YouTube de actores del ecosistema colombiano de emprendimiento, fechados 2020–2026. Los actores incluyen:</w:t>
      </w:r>
    </w:p>
    <w:p>
      <w:pPr>
        <w:spacing w:line="360" w:lineRule="auto"/>
      </w:pPr>
    </w:p>
    <w:p>
      <w:pPr>
        <w:spacing w:line="360" w:lineRule="auto"/>
      </w:pPr>
      <w:r>
        <w:rPr>
          <w:rFonts w:ascii="Times New Roman" w:hAnsi="Times New Roman"/>
          <w:sz w:val="24"/>
        </w:rPr>
        <w:t>- Funcionarios de Ministerio de Comercio, Industria y Turismo (MinCIT)</w:t>
      </w:r>
    </w:p>
    <w:p>
      <w:pPr>
        <w:spacing w:line="360" w:lineRule="auto"/>
      </w:pPr>
      <w:r>
        <w:rPr>
          <w:rFonts w:ascii="Times New Roman" w:hAnsi="Times New Roman"/>
          <w:sz w:val="24"/>
        </w:rPr>
        <w:t>- Directivos de iNNpulsa Colombia</w:t>
      </w:r>
    </w:p>
    <w:p>
      <w:pPr>
        <w:spacing w:line="360" w:lineRule="auto"/>
      </w:pPr>
      <w:r>
        <w:rPr>
          <w:rFonts w:ascii="Times New Roman" w:hAnsi="Times New Roman"/>
          <w:sz w:val="24"/>
        </w:rPr>
        <w:t>- Directores de SENA (Servicio Nacional de Aprendizaje)</w:t>
      </w:r>
    </w:p>
    <w:p>
      <w:pPr>
        <w:spacing w:line="360" w:lineRule="auto"/>
      </w:pPr>
      <w:r>
        <w:rPr>
          <w:rFonts w:ascii="Times New Roman" w:hAnsi="Times New Roman"/>
          <w:sz w:val="24"/>
        </w:rPr>
        <w:t>- Emprendedores reconocidos que hablan sobre políticas</w:t>
      </w:r>
    </w:p>
    <w:p>
      <w:pPr>
        <w:spacing w:line="360" w:lineRule="auto"/>
      </w:pPr>
      <w:r>
        <w:rPr>
          <w:rFonts w:ascii="Times New Roman" w:hAnsi="Times New Roman"/>
          <w:sz w:val="24"/>
        </w:rPr>
        <w:t>- Académicos que estudian emprendimiento en Colombia</w:t>
      </w:r>
    </w:p>
    <w:p>
      <w:pPr>
        <w:spacing w:line="360" w:lineRule="auto"/>
      </w:pPr>
    </w:p>
    <w:p>
      <w:pPr>
        <w:spacing w:line="360" w:lineRule="auto"/>
      </w:pPr>
      <w:r>
        <w:rPr>
          <w:rFonts w:ascii="Times New Roman" w:hAnsi="Times New Roman"/>
          <w:sz w:val="24"/>
        </w:rPr>
        <w:t>Los videos capturan presentaciones, conferencias, paneles, y entrevistas donde estos actores expresan perspectivas sobre: regulación emprendedora, acceso a capital, calidad de mentoría, brecha intención-acción. El dataset de videos fue compilado mediante búsqueda sistemática en YouTube usando palabras clave: "emprendimiento Colombia", "política pública emprendimiento", "intención emprendedora estudiantes", con filtro temporal 2020–2026 y mínimo 5 minutos de duración. Se seleccionaron 38 videos que contenían discusión substantiva sobre intención o políticas (excluyendo autopromocionales puros, contenido redundante, y videos sin calidad de audio clara para transcripción).</w:t>
      </w:r>
    </w:p>
    <w:p>
      <w:pPr>
        <w:spacing w:line="360" w:lineRule="auto"/>
      </w:pPr>
    </w:p>
    <w:p>
      <w:pPr>
        <w:spacing w:line="360" w:lineRule="auto"/>
      </w:pPr>
      <w:r>
        <w:rPr>
          <w:rFonts w:ascii="Times New Roman" w:hAnsi="Times New Roman"/>
          <w:sz w:val="24"/>
        </w:rPr>
        <w:t>Fuente 2: Documentos Institucionales Extraídos (n=24 documentos)</w:t>
      </w:r>
    </w:p>
    <w:p>
      <w:pPr>
        <w:spacing w:line="360" w:lineRule="auto"/>
      </w:pPr>
    </w:p>
    <w:p>
      <w:pPr>
        <w:spacing w:line="360" w:lineRule="auto"/>
      </w:pPr>
      <w:r>
        <w:rPr>
          <w:rFonts w:ascii="Times New Roman" w:hAnsi="Times New Roman"/>
          <w:sz w:val="24"/>
        </w:rPr>
        <w:t>Se recopilaron documentos de instituciones colombianas y organismos de política mediante web scraping automatizado:</w:t>
      </w:r>
    </w:p>
    <w:p>
      <w:pPr>
        <w:spacing w:line="360" w:lineRule="auto"/>
      </w:pPr>
    </w:p>
    <w:p>
      <w:pPr>
        <w:spacing w:line="360" w:lineRule="auto"/>
      </w:pPr>
      <w:r>
        <w:rPr>
          <w:rFonts w:ascii="Times New Roman" w:hAnsi="Times New Roman"/>
          <w:sz w:val="24"/>
        </w:rPr>
        <w:t>- Comunicados y reportes de iNNpulsa Colombia</w:t>
      </w:r>
    </w:p>
    <w:p>
      <w:pPr>
        <w:spacing w:line="360" w:lineRule="auto"/>
      </w:pPr>
      <w:r>
        <w:rPr>
          <w:rFonts w:ascii="Times New Roman" w:hAnsi="Times New Roman"/>
          <w:sz w:val="24"/>
        </w:rPr>
        <w:t>- Documentos del Ministerio de Comercio (decretos, lineamientos, análisis)</w:t>
      </w:r>
    </w:p>
    <w:p>
      <w:pPr>
        <w:spacing w:line="360" w:lineRule="auto"/>
      </w:pPr>
      <w:r>
        <w:rPr>
          <w:rFonts w:ascii="Times New Roman" w:hAnsi="Times New Roman"/>
          <w:sz w:val="24"/>
        </w:rPr>
        <w:t>- Publicaciones de universidades colombianas sobre ecosistema emprendedor</w:t>
      </w:r>
    </w:p>
    <w:p>
      <w:pPr>
        <w:spacing w:line="360" w:lineRule="auto"/>
      </w:pPr>
      <w:r>
        <w:rPr>
          <w:rFonts w:ascii="Times New Roman" w:hAnsi="Times New Roman"/>
          <w:sz w:val="24"/>
        </w:rPr>
        <w:t>- Reportes de SENA sobre programas de capacitación empresarial</w:t>
      </w:r>
    </w:p>
    <w:p>
      <w:pPr>
        <w:spacing w:line="360" w:lineRule="auto"/>
      </w:pPr>
      <w:r>
        <w:rPr>
          <w:rFonts w:ascii="Times New Roman" w:hAnsi="Times New Roman"/>
          <w:sz w:val="24"/>
        </w:rPr>
        <w:t>- Artículos en medios especializados sobre brechas en política pública</w:t>
      </w:r>
    </w:p>
    <w:p>
      <w:pPr>
        <w:spacing w:line="360" w:lineRule="auto"/>
      </w:pPr>
    </w:p>
    <w:p>
      <w:pPr>
        <w:spacing w:line="360" w:lineRule="auto"/>
      </w:pPr>
      <w:r>
        <w:rPr>
          <w:rFonts w:ascii="Times New Roman" w:hAnsi="Times New Roman"/>
          <w:sz w:val="24"/>
        </w:rPr>
        <w:t>Estos documentos capturan narrativas oficiales y críticas sobre cómo se percibe y se opera el ecosistema emprendedor en Colombia. Aunque no son "voces" directas de actores (algunos documentos no son autoría clara), representan la comunicación formal que estudiantes encuentran y que potencialmente moldea sus percepciones sobre el ecosistema.</w:t>
      </w:r>
    </w:p>
    <w:p>
      <w:pPr>
        <w:spacing w:line="360" w:lineRule="auto"/>
      </w:pPr>
    </w:p>
    <w:p>
      <w:pPr>
        <w:spacing w:line="360" w:lineRule="auto"/>
      </w:pPr>
      <w:r>
        <w:rPr>
          <w:rFonts w:ascii="Times New Roman" w:hAnsi="Times New Roman"/>
          <w:sz w:val="24"/>
        </w:rPr>
        <w:t>Total dataset cualitativo: 62 documentos (38 videos + 24 documentos institucionales), con aproximadamente 280,000 palabras de texto transcrito/extraído.</w:t>
      </w:r>
    </w:p>
    <w:p>
      <w:pPr>
        <w:spacing w:line="360" w:lineRule="auto"/>
      </w:pPr>
    </w:p>
    <w:p>
      <w:pPr>
        <w:pStyle w:val="Heading3"/>
        <w:spacing w:line="360" w:lineRule="auto"/>
      </w:pPr>
      <w:r>
        <w:rPr>
          <w:rFonts w:ascii="Times New Roman" w:hAnsi="Times New Roman"/>
          <w:b/>
          <w:sz w:val="24"/>
        </w:rPr>
        <w:t>3.4.3 Procesamiento y Reducción de Datos</w:t>
      </w:r>
    </w:p>
    <w:p>
      <w:pPr>
        <w:spacing w:line="360" w:lineRule="auto"/>
      </w:pPr>
    </w:p>
    <w:p>
      <w:pPr>
        <w:spacing w:line="360" w:lineRule="auto"/>
      </w:pPr>
      <w:r>
        <w:rPr>
          <w:rFonts w:ascii="Times New Roman" w:hAnsi="Times New Roman"/>
          <w:sz w:val="24"/>
        </w:rPr>
        <w:t>Todos los videos fueron transcritos automaticamente usando servicio de transcripción con revisión manual de fragmentos clave. Los documentos institucionales fueron extraídos mediante web scraping y limpieza de metadatos. El corpus completo fue codificado usando Atlas.ti (software de análisis cualitativo), adoptando un enfoque de codificación mixta: deductiva (categorías predefinidas basadas en preguntas de investigación PQ1-PQ3) e inductiva (códigos emergentes de los datos).</w:t>
      </w:r>
    </w:p>
    <w:p>
      <w:pPr>
        <w:spacing w:line="360" w:lineRule="auto"/>
      </w:pPr>
    </w:p>
    <w:p>
      <w:pPr>
        <w:spacing w:line="360" w:lineRule="auto"/>
      </w:pPr>
    </w:p>
    <w:p>
      <w:pPr>
        <w:pStyle w:val="Heading2"/>
        <w:spacing w:line="360" w:lineRule="auto"/>
      </w:pPr>
      <w:r>
        <w:rPr>
          <w:rFonts w:ascii="Times New Roman" w:hAnsi="Times New Roman"/>
          <w:b/>
          <w:sz w:val="24"/>
        </w:rPr>
        <w:t>3.5. Protocolo de Codificación</w:t>
      </w:r>
    </w:p>
    <w:p>
      <w:pPr>
        <w:spacing w:line="360" w:lineRule="auto"/>
      </w:pPr>
    </w:p>
    <w:p>
      <w:pPr>
        <w:pStyle w:val="Heading3"/>
        <w:spacing w:line="360" w:lineRule="auto"/>
      </w:pPr>
      <w:r>
        <w:rPr>
          <w:rFonts w:ascii="Times New Roman" w:hAnsi="Times New Roman"/>
          <w:b/>
          <w:sz w:val="24"/>
        </w:rPr>
        <w:t>3.5.1 Estructura Deductiva: Mapeo a Preguntas de Investigación Cualitativas</w:t>
      </w:r>
    </w:p>
    <w:p>
      <w:pPr>
        <w:spacing w:line="360" w:lineRule="auto"/>
      </w:pPr>
    </w:p>
    <w:p>
      <w:pPr>
        <w:spacing w:line="360" w:lineRule="auto"/>
      </w:pPr>
      <w:r>
        <w:rPr>
          <w:rFonts w:ascii="Times New Roman" w:hAnsi="Times New Roman"/>
          <w:sz w:val="24"/>
        </w:rPr>
        <w:t>La codificación se organizó alrededor de tres preguntas de investigación cualitativas (PQ1-PQ3), definidas en Capítulo 2:</w:t>
      </w:r>
    </w:p>
    <w:p>
      <w:pPr>
        <w:spacing w:line="360" w:lineRule="auto"/>
      </w:pPr>
    </w:p>
    <w:p>
      <w:pPr>
        <w:spacing w:line="360" w:lineRule="auto"/>
      </w:pPr>
      <w:r>
        <w:rPr>
          <w:rFonts w:ascii="Times New Roman" w:hAnsi="Times New Roman"/>
          <w:sz w:val="24"/>
        </w:rPr>
        <w:t>PQ1: Validación de Constructos TCP en Perspectiva de Actores</w:t>
      </w:r>
    </w:p>
    <w:p>
      <w:pPr>
        <w:spacing w:line="360" w:lineRule="auto"/>
      </w:pPr>
    </w:p>
    <w:p>
      <w:pPr>
        <w:spacing w:line="360" w:lineRule="auto"/>
      </w:pPr>
      <w:r>
        <w:rPr>
          <w:rFonts w:ascii="Times New Roman" w:hAnsi="Times New Roman"/>
          <w:sz w:val="24"/>
        </w:rPr>
        <w:t>¿Reconocen y articulan los actores ecosistema los factores que nuestra teoría TCP predice como determinantes de intención emprendedora?</w:t>
      </w:r>
    </w:p>
    <w:p>
      <w:pPr>
        <w:spacing w:line="360" w:lineRule="auto"/>
      </w:pPr>
    </w:p>
    <w:p>
      <w:pPr>
        <w:spacing w:line="360" w:lineRule="auto"/>
      </w:pPr>
      <w:r>
        <w:rPr>
          <w:rFonts w:ascii="Times New Roman" w:hAnsi="Times New Roman"/>
          <w:sz w:val="24"/>
        </w:rPr>
        <w:t>Categorías deductivas para PQ1:</w:t>
      </w:r>
    </w:p>
    <w:p>
      <w:pPr>
        <w:spacing w:line="360" w:lineRule="auto"/>
      </w:pPr>
      <w:r>
        <w:rPr>
          <w:rFonts w:ascii="Times New Roman" w:hAnsi="Times New Roman"/>
          <w:sz w:val="24"/>
        </w:rPr>
        <w:t>- Actitud: Pasajes donde actores mencionan si estudiantes ven el emprendimiento como "atractivo", "valorizado", "viable"</w:t>
      </w:r>
    </w:p>
    <w:p>
      <w:pPr>
        <w:spacing w:line="360" w:lineRule="auto"/>
      </w:pPr>
      <w:r>
        <w:rPr>
          <w:rFonts w:ascii="Times New Roman" w:hAnsi="Times New Roman"/>
          <w:sz w:val="24"/>
        </w:rPr>
        <w:t>- Normas: Pasajes sobre apoyo familiar, aprobación social, presión de pares hacia emprendimiento</w:t>
      </w:r>
    </w:p>
    <w:p>
      <w:pPr>
        <w:spacing w:line="360" w:lineRule="auto"/>
      </w:pPr>
      <w:r>
        <w:rPr>
          <w:rFonts w:ascii="Times New Roman" w:hAnsi="Times New Roman"/>
          <w:sz w:val="24"/>
        </w:rPr>
        <w:t>- Control: Pasajes sobre autoeficacia percibida, barreras (regulatorias, financieras, de capital humano), acceso a mentoría</w:t>
      </w:r>
    </w:p>
    <w:p>
      <w:pPr>
        <w:spacing w:line="360" w:lineRule="auto"/>
      </w:pPr>
      <w:r>
        <w:rPr>
          <w:rFonts w:ascii="Times New Roman" w:hAnsi="Times New Roman"/>
          <w:sz w:val="24"/>
        </w:rPr>
        <w:t>- Políticas como habilitador: Pasajes donde actores creen que políticas públicas afectan actitud/normas/control</w:t>
      </w:r>
    </w:p>
    <w:p>
      <w:pPr>
        <w:spacing w:line="360" w:lineRule="auto"/>
      </w:pPr>
    </w:p>
    <w:p>
      <w:pPr>
        <w:spacing w:line="360" w:lineRule="auto"/>
      </w:pPr>
      <w:r>
        <w:rPr>
          <w:rFonts w:ascii="Times New Roman" w:hAnsi="Times New Roman"/>
          <w:sz w:val="24"/>
        </w:rPr>
        <w:t>PQ2: Mecanismos de Operación de Políticas</w:t>
      </w:r>
    </w:p>
    <w:p>
      <w:pPr>
        <w:spacing w:line="360" w:lineRule="auto"/>
      </w:pPr>
    </w:p>
    <w:p>
      <w:pPr>
        <w:spacing w:line="360" w:lineRule="auto"/>
      </w:pPr>
      <w:r>
        <w:rPr>
          <w:rFonts w:ascii="Times New Roman" w:hAnsi="Times New Roman"/>
          <w:sz w:val="24"/>
        </w:rPr>
        <w:t>¿Cuáles son los mecanismos específicos mediante los cuales actores perciben que políticas (Ley 1014, Fondo Emprender, iNNpulsa, SENA) influyen intención?</w:t>
      </w:r>
    </w:p>
    <w:p>
      <w:pPr>
        <w:spacing w:line="360" w:lineRule="auto"/>
      </w:pPr>
    </w:p>
    <w:p>
      <w:pPr>
        <w:spacing w:line="360" w:lineRule="auto"/>
      </w:pPr>
      <w:r>
        <w:rPr>
          <w:rFonts w:ascii="Times New Roman" w:hAnsi="Times New Roman"/>
          <w:sz w:val="24"/>
        </w:rPr>
        <w:t>Categorías deductivas para PQ2:</w:t>
      </w:r>
    </w:p>
    <w:p>
      <w:pPr>
        <w:spacing w:line="360" w:lineRule="auto"/>
      </w:pPr>
      <w:r>
        <w:rPr>
          <w:rFonts w:ascii="Times New Roman" w:hAnsi="Times New Roman"/>
          <w:sz w:val="24"/>
        </w:rPr>
        <w:t>- Acceso a información: Cómo políticas diseminan conocimiento sobre oportunidades</w:t>
      </w:r>
    </w:p>
    <w:p>
      <w:pPr>
        <w:spacing w:line="360" w:lineRule="auto"/>
      </w:pPr>
      <w:r>
        <w:rPr>
          <w:rFonts w:ascii="Times New Roman" w:hAnsi="Times New Roman"/>
          <w:sz w:val="24"/>
        </w:rPr>
        <w:t>- Reducción de barreras: Cómo políticas reducen costo/riesgo percibido</w:t>
      </w:r>
    </w:p>
    <w:p>
      <w:pPr>
        <w:spacing w:line="360" w:lineRule="auto"/>
      </w:pPr>
      <w:r>
        <w:rPr>
          <w:rFonts w:ascii="Times New Roman" w:hAnsi="Times New Roman"/>
          <w:sz w:val="24"/>
        </w:rPr>
        <w:t>- Cambio de actitud: Narrativas sobre cómo políticas persuaden a estudiantes</w:t>
      </w:r>
    </w:p>
    <w:p>
      <w:pPr>
        <w:spacing w:line="360" w:lineRule="auto"/>
      </w:pPr>
      <w:r>
        <w:rPr>
          <w:rFonts w:ascii="Times New Roman" w:hAnsi="Times New Roman"/>
          <w:sz w:val="24"/>
        </w:rPr>
        <w:t>- Brechas entre intención y ejecución: Pasajes donde actores observan que política no traduce a acción</w:t>
      </w:r>
    </w:p>
    <w:p>
      <w:pPr>
        <w:spacing w:line="360" w:lineRule="auto"/>
      </w:pPr>
    </w:p>
    <w:p>
      <w:pPr>
        <w:spacing w:line="360" w:lineRule="auto"/>
      </w:pPr>
      <w:r>
        <w:rPr>
          <w:rFonts w:ascii="Times New Roman" w:hAnsi="Times New Roman"/>
          <w:sz w:val="24"/>
        </w:rPr>
        <w:t>PQ3: Brecha Intención-Acción desde Perspectiva de Actores</w:t>
      </w:r>
    </w:p>
    <w:p>
      <w:pPr>
        <w:spacing w:line="360" w:lineRule="auto"/>
      </w:pPr>
    </w:p>
    <w:p>
      <w:pPr>
        <w:spacing w:line="360" w:lineRule="auto"/>
      </w:pPr>
      <w:r>
        <w:rPr>
          <w:rFonts w:ascii="Times New Roman" w:hAnsi="Times New Roman"/>
          <w:sz w:val="24"/>
        </w:rPr>
        <w:t>¿Cómo experimentan y explican los actores la brecha intención-acción, y qué barreras perciben como más críticas?</w:t>
      </w:r>
    </w:p>
    <w:p>
      <w:pPr>
        <w:spacing w:line="360" w:lineRule="auto"/>
      </w:pPr>
    </w:p>
    <w:p>
      <w:pPr>
        <w:spacing w:line="360" w:lineRule="auto"/>
      </w:pPr>
      <w:r>
        <w:rPr>
          <w:rFonts w:ascii="Times New Roman" w:hAnsi="Times New Roman"/>
          <w:sz w:val="24"/>
        </w:rPr>
        <w:t>Categorías deductivas para PQ3:</w:t>
      </w:r>
    </w:p>
    <w:p>
      <w:pPr>
        <w:spacing w:line="360" w:lineRule="auto"/>
      </w:pPr>
      <w:r>
        <w:rPr>
          <w:rFonts w:ascii="Times New Roman" w:hAnsi="Times New Roman"/>
          <w:sz w:val="24"/>
        </w:rPr>
        <w:t>- Barreras financieras: Acceso a capital, tasas de interés, garantías</w:t>
      </w:r>
    </w:p>
    <w:p>
      <w:pPr>
        <w:spacing w:line="360" w:lineRule="auto"/>
      </w:pPr>
      <w:r>
        <w:rPr>
          <w:rFonts w:ascii="Times New Roman" w:hAnsi="Times New Roman"/>
          <w:sz w:val="24"/>
        </w:rPr>
        <w:t>- Barreras regulatorias/burocrática: Trámites de formalización, tiempo requerido</w:t>
      </w:r>
    </w:p>
    <w:p>
      <w:pPr>
        <w:spacing w:line="360" w:lineRule="auto"/>
      </w:pPr>
      <w:r>
        <w:rPr>
          <w:rFonts w:ascii="Times New Roman" w:hAnsi="Times New Roman"/>
          <w:sz w:val="24"/>
        </w:rPr>
        <w:t>- Barreras de capital humano: Habilidades de gestión, experiencia empresarial</w:t>
      </w:r>
    </w:p>
    <w:p>
      <w:pPr>
        <w:spacing w:line="360" w:lineRule="auto"/>
      </w:pPr>
      <w:r>
        <w:rPr>
          <w:rFonts w:ascii="Times New Roman" w:hAnsi="Times New Roman"/>
          <w:sz w:val="24"/>
        </w:rPr>
        <w:t>- Barreras psicológicas: Miedo al fracaso, falta de confianza</w:t>
      </w:r>
    </w:p>
    <w:p>
      <w:pPr>
        <w:spacing w:line="360" w:lineRule="auto"/>
      </w:pPr>
      <w:r>
        <w:rPr>
          <w:rFonts w:ascii="Times New Roman" w:hAnsi="Times New Roman"/>
          <w:sz w:val="24"/>
        </w:rPr>
        <w:t>- Mecanismos de apoyo existentes: Qué está funcionando según actores</w:t>
      </w:r>
    </w:p>
    <w:p>
      <w:pPr>
        <w:spacing w:line="360" w:lineRule="auto"/>
      </w:pPr>
      <w:r>
        <w:rPr>
          <w:rFonts w:ascii="Times New Roman" w:hAnsi="Times New Roman"/>
          <w:sz w:val="24"/>
        </w:rPr>
        <w:t>- Brecha en la brecha: Si actores notan diferencias entre contextos regionales (Bogotá vs. Medellín vs. Cali)</w:t>
      </w:r>
    </w:p>
    <w:p>
      <w:pPr>
        <w:spacing w:line="360" w:lineRule="auto"/>
      </w:pPr>
    </w:p>
    <w:p>
      <w:pPr>
        <w:pStyle w:val="Heading3"/>
        <w:spacing w:line="360" w:lineRule="auto"/>
      </w:pPr>
      <w:r>
        <w:rPr>
          <w:rFonts w:ascii="Times New Roman" w:hAnsi="Times New Roman"/>
          <w:b/>
          <w:sz w:val="24"/>
        </w:rPr>
        <w:t>3.5.2 Codificación Inductiva y Refinamiento</w:t>
      </w:r>
    </w:p>
    <w:p>
      <w:pPr>
        <w:spacing w:line="360" w:lineRule="auto"/>
      </w:pPr>
    </w:p>
    <w:p>
      <w:pPr>
        <w:spacing w:line="360" w:lineRule="auto"/>
      </w:pPr>
      <w:r>
        <w:rPr>
          <w:rFonts w:ascii="Times New Roman" w:hAnsi="Times New Roman"/>
          <w:sz w:val="24"/>
        </w:rPr>
        <w:t>Después de aplicar códigos deductivos a muestra de 15 videos/documentos, se identificaron códigos emergentes que no había previsto inicialmente. Incluyen:</w:t>
      </w:r>
    </w:p>
    <w:p>
      <w:pPr>
        <w:spacing w:line="360" w:lineRule="auto"/>
      </w:pPr>
    </w:p>
    <w:p>
      <w:pPr>
        <w:spacing w:line="360" w:lineRule="auto"/>
      </w:pPr>
      <w:r>
        <w:rPr>
          <w:rFonts w:ascii="Times New Roman" w:hAnsi="Times New Roman"/>
          <w:sz w:val="24"/>
        </w:rPr>
        <w:t>- Corrupción y captura de políticas: Actores mencionan que financiamiento público no llega a beneficiarios porque intermediarios capturan recursos</w:t>
      </w:r>
    </w:p>
    <w:p>
      <w:pPr>
        <w:spacing w:line="360" w:lineRule="auto"/>
      </w:pPr>
      <w:r>
        <w:rPr>
          <w:rFonts w:ascii="Times New Roman" w:hAnsi="Times New Roman"/>
          <w:sz w:val="24"/>
        </w:rPr>
        <w:t>- Formalización como trampa: Algunos actores critican que énfasis en formalización requiere recursos que impiden a emprendedores de necesidad (informal) acceder a políticas</w:t>
      </w:r>
    </w:p>
    <w:p>
      <w:pPr>
        <w:spacing w:line="360" w:lineRule="auto"/>
      </w:pPr>
      <w:r>
        <w:rPr>
          <w:rFonts w:ascii="Times New Roman" w:hAnsi="Times New Roman"/>
          <w:sz w:val="24"/>
        </w:rPr>
        <w:t>- Heterogeneidad regional: Actores de Bogotá mencionan ecosistema maduro; actores de Cali mencionan contexto precario</w:t>
      </w:r>
    </w:p>
    <w:p>
      <w:pPr>
        <w:spacing w:line="360" w:lineRule="auto"/>
      </w:pPr>
      <w:r>
        <w:rPr>
          <w:rFonts w:ascii="Times New Roman" w:hAnsi="Times New Roman"/>
          <w:sz w:val="24"/>
        </w:rPr>
        <w:t>- Rol del género: Mujeres emprendedoras perciben barreras específicas no capturadas en constructo PBC</w:t>
      </w:r>
    </w:p>
    <w:p>
      <w:pPr>
        <w:spacing w:line="360" w:lineRule="auto"/>
      </w:pPr>
    </w:p>
    <w:p>
      <w:pPr>
        <w:spacing w:line="360" w:lineRule="auto"/>
      </w:pPr>
      <w:r>
        <w:rPr>
          <w:rFonts w:ascii="Times New Roman" w:hAnsi="Times New Roman"/>
          <w:sz w:val="24"/>
        </w:rPr>
        <w:t>Estos códigos emergentes se integraron al esquema, reconociendo que el análisis cualitativo puede enriquecer (no contradecir) el marco teórico.</w:t>
      </w:r>
    </w:p>
    <w:p>
      <w:pPr>
        <w:spacing w:line="360" w:lineRule="auto"/>
      </w:pPr>
    </w:p>
    <w:p>
      <w:pPr>
        <w:pStyle w:val="Heading3"/>
        <w:spacing w:line="360" w:lineRule="auto"/>
      </w:pPr>
      <w:r>
        <w:rPr>
          <w:rFonts w:ascii="Times New Roman" w:hAnsi="Times New Roman"/>
          <w:b/>
          <w:sz w:val="24"/>
        </w:rPr>
        <w:t>3.5.3 Validez de Codificación</w:t>
      </w:r>
    </w:p>
    <w:p>
      <w:pPr>
        <w:spacing w:line="360" w:lineRule="auto"/>
      </w:pPr>
    </w:p>
    <w:p>
      <w:pPr>
        <w:spacing w:line="360" w:lineRule="auto"/>
      </w:pPr>
      <w:r>
        <w:rPr>
          <w:rFonts w:ascii="Times New Roman" w:hAnsi="Times New Roman"/>
          <w:sz w:val="24"/>
        </w:rPr>
        <w:t>El protocolo de codificación fue validado mediante intercoder agreement. Un segundo codificador independiente codificó 10% del corpus (6 videos). Cohen's kappa para acuerdo inter-codificador fue κ = 0.74, indicando acuerdo sustancial. Desacuerdos fueron resueltos mediante discusión y revisión de definiciones de códigos.</w:t>
      </w:r>
    </w:p>
    <w:p>
      <w:pPr>
        <w:spacing w:line="360" w:lineRule="auto"/>
      </w:pPr>
    </w:p>
    <w:p>
      <w:pPr>
        <w:spacing w:line="360" w:lineRule="auto"/>
      </w:pPr>
    </w:p>
    <w:p>
      <w:pPr>
        <w:pStyle w:val="Heading2"/>
        <w:spacing w:line="360" w:lineRule="auto"/>
      </w:pPr>
      <w:r>
        <w:rPr>
          <w:rFonts w:ascii="Times New Roman" w:hAnsi="Times New Roman"/>
          <w:b/>
          <w:sz w:val="24"/>
        </w:rPr>
        <w:t>3.6. Análisis Cualitativo: Síntesis Temática</w:t>
      </w:r>
    </w:p>
    <w:p>
      <w:pPr>
        <w:spacing w:line="360" w:lineRule="auto"/>
      </w:pPr>
    </w:p>
    <w:p>
      <w:pPr>
        <w:pStyle w:val="Heading3"/>
        <w:spacing w:line="360" w:lineRule="auto"/>
      </w:pPr>
      <w:r>
        <w:rPr>
          <w:rFonts w:ascii="Times New Roman" w:hAnsi="Times New Roman"/>
          <w:b/>
          <w:sz w:val="24"/>
        </w:rPr>
        <w:t>3.6.1 Análisis Temático Inductivo para PQ1</w:t>
      </w:r>
    </w:p>
    <w:p>
      <w:pPr>
        <w:spacing w:line="360" w:lineRule="auto"/>
      </w:pPr>
    </w:p>
    <w:p>
      <w:pPr>
        <w:spacing w:line="360" w:lineRule="auto"/>
      </w:pPr>
      <w:r>
        <w:rPr>
          <w:rFonts w:ascii="Times New Roman" w:hAnsi="Times New Roman"/>
          <w:sz w:val="24"/>
        </w:rPr>
        <w:t>Se extrajo el universo de fragmentos codificados para la categoría "Actitud" y se sintetizó mediante análisis temático: agrupación de citas similares y búsqueda de patrones comunes en cómo actores perciben actitud emprendedora de estudiantes.</w:t>
      </w:r>
    </w:p>
    <w:p>
      <w:pPr>
        <w:spacing w:line="360" w:lineRule="auto"/>
      </w:pPr>
    </w:p>
    <w:p>
      <w:pPr>
        <w:spacing w:line="360" w:lineRule="auto"/>
      </w:pPr>
      <w:r>
        <w:rPr>
          <w:rFonts w:ascii="Times New Roman" w:hAnsi="Times New Roman"/>
          <w:sz w:val="24"/>
        </w:rPr>
        <w:t>Tema emergente 1: "Actitud existe pero está condicionada a oportunidad local"</w:t>
      </w:r>
    </w:p>
    <w:p>
      <w:pPr>
        <w:spacing w:line="360" w:lineRule="auto"/>
      </w:pPr>
    </w:p>
    <w:p>
      <w:pPr>
        <w:spacing w:line="360" w:lineRule="auto"/>
      </w:pPr>
      <w:r>
        <w:rPr>
          <w:rFonts w:ascii="Times New Roman" w:hAnsi="Times New Roman"/>
          <w:sz w:val="24"/>
        </w:rPr>
        <w:t>Actores reportan que estudiantes en Colombia sí ven el emprendimiento favorablemente ("la mayoría de estudiantes que entrevisto dice que emprenderían si pudiera"), pero esta actitud favorable es contingente a contexto local. Un funcionario de iNNpulsa señala: "En Bogotá, jóvenes ven emprendimiento como carrera viable. Pero en regiones con menos ecosistema, la gente decide emigrar o buscarse empleo formal porque no ve apoyo local."</w:t>
      </w:r>
    </w:p>
    <w:p>
      <w:pPr>
        <w:spacing w:line="360" w:lineRule="auto"/>
      </w:pPr>
    </w:p>
    <w:p>
      <w:pPr>
        <w:spacing w:line="360" w:lineRule="auto"/>
      </w:pPr>
      <w:r>
        <w:rPr>
          <w:rFonts w:ascii="Times New Roman" w:hAnsi="Times New Roman"/>
          <w:sz w:val="24"/>
        </w:rPr>
        <w:t>Esta observación alinea con construcción teórica de moderación: la actitud TCP no es producto solo de evaluación individual sino de información disponible sobre viabilidad local.</w:t>
      </w:r>
    </w:p>
    <w:p>
      <w:pPr>
        <w:spacing w:line="360" w:lineRule="auto"/>
      </w:pPr>
    </w:p>
    <w:p>
      <w:pPr>
        <w:spacing w:line="360" w:lineRule="auto"/>
      </w:pPr>
      <w:r>
        <w:rPr>
          <w:rFonts w:ascii="Times New Roman" w:hAnsi="Times New Roman"/>
          <w:sz w:val="24"/>
        </w:rPr>
        <w:t>Tema emergente 2: "La actitud hacia emprendimiento por necesidad vs. oportunidad es muy diferente"</w:t>
      </w:r>
    </w:p>
    <w:p>
      <w:pPr>
        <w:spacing w:line="360" w:lineRule="auto"/>
      </w:pPr>
    </w:p>
    <w:p>
      <w:pPr>
        <w:spacing w:line="360" w:lineRule="auto"/>
      </w:pPr>
      <w:r>
        <w:rPr>
          <w:rFonts w:ascii="Times New Roman" w:hAnsi="Times New Roman"/>
          <w:sz w:val="24"/>
        </w:rPr>
        <w:t>Actores distinguen entre: (a) emprendimiento por oportunidad, visto como atractivo; (b) emprendimiento por necesidad, percibido como supervivencia. En contextos de desempleo o informalidad, "actitud favorable" puede reflejar desesperación más que entusiasmo. Esto sugiere que constructo Actitud en instrumento TCP captura aspecto unidimensional que la realidad es más multidimensional.</w:t>
      </w:r>
    </w:p>
    <w:p>
      <w:pPr>
        <w:spacing w:line="360" w:lineRule="auto"/>
      </w:pPr>
    </w:p>
    <w:p>
      <w:pPr>
        <w:spacing w:line="360" w:lineRule="auto"/>
      </w:pPr>
      <w:r>
        <w:rPr>
          <w:rFonts w:ascii="Times New Roman" w:hAnsi="Times New Roman"/>
          <w:sz w:val="24"/>
        </w:rPr>
        <w:t>Tema emergente 3: "Actitud se debilita cuando estudiantes interactúan con la realidad regulatoria"</w:t>
      </w:r>
    </w:p>
    <w:p>
      <w:pPr>
        <w:spacing w:line="360" w:lineRule="auto"/>
      </w:pPr>
    </w:p>
    <w:p>
      <w:pPr>
        <w:spacing w:line="360" w:lineRule="auto"/>
      </w:pPr>
      <w:r>
        <w:rPr>
          <w:rFonts w:ascii="Times New Roman" w:hAnsi="Times New Roman"/>
          <w:sz w:val="24"/>
        </w:rPr>
        <w:t>Varios actores reportan que estudiantes llegan con actitud favorable pero después de informarse sobre costos de formalización o procesos burocráticos, la actitud se reduce. Un profesor universitario menciona: "He visto estudiantes con proyecto claro, motivados. Después que se enteran de lo que significa registrar una empresa, muchos se retractan."</w:t>
      </w:r>
    </w:p>
    <w:p>
      <w:pPr>
        <w:spacing w:line="360" w:lineRule="auto"/>
      </w:pPr>
    </w:p>
    <w:p>
      <w:pPr>
        <w:spacing w:line="360" w:lineRule="auto"/>
      </w:pPr>
      <w:r>
        <w:rPr>
          <w:rFonts w:ascii="Times New Roman" w:hAnsi="Times New Roman"/>
          <w:sz w:val="24"/>
        </w:rPr>
        <w:t>Este hallazgo sugiere que lo que TCP mide como "actitud" es parcialmente malleable por información sobre contexto (operacionalizado en esta tesis como FK, conocimiento formal).</w:t>
      </w:r>
    </w:p>
    <w:p>
      <w:pPr>
        <w:spacing w:line="360" w:lineRule="auto"/>
      </w:pPr>
    </w:p>
    <w:p>
      <w:pPr>
        <w:pStyle w:val="Heading3"/>
        <w:spacing w:line="360" w:lineRule="auto"/>
      </w:pPr>
      <w:r>
        <w:rPr>
          <w:rFonts w:ascii="Times New Roman" w:hAnsi="Times New Roman"/>
          <w:b/>
          <w:sz w:val="24"/>
        </w:rPr>
        <w:t>3.6.2 Análisis Temático para PQ2</w:t>
      </w:r>
    </w:p>
    <w:p>
      <w:pPr>
        <w:spacing w:line="360" w:lineRule="auto"/>
      </w:pPr>
    </w:p>
    <w:p>
      <w:pPr>
        <w:spacing w:line="360" w:lineRule="auto"/>
      </w:pPr>
      <w:r>
        <w:rPr>
          <w:rFonts w:ascii="Times New Roman" w:hAnsi="Times New Roman"/>
          <w:sz w:val="24"/>
        </w:rPr>
        <w:t>Se sintetizaron fragmentos sobre "Mecanismos de Operación de Políticas" para entender cómo actores creen que políticas traducen a intención.</w:t>
      </w:r>
    </w:p>
    <w:p>
      <w:pPr>
        <w:spacing w:line="360" w:lineRule="auto"/>
      </w:pPr>
    </w:p>
    <w:p>
      <w:pPr>
        <w:spacing w:line="360" w:lineRule="auto"/>
      </w:pPr>
      <w:r>
        <w:rPr>
          <w:rFonts w:ascii="Times New Roman" w:hAnsi="Times New Roman"/>
          <w:sz w:val="24"/>
        </w:rPr>
        <w:t>Tema 1: "Las políticas funcionan mejor cuando hay intermediación local, peor cuando son centralizadas"</w:t>
      </w:r>
    </w:p>
    <w:p>
      <w:pPr>
        <w:spacing w:line="360" w:lineRule="auto"/>
      </w:pPr>
    </w:p>
    <w:p>
      <w:pPr>
        <w:spacing w:line="360" w:lineRule="auto"/>
      </w:pPr>
      <w:r>
        <w:rPr>
          <w:rFonts w:ascii="Times New Roman" w:hAnsi="Times New Roman"/>
          <w:sz w:val="24"/>
        </w:rPr>
        <w:t>iNNpulsa (programa nacional) es percibido como robusto en Bogotá porque hay oficina local con personal que hace seguimiento. En ciudades intermedias, el mismo programa opera a través de terceros (universidades, cámaras de comercio) que tienen capacidad desigual. Un académico en Cali reporta: "Bancóldex ofrece crédito subsidiado, pero nuestros estudiantes no saben cómo acceder. Los formularios están en línea y nadie acompaña el proceso. Tres estudiantes lo intentaron; dos se rindieron por complejidad burocrática."</w:t>
      </w:r>
    </w:p>
    <w:p>
      <w:pPr>
        <w:spacing w:line="360" w:lineRule="auto"/>
      </w:pPr>
    </w:p>
    <w:p>
      <w:pPr>
        <w:spacing w:line="360" w:lineRule="auto"/>
      </w:pPr>
      <w:r>
        <w:rPr>
          <w:rFonts w:ascii="Times New Roman" w:hAnsi="Times New Roman"/>
          <w:sz w:val="24"/>
        </w:rPr>
        <w:t>Implicación: FK (conocimiento formal) es necesario pero no suficiente; necesita arquitectura local de intermediación.</w:t>
      </w:r>
    </w:p>
    <w:p>
      <w:pPr>
        <w:spacing w:line="360" w:lineRule="auto"/>
      </w:pPr>
    </w:p>
    <w:p>
      <w:pPr>
        <w:spacing w:line="360" w:lineRule="auto"/>
      </w:pPr>
      <w:r>
        <w:rPr>
          <w:rFonts w:ascii="Times New Roman" w:hAnsi="Times New Roman"/>
          <w:sz w:val="24"/>
        </w:rPr>
        <w:t>Tema 2: "El acceso a mentoría es lo que realmente modula la intención, no el dinero"</w:t>
      </w:r>
    </w:p>
    <w:p>
      <w:pPr>
        <w:spacing w:line="360" w:lineRule="auto"/>
      </w:pPr>
    </w:p>
    <w:p>
      <w:pPr>
        <w:spacing w:line="360" w:lineRule="auto"/>
      </w:pPr>
      <w:r>
        <w:rPr>
          <w:rFonts w:ascii="Times New Roman" w:hAnsi="Times New Roman"/>
          <w:sz w:val="24"/>
        </w:rPr>
        <w:t>Múltiples actores señalan que el factor crítico no es disponibilidad de capital inicial (aunque importante) sino acceso a mentoría empresarial. Un director de incubadora comenta: "Financiamiento sin mentoría fracasa. He visto emprendedores con 100 millones de pesos que quiebran en año uno porque no saben gestionar. En cambio, con mentoría y poco capital, algunos prosperan."</w:t>
      </w:r>
    </w:p>
    <w:p>
      <w:pPr>
        <w:spacing w:line="360" w:lineRule="auto"/>
      </w:pPr>
    </w:p>
    <w:p>
      <w:pPr>
        <w:spacing w:line="360" w:lineRule="auto"/>
      </w:pPr>
      <w:r>
        <w:rPr>
          <w:rFonts w:ascii="Times New Roman" w:hAnsi="Times New Roman"/>
          <w:sz w:val="24"/>
        </w:rPr>
        <w:t>Esto sugiere que moderador U-D (desarrollo universitario, que incluye acceso a mentoría) es más crítico que FL (alfabetización financiera) para traducir intención a acción.</w:t>
      </w:r>
    </w:p>
    <w:p>
      <w:pPr>
        <w:spacing w:line="360" w:lineRule="auto"/>
      </w:pPr>
    </w:p>
    <w:p>
      <w:pPr>
        <w:spacing w:line="360" w:lineRule="auto"/>
      </w:pPr>
      <w:r>
        <w:rPr>
          <w:rFonts w:ascii="Times New Roman" w:hAnsi="Times New Roman"/>
          <w:sz w:val="24"/>
        </w:rPr>
        <w:t>Tema 3: "Brechas intencionales en la política: políticas orientadas a formalización excluyen a emprendedores informales"</w:t>
      </w:r>
    </w:p>
    <w:p>
      <w:pPr>
        <w:spacing w:line="360" w:lineRule="auto"/>
      </w:pPr>
    </w:p>
    <w:p>
      <w:pPr>
        <w:spacing w:line="360" w:lineRule="auto"/>
      </w:pPr>
      <w:r>
        <w:rPr>
          <w:rFonts w:ascii="Times New Roman" w:hAnsi="Times New Roman"/>
          <w:sz w:val="24"/>
        </w:rPr>
        <w:t>Actores critican que énfasis en Ley 1014 (fomento de cultura emprendedora) y Fondo Emprender está orientado a emprendimientos formales registrados, dejando fuera a emprendedores informales o de necesidad. Una activista en economía social menciona: "Las políticas de iNNpulsa asumen que emprenderás formalmente. Pero 70% de la informalidad en Colombia no es por ignorancia, es porque no vale la pena formalizarse para márgenes tan bajos. La política no ve eso."</w:t>
      </w:r>
    </w:p>
    <w:p>
      <w:pPr>
        <w:spacing w:line="360" w:lineRule="auto"/>
      </w:pPr>
    </w:p>
    <w:p>
      <w:pPr>
        <w:spacing w:line="360" w:lineRule="auto"/>
      </w:pPr>
      <w:r>
        <w:rPr>
          <w:rFonts w:ascii="Times New Roman" w:hAnsi="Times New Roman"/>
          <w:sz w:val="24"/>
        </w:rPr>
        <w:t>Esta crítica sugiere que FK (conocimiento del ecosistema formal) puede ser barrista para algunos grupos.</w:t>
      </w:r>
    </w:p>
    <w:p>
      <w:pPr>
        <w:spacing w:line="360" w:lineRule="auto"/>
      </w:pPr>
    </w:p>
    <w:p>
      <w:pPr>
        <w:pStyle w:val="Heading3"/>
        <w:spacing w:line="360" w:lineRule="auto"/>
      </w:pPr>
      <w:r>
        <w:rPr>
          <w:rFonts w:ascii="Times New Roman" w:hAnsi="Times New Roman"/>
          <w:b/>
          <w:sz w:val="24"/>
        </w:rPr>
        <w:t>3.6.3 Análisis Temático para PQ3</w:t>
      </w:r>
    </w:p>
    <w:p>
      <w:pPr>
        <w:spacing w:line="360" w:lineRule="auto"/>
      </w:pPr>
    </w:p>
    <w:p>
      <w:pPr>
        <w:spacing w:line="360" w:lineRule="auto"/>
      </w:pPr>
      <w:r>
        <w:rPr>
          <w:rFonts w:ascii="Times New Roman" w:hAnsi="Times New Roman"/>
          <w:sz w:val="24"/>
        </w:rPr>
        <w:t>Se sintetizaron fragmentos sobre "Brecha Intención-Acción" para capturar explicaciones de actores sobre por qué estudiantes con intención alta no emprenden.</w:t>
      </w:r>
    </w:p>
    <w:p>
      <w:pPr>
        <w:spacing w:line="360" w:lineRule="auto"/>
      </w:pPr>
    </w:p>
    <w:p>
      <w:pPr>
        <w:spacing w:line="360" w:lineRule="auto"/>
      </w:pPr>
      <w:r>
        <w:rPr>
          <w:rFonts w:ascii="Times New Roman" w:hAnsi="Times New Roman"/>
          <w:sz w:val="24"/>
        </w:rPr>
        <w:t>Tema 1: "Fracaso temprano desmoralizante"</w:t>
      </w:r>
    </w:p>
    <w:p>
      <w:pPr>
        <w:spacing w:line="360" w:lineRule="auto"/>
      </w:pPr>
    </w:p>
    <w:p>
      <w:pPr>
        <w:spacing w:line="360" w:lineRule="auto"/>
      </w:pPr>
      <w:r>
        <w:rPr>
          <w:rFonts w:ascii="Times New Roman" w:hAnsi="Times New Roman"/>
          <w:sz w:val="24"/>
        </w:rPr>
        <w:t>Múltiples actores reportan que estudiantes que intentan emprender y fracasan (típicamente dentro de 1–2 años) se retiran del emprendimiento. Una asesora de emprendimiento cuenta: "El problema es que la mayoría de nuevos negocios fracasan. Un estudiante que intenta, invierte ahorros, falla después de un año... su actitud se convierte en desaprobación. Los vemos como fracasados en su red social."</w:t>
      </w:r>
    </w:p>
    <w:p>
      <w:pPr>
        <w:spacing w:line="360" w:lineRule="auto"/>
      </w:pPr>
    </w:p>
    <w:p>
      <w:pPr>
        <w:spacing w:line="360" w:lineRule="auto"/>
      </w:pPr>
      <w:r>
        <w:rPr>
          <w:rFonts w:ascii="Times New Roman" w:hAnsi="Times New Roman"/>
          <w:sz w:val="24"/>
        </w:rPr>
        <w:t>Este mecanismo no es capturado explícitamente en TCP pero es crítico para explicar brecha intención-acción.</w:t>
      </w:r>
    </w:p>
    <w:p>
      <w:pPr>
        <w:spacing w:line="360" w:lineRule="auto"/>
      </w:pPr>
    </w:p>
    <w:p>
      <w:pPr>
        <w:spacing w:line="360" w:lineRule="auto"/>
      </w:pPr>
      <w:r>
        <w:rPr>
          <w:rFonts w:ascii="Times New Roman" w:hAnsi="Times New Roman"/>
          <w:sz w:val="24"/>
        </w:rPr>
        <w:t>Tema 2: "Las barreras no son simplemente de recursos sino de legitimidad y redes"</w:t>
      </w:r>
    </w:p>
    <w:p>
      <w:pPr>
        <w:spacing w:line="360" w:lineRule="auto"/>
      </w:pPr>
    </w:p>
    <w:p>
      <w:pPr>
        <w:spacing w:line="360" w:lineRule="auto"/>
      </w:pPr>
      <w:r>
        <w:rPr>
          <w:rFonts w:ascii="Times New Roman" w:hAnsi="Times New Roman"/>
          <w:sz w:val="24"/>
        </w:rPr>
        <w:t>Actores enfatizan que barreras no son solo financieras o regulatorias, sino sociales: acceso a redes de inversores, legitimidad ante proveedores, reputación. Un académico sugiere: "Un estudiante de Cali que quiere ser VC [venture capitalist] tiene que irse a Bogotá. La red de capital de riesgo en Cali no existe para esa escala. Entonces aunque tenga intención, no tiene dónde operar."</w:t>
      </w:r>
    </w:p>
    <w:p>
      <w:pPr>
        <w:spacing w:line="360" w:lineRule="auto"/>
      </w:pPr>
    </w:p>
    <w:p>
      <w:pPr>
        <w:spacing w:line="360" w:lineRule="auto"/>
      </w:pPr>
      <w:r>
        <w:rPr>
          <w:rFonts w:ascii="Times New Roman" w:hAnsi="Times New Roman"/>
          <w:sz w:val="24"/>
        </w:rPr>
        <w:t>Esto sugiere que PBC es multidimensional: no es solo autoeficacia personal sino acceso a recursos estructurales que varían dramáticamente por región.</w:t>
      </w:r>
    </w:p>
    <w:p>
      <w:pPr>
        <w:spacing w:line="360" w:lineRule="auto"/>
      </w:pPr>
    </w:p>
    <w:p>
      <w:pPr>
        <w:spacing w:line="360" w:lineRule="auto"/>
      </w:pPr>
      <w:r>
        <w:rPr>
          <w:rFonts w:ascii="Times New Roman" w:hAnsi="Times New Roman"/>
          <w:sz w:val="24"/>
        </w:rPr>
        <w:t>Tema 3: "La intención emprendedora es socialmente deseable: muchos reportan que emprenderían pero saben que no lo harán"</w:t>
      </w:r>
    </w:p>
    <w:p>
      <w:pPr>
        <w:spacing w:line="360" w:lineRule="auto"/>
      </w:pPr>
    </w:p>
    <w:p>
      <w:pPr>
        <w:spacing w:line="360" w:lineRule="auto"/>
      </w:pPr>
      <w:r>
        <w:rPr>
          <w:rFonts w:ascii="Times New Roman" w:hAnsi="Times New Roman"/>
          <w:sz w:val="24"/>
        </w:rPr>
        <w:t>Un profesor menciona: "Cuando pregunto en clase quién emprendería, 80% levanta la mano. Cuando hago el ejercicio más adelante preguntando quién se postularía a incubadora, 10% levanta la mano. Es pregunta deseable socialmente. Los estudiantes creen que 'debo decir que emprenderé' aunque no tengan planes reales."</w:t>
      </w:r>
    </w:p>
    <w:p>
      <w:pPr>
        <w:spacing w:line="360" w:lineRule="auto"/>
      </w:pPr>
    </w:p>
    <w:p>
      <w:pPr>
        <w:spacing w:line="360" w:lineRule="auto"/>
      </w:pPr>
      <w:r>
        <w:rPr>
          <w:rFonts w:ascii="Times New Roman" w:hAnsi="Times New Roman"/>
          <w:sz w:val="24"/>
        </w:rPr>
        <w:t>Esta observación toca a problemas de validez de medición de intención (auto-reporte) pero también sugiere que brecha intención-acción puede reflejar parcialmente medición de "preferencia social" más que intención genuina.</w:t>
      </w:r>
    </w:p>
    <w:p>
      <w:pPr>
        <w:spacing w:line="360" w:lineRule="auto"/>
      </w:pPr>
    </w:p>
    <w:p>
      <w:pPr>
        <w:spacing w:line="360" w:lineRule="auto"/>
      </w:pPr>
    </w:p>
    <w:p>
      <w:pPr>
        <w:pStyle w:val="Heading1"/>
        <w:spacing w:line="360" w:lineRule="auto"/>
      </w:pPr>
      <w:r>
        <w:rPr>
          <w:rFonts w:ascii="Times New Roman" w:hAnsi="Times New Roman"/>
          <w:b/>
          <w:sz w:val="24"/>
        </w:rPr>
        <w:t>PARTE C: INTEGRACIÓN MIXTA</w:t>
      </w:r>
    </w:p>
    <w:p>
      <w:pPr>
        <w:spacing w:line="360" w:lineRule="auto"/>
      </w:pPr>
    </w:p>
    <w:p>
      <w:pPr>
        <w:pStyle w:val="Heading2"/>
        <w:spacing w:line="360" w:lineRule="auto"/>
      </w:pPr>
      <w:r>
        <w:rPr>
          <w:rFonts w:ascii="Times New Roman" w:hAnsi="Times New Roman"/>
          <w:b/>
          <w:sz w:val="24"/>
        </w:rPr>
        <w:t>3.7. Estrategia de Integración Mixta y Triangulación</w:t>
      </w:r>
    </w:p>
    <w:p>
      <w:pPr>
        <w:spacing w:line="360" w:lineRule="auto"/>
      </w:pPr>
    </w:p>
    <w:p>
      <w:pPr>
        <w:pStyle w:val="Heading3"/>
        <w:spacing w:line="360" w:lineRule="auto"/>
      </w:pPr>
      <w:r>
        <w:rPr>
          <w:rFonts w:ascii="Times New Roman" w:hAnsi="Times New Roman"/>
          <w:b/>
          <w:sz w:val="24"/>
        </w:rPr>
        <w:t>3.7.1 Lógica General de Integración</w:t>
      </w:r>
    </w:p>
    <w:p>
      <w:pPr>
        <w:spacing w:line="360" w:lineRule="auto"/>
      </w:pPr>
    </w:p>
    <w:p>
      <w:pPr>
        <w:spacing w:line="360" w:lineRule="auto"/>
      </w:pPr>
      <w:r>
        <w:rPr>
          <w:rFonts w:ascii="Times New Roman" w:hAnsi="Times New Roman"/>
          <w:sz w:val="24"/>
        </w:rPr>
        <w:t>El enfoque de integración seguido es triangulación anidada (Creswell &amp; Plano Clark, 2018, p. 120), donde resultados cualitativos se usan para explicar e interpretar resultados cuantitativos, sin pretensión de que converjan perfectamente. Específicamente:</w:t>
      </w:r>
    </w:p>
    <w:p>
      <w:pPr>
        <w:spacing w:line="360" w:lineRule="auto"/>
      </w:pPr>
    </w:p>
    <w:p>
      <w:pPr>
        <w:spacing w:line="360" w:lineRule="auto"/>
      </w:pPr>
      <w:r>
        <w:rPr>
          <w:rFonts w:ascii="Times New Roman" w:hAnsi="Times New Roman"/>
          <w:sz w:val="24"/>
        </w:rPr>
        <w:t>1. Datos cuantitativos (Modelo 3, Sección 3.3.3) establece patrones: contexto universitario modula relación actitud→intención (β interacción=0.089, p=0.031); conocimiento ecosistema predice intención directamente (β=0.159); alfabetización financiera tiene efecto débil (β=0.080, marginalmente significativa).</w:t>
      </w:r>
    </w:p>
    <w:p>
      <w:pPr>
        <w:spacing w:line="360" w:lineRule="auto"/>
      </w:pPr>
    </w:p>
    <w:p>
      <w:pPr>
        <w:spacing w:line="360" w:lineRule="auto"/>
      </w:pPr>
      <w:r>
        <w:rPr>
          <w:rFonts w:ascii="Times New Roman" w:hAnsi="Times New Roman"/>
          <w:sz w:val="24"/>
        </w:rPr>
        <w:t>2. Datos cualitativos (Parte B, Secciones 3.6.1-3.6.3) explican mecanismos: por qué contexto universitario importa (porque proporciona mentoría, legitimidad, intermediación); por qué conocimiento del ecosistema importa (pero es insuficiente sin intermediación local); por qué brecha intención-acción existe (fracaso desmoralizante, barreras de legitimidad/redes, deseabilidad social de la intención).</w:t>
      </w:r>
    </w:p>
    <w:p>
      <w:pPr>
        <w:spacing w:line="360" w:lineRule="auto"/>
      </w:pPr>
    </w:p>
    <w:p>
      <w:pPr>
        <w:spacing w:line="360" w:lineRule="auto"/>
      </w:pPr>
      <w:r>
        <w:rPr>
          <w:rFonts w:ascii="Times New Roman" w:hAnsi="Times New Roman"/>
          <w:sz w:val="24"/>
        </w:rPr>
        <w:t>3. Integración sintetiza ambas líneas para construir explicación triangulada de brecha intención-acción específicamente en contexto colombiano.</w:t>
      </w:r>
    </w:p>
    <w:p>
      <w:pPr>
        <w:spacing w:line="360" w:lineRule="auto"/>
      </w:pPr>
    </w:p>
    <w:p>
      <w:pPr>
        <w:pStyle w:val="Heading3"/>
        <w:spacing w:line="360" w:lineRule="auto"/>
      </w:pPr>
      <w:r>
        <w:rPr>
          <w:rFonts w:ascii="Times New Roman" w:hAnsi="Times New Roman"/>
          <w:b/>
          <w:sz w:val="24"/>
        </w:rPr>
        <w:t>3.7.2 Sub-análisis ALBA-Colombia como Puente de Triangulación</w:t>
      </w:r>
    </w:p>
    <w:p>
      <w:pPr>
        <w:spacing w:line="360" w:lineRule="auto"/>
      </w:pPr>
    </w:p>
    <w:p>
      <w:pPr>
        <w:spacing w:line="360" w:lineRule="auto"/>
      </w:pPr>
      <w:r>
        <w:rPr>
          <w:rFonts w:ascii="Times New Roman" w:hAnsi="Times New Roman"/>
          <w:sz w:val="24"/>
        </w:rPr>
        <w:t>Recordar que ALBA incluye N=41 estudiantes colombianos. Aunque este tamaño no permite regresión completa, sí permite corroboración de que patrones TCP se replican en Colombia (Sección 3.3.4):</w:t>
      </w:r>
    </w:p>
    <w:p>
      <w:pPr>
        <w:spacing w:line="360" w:lineRule="auto"/>
      </w:pPr>
    </w:p>
    <w:p>
      <w:pPr>
        <w:spacing w:line="360" w:lineRule="auto"/>
      </w:pPr>
      <w:r>
        <w:rPr>
          <w:rFonts w:ascii="Times New Roman" w:hAnsi="Times New Roman"/>
          <w:sz w:val="24"/>
        </w:rPr>
        <w:t>- Correlación actitud-intención en Colombia (r=0.61) es comparable a muestra global (r=0.55)</w:t>
      </w:r>
    </w:p>
    <w:p>
      <w:pPr>
        <w:spacing w:line="360" w:lineRule="auto"/>
      </w:pPr>
      <w:r>
        <w:rPr>
          <w:rFonts w:ascii="Times New Roman" w:hAnsi="Times New Roman"/>
          <w:sz w:val="24"/>
        </w:rPr>
        <w:t>- Correlación desarrollo institucional-intención en Colombia (r=0.56) es fuerte</w:t>
      </w:r>
    </w:p>
    <w:p>
      <w:pPr>
        <w:spacing w:line="360" w:lineRule="auto"/>
      </w:pPr>
      <w:r>
        <w:rPr>
          <w:rFonts w:ascii="Times New Roman" w:hAnsi="Times New Roman"/>
          <w:sz w:val="24"/>
        </w:rPr>
        <w:t>- Desarrollo institucional fue significativo en Modelo 3 (β=0.127, p=0.005), sugiriendo que contexto universitario es importante predictor</w:t>
      </w:r>
    </w:p>
    <w:p>
      <w:pPr>
        <w:spacing w:line="360" w:lineRule="auto"/>
      </w:pPr>
    </w:p>
    <w:p>
      <w:pPr>
        <w:spacing w:line="360" w:lineRule="auto"/>
      </w:pPr>
      <w:r>
        <w:rPr>
          <w:rFonts w:ascii="Times New Roman" w:hAnsi="Times New Roman"/>
          <w:sz w:val="24"/>
        </w:rPr>
        <w:t>Esto establece que hallazgos de regresión global sobre rol del contexto universitario NO son artefactos de otras regiones, sino aplican en Colombia.</w:t>
      </w:r>
    </w:p>
    <w:p>
      <w:pPr>
        <w:spacing w:line="360" w:lineRule="auto"/>
      </w:pPr>
    </w:p>
    <w:p>
      <w:pPr>
        <w:spacing w:line="360" w:lineRule="auto"/>
      </w:pPr>
      <w:r>
        <w:rPr>
          <w:rFonts w:ascii="Times New Roman" w:hAnsi="Times New Roman"/>
          <w:sz w:val="24"/>
        </w:rPr>
        <w:t>Integración específica: El análisis cualitativo (Tema 1 de PQ2) reporta que políticas funcionan mejor con intermediación local. Los datos ALBA-Colombia sugieren que desarrollo institucional local (incubadoras, mentoría, redes disponibles en la universidad) es predictor fuerte de intención (r=0.56, β en Modelo 3 = 0.127). La triangulación entonces es: cuantitativamente, desarrollo institucional predice intención; cualitativamente, estudiantes y actores creen que esto funciona porque proporciona intermediación, mentoría y acceso a redes. Coherencia entre métodos.</w:t>
      </w:r>
    </w:p>
    <w:p>
      <w:pPr>
        <w:spacing w:line="360" w:lineRule="auto"/>
      </w:pPr>
    </w:p>
    <w:p>
      <w:pPr>
        <w:pStyle w:val="Heading3"/>
        <w:spacing w:line="360" w:lineRule="auto"/>
      </w:pPr>
      <w:r>
        <w:rPr>
          <w:rFonts w:ascii="Times New Roman" w:hAnsi="Times New Roman"/>
          <w:b/>
          <w:sz w:val="24"/>
        </w:rPr>
        <w:t>3.7.3 Matriz de Triangulación: Hallazgos Cuantitativos vs. Cualitativos</w:t>
      </w:r>
    </w:p>
    <w:p>
      <w:pPr>
        <w:spacing w:line="360" w:lineRule="auto"/>
      </w:pPr>
    </w:p>
    <w:p>
      <w:pPr>
        <w:spacing w:line="360" w:lineRule="auto"/>
      </w:pPr>
      <w:r>
        <w:rPr>
          <w:rFonts w:ascii="Times New Roman" w:hAnsi="Times New Roman"/>
          <w:sz w:val="24"/>
        </w:rPr>
        <w:t>Se presenta matriz que alinea hallazgos cuantitativos con explicaciones cualitativas:</w:t>
      </w:r>
    </w:p>
    <w:p>
      <w:pPr>
        <w:spacing w:line="360" w:lineRule="auto"/>
      </w:pP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360" w:lineRule="auto"/>
            </w:pPr>
            <w:r>
              <w:rPr>
                <w:rFonts w:ascii="Times New Roman" w:hAnsi="Times New Roman"/>
                <w:b/>
                <w:sz w:val="22"/>
              </w:rPr>
              <w:t>Hallazgo Cuantitativo</w:t>
            </w:r>
          </w:p>
        </w:tc>
        <w:tc>
          <w:tcPr>
            <w:tcW w:type="dxa" w:w="2880"/>
          </w:tcPr>
          <w:p>
            <w:pPr>
              <w:spacing w:line="360" w:lineRule="auto"/>
            </w:pPr>
            <w:r>
              <w:rPr>
                <w:rFonts w:ascii="Times New Roman" w:hAnsi="Times New Roman"/>
                <w:b/>
                <w:sz w:val="22"/>
              </w:rPr>
              <w:t>Explicación Cualitativa</w:t>
            </w:r>
          </w:p>
        </w:tc>
        <w:tc>
          <w:tcPr>
            <w:tcW w:type="dxa" w:w="2880"/>
          </w:tcPr>
          <w:p>
            <w:pPr>
              <w:spacing w:line="360" w:lineRule="auto"/>
            </w:pPr>
            <w:r>
              <w:rPr>
                <w:rFonts w:ascii="Times New Roman" w:hAnsi="Times New Roman"/>
                <w:b/>
                <w:sz w:val="22"/>
              </w:rPr>
              <w:t>Mecanismo Integrado</w:t>
            </w:r>
          </w:p>
        </w:tc>
      </w:tr>
      <w:tr>
        <w:tc>
          <w:tcPr>
            <w:tcW w:type="dxa" w:w="2880"/>
          </w:tcPr>
          <w:p>
            <w:pPr>
              <w:spacing w:line="360" w:lineRule="auto"/>
            </w:pPr>
            <w:r>
              <w:rPr>
                <w:rFonts w:ascii="Times New Roman" w:hAnsi="Times New Roman"/>
                <w:sz w:val="22"/>
              </w:rPr>
              <w:t>Actitud predice intención fuertemente (β=0.548)</w:t>
            </w:r>
          </w:p>
        </w:tc>
        <w:tc>
          <w:tcPr>
            <w:tcW w:type="dxa" w:w="2880"/>
          </w:tcPr>
          <w:p>
            <w:pPr>
              <w:spacing w:line="360" w:lineRule="auto"/>
            </w:pPr>
            <w:r>
              <w:rPr>
                <w:rFonts w:ascii="Times New Roman" w:hAnsi="Times New Roman"/>
                <w:sz w:val="22"/>
              </w:rPr>
              <w:t>Actores reportan que estudiantes sí ven emprendimiento favorable</w:t>
            </w:r>
          </w:p>
        </w:tc>
        <w:tc>
          <w:tcPr>
            <w:tcW w:type="dxa" w:w="2880"/>
          </w:tcPr>
          <w:p>
            <w:pPr>
              <w:spacing w:line="360" w:lineRule="auto"/>
            </w:pPr>
            <w:r>
              <w:rPr>
                <w:rFonts w:ascii="Times New Roman" w:hAnsi="Times New Roman"/>
                <w:sz w:val="22"/>
              </w:rPr>
              <w:t>Actitud es construcción individual modulada por información contexto</w:t>
            </w:r>
          </w:p>
        </w:tc>
      </w:tr>
      <w:tr>
        <w:tc>
          <w:tcPr>
            <w:tcW w:type="dxa" w:w="2880"/>
          </w:tcPr>
          <w:p>
            <w:pPr>
              <w:spacing w:line="360" w:lineRule="auto"/>
            </w:pPr>
            <w:r>
              <w:rPr>
                <w:rFonts w:ascii="Times New Roman" w:hAnsi="Times New Roman"/>
                <w:sz w:val="22"/>
              </w:rPr>
              <w:t>Contexto universitario modula actitud→intención (β interacción=0.089)</w:t>
            </w:r>
          </w:p>
        </w:tc>
        <w:tc>
          <w:tcPr>
            <w:tcW w:type="dxa" w:w="2880"/>
          </w:tcPr>
          <w:p>
            <w:pPr>
              <w:spacing w:line="360" w:lineRule="auto"/>
            </w:pPr>
            <w:r>
              <w:rPr>
                <w:rFonts w:ascii="Times New Roman" w:hAnsi="Times New Roman"/>
                <w:sz w:val="22"/>
              </w:rPr>
              <w:t>Actores: políticas funcionan mejor con intermediación local; mentoría es crítica</w:t>
            </w:r>
          </w:p>
        </w:tc>
        <w:tc>
          <w:tcPr>
            <w:tcW w:type="dxa" w:w="2880"/>
          </w:tcPr>
          <w:p>
            <w:pPr>
              <w:spacing w:line="360" w:lineRule="auto"/>
            </w:pPr>
            <w:r>
              <w:rPr>
                <w:rFonts w:ascii="Times New Roman" w:hAnsi="Times New Roman"/>
                <w:sz w:val="22"/>
              </w:rPr>
              <w:t>Desarrollo institucional proporciona intermediación, mentoría, legitimidad</w:t>
            </w:r>
          </w:p>
        </w:tc>
      </w:tr>
      <w:tr>
        <w:tc>
          <w:tcPr>
            <w:tcW w:type="dxa" w:w="2880"/>
          </w:tcPr>
          <w:p>
            <w:pPr>
              <w:spacing w:line="360" w:lineRule="auto"/>
            </w:pPr>
            <w:r>
              <w:rPr>
                <w:rFonts w:ascii="Times New Roman" w:hAnsi="Times New Roman"/>
                <w:sz w:val="22"/>
              </w:rPr>
              <w:t>FK predice intención (β=0.159)</w:t>
            </w:r>
          </w:p>
        </w:tc>
        <w:tc>
          <w:tcPr>
            <w:tcW w:type="dxa" w:w="2880"/>
          </w:tcPr>
          <w:p>
            <w:pPr>
              <w:spacing w:line="360" w:lineRule="auto"/>
            </w:pPr>
            <w:r>
              <w:rPr>
                <w:rFonts w:ascii="Times New Roman" w:hAnsi="Times New Roman"/>
                <w:sz w:val="22"/>
              </w:rPr>
              <w:t>Actores: conocimiento de programas es requisito pero insuficiente</w:t>
            </w:r>
          </w:p>
        </w:tc>
        <w:tc>
          <w:tcPr>
            <w:tcW w:type="dxa" w:w="2880"/>
          </w:tcPr>
          <w:p>
            <w:pPr>
              <w:spacing w:line="360" w:lineRule="auto"/>
            </w:pPr>
            <w:r>
              <w:rPr>
                <w:rFonts w:ascii="Times New Roman" w:hAnsi="Times New Roman"/>
                <w:sz w:val="22"/>
              </w:rPr>
              <w:t>FK es necessary condition pero requiere arquitectura local de implementación</w:t>
            </w:r>
          </w:p>
        </w:tc>
      </w:tr>
      <w:tr>
        <w:tc>
          <w:tcPr>
            <w:tcW w:type="dxa" w:w="2880"/>
          </w:tcPr>
          <w:p>
            <w:pPr>
              <w:spacing w:line="360" w:lineRule="auto"/>
            </w:pPr>
            <w:r>
              <w:rPr>
                <w:rFonts w:ascii="Times New Roman" w:hAnsi="Times New Roman"/>
                <w:sz w:val="22"/>
              </w:rPr>
              <w:t>FL tiene efecto débil (β=0.080, no sig.)</w:t>
            </w:r>
          </w:p>
        </w:tc>
        <w:tc>
          <w:tcPr>
            <w:tcW w:type="dxa" w:w="2880"/>
          </w:tcPr>
          <w:p>
            <w:pPr>
              <w:spacing w:line="360" w:lineRule="auto"/>
            </w:pPr>
            <w:r>
              <w:rPr>
                <w:rFonts w:ascii="Times New Roman" w:hAnsi="Times New Roman"/>
                <w:sz w:val="22"/>
              </w:rPr>
              <w:t>Actores enfatizan que mentoría &gt; capital en determinar éxito</w:t>
            </w:r>
          </w:p>
        </w:tc>
        <w:tc>
          <w:tcPr>
            <w:tcW w:type="dxa" w:w="2880"/>
          </w:tcPr>
          <w:p>
            <w:pPr>
              <w:spacing w:line="360" w:lineRule="auto"/>
            </w:pPr>
            <w:r>
              <w:rPr>
                <w:rFonts w:ascii="Times New Roman" w:hAnsi="Times New Roman"/>
                <w:sz w:val="22"/>
              </w:rPr>
              <w:t>Alfabetización financiera es limitante menos crítico que acceso a mentoría</w:t>
            </w:r>
          </w:p>
        </w:tc>
      </w:tr>
      <w:tr>
        <w:tc>
          <w:tcPr>
            <w:tcW w:type="dxa" w:w="2880"/>
          </w:tcPr>
          <w:p>
            <w:pPr>
              <w:spacing w:line="360" w:lineRule="auto"/>
            </w:pPr>
            <w:r>
              <w:rPr>
                <w:rFonts w:ascii="Times New Roman" w:hAnsi="Times New Roman"/>
                <w:sz w:val="22"/>
              </w:rPr>
              <w:t>Brecha intención-acción prevalece (70% intención, 20% acción)</w:t>
            </w:r>
          </w:p>
        </w:tc>
        <w:tc>
          <w:tcPr>
            <w:tcW w:type="dxa" w:w="2880"/>
          </w:tcPr>
          <w:p>
            <w:pPr>
              <w:spacing w:line="360" w:lineRule="auto"/>
            </w:pPr>
            <w:r>
              <w:rPr>
                <w:rFonts w:ascii="Times New Roman" w:hAnsi="Times New Roman"/>
                <w:sz w:val="22"/>
              </w:rPr>
              <w:t>Actores citan: fracaso temprano desmoral., barreras legitimidad/redes, deseabilidad social</w:t>
            </w:r>
          </w:p>
        </w:tc>
        <w:tc>
          <w:tcPr>
            <w:tcW w:type="dxa" w:w="2880"/>
          </w:tcPr>
          <w:p>
            <w:pPr>
              <w:spacing w:line="360" w:lineRule="auto"/>
            </w:pPr>
            <w:r>
              <w:rPr>
                <w:rFonts w:ascii="Times New Roman" w:hAnsi="Times New Roman"/>
                <w:sz w:val="22"/>
              </w:rPr>
              <w:t>Intención autoreportada es parcialmente artefacto social; además, transición a acción requiere recursos no-cognitivos (redes, legitimidad)</w:t>
            </w:r>
          </w:p>
        </w:tc>
      </w:tr>
      <w:tr>
        <w:tc>
          <w:tcPr>
            <w:tcW w:type="dxa" w:w="2880"/>
          </w:tcPr>
          <w:p>
            <w:pPr>
              <w:spacing w:line="360" w:lineRule="auto"/>
            </w:pPr>
            <w:r>
              <w:rPr>
                <w:rFonts w:ascii="Times New Roman" w:hAnsi="Times New Roman"/>
                <w:sz w:val="22"/>
              </w:rPr>
              <w:t>N=41 Colombia replicat Modelo 1 (R²=0.487)</w:t>
            </w:r>
          </w:p>
        </w:tc>
        <w:tc>
          <w:tcPr>
            <w:tcW w:type="dxa" w:w="2880"/>
          </w:tcPr>
          <w:p>
            <w:pPr>
              <w:spacing w:line="360" w:lineRule="auto"/>
            </w:pPr>
            <w:r>
              <w:rPr>
                <w:rFonts w:ascii="Times New Roman" w:hAnsi="Times New Roman"/>
                <w:sz w:val="22"/>
              </w:rPr>
              <w:t>Actores reportan contexto regional varía pero mecanismos TCP similares</w:t>
            </w:r>
          </w:p>
        </w:tc>
        <w:tc>
          <w:tcPr>
            <w:tcW w:type="dxa" w:w="2880"/>
          </w:tcPr>
          <w:p>
            <w:pPr>
              <w:spacing w:line="360" w:lineRule="auto"/>
            </w:pPr>
            <w:r>
              <w:rPr>
                <w:rFonts w:ascii="Times New Roman" w:hAnsi="Times New Roman"/>
                <w:sz w:val="22"/>
              </w:rPr>
              <w:t>Hallazgos TCP globales aplican en Colombia, aunque con matices contextuales</w:t>
            </w:r>
          </w:p>
        </w:tc>
      </w:tr>
    </w:tbl>
    <w:p>
      <w:pPr>
        <w:spacing w:line="360" w:lineRule="auto"/>
      </w:pPr>
    </w:p>
    <w:p>
      <w:pPr>
        <w:pStyle w:val="Heading3"/>
        <w:spacing w:line="360" w:lineRule="auto"/>
      </w:pPr>
      <w:r>
        <w:rPr>
          <w:rFonts w:ascii="Times New Roman" w:hAnsi="Times New Roman"/>
          <w:b/>
          <w:sz w:val="24"/>
        </w:rPr>
        <w:t>3.7.4 Síntesis: Hacia Explicación de Brecha Intención-Acción en Colombia</w:t>
      </w:r>
    </w:p>
    <w:p>
      <w:pPr>
        <w:spacing w:line="360" w:lineRule="auto"/>
      </w:pPr>
    </w:p>
    <w:p>
      <w:pPr>
        <w:spacing w:line="360" w:lineRule="auto"/>
      </w:pPr>
      <w:r>
        <w:rPr>
          <w:rFonts w:ascii="Times New Roman" w:hAnsi="Times New Roman"/>
          <w:sz w:val="24"/>
        </w:rPr>
        <w:t>Integrando análisis cuantitativo y cualitativo, la brecha intención-acción en Colombia (70% intención reportada, 20% acción realizada, brecha de ~50 puntos) se explica por convergencia de factores:</w:t>
      </w:r>
    </w:p>
    <w:p>
      <w:pPr>
        <w:spacing w:line="360" w:lineRule="auto"/>
      </w:pPr>
    </w:p>
    <w:p>
      <w:pPr>
        <w:spacing w:line="360" w:lineRule="auto"/>
      </w:pPr>
      <w:r>
        <w:rPr>
          <w:rFonts w:ascii="Times New Roman" w:hAnsi="Times New Roman"/>
          <w:sz w:val="24"/>
        </w:rPr>
        <w:t>1. Parcial artefacto de medición: La intención tal como se auto-reporta captura parcialmente preferencia socialmente deseable ("debo decir que emprendería") más que intención genuina de comportamiento. Análisis cualitativo sugiere que cuando la pregunta es más específica (¿te postularías a una incubadora?), tasa declina de 80% a 10%.</w:t>
      </w:r>
    </w:p>
    <w:p>
      <w:pPr>
        <w:spacing w:line="360" w:lineRule="auto"/>
      </w:pPr>
    </w:p>
    <w:p>
      <w:pPr>
        <w:spacing w:line="360" w:lineRule="auto"/>
      </w:pPr>
      <w:r>
        <w:rPr>
          <w:rFonts w:ascii="Times New Roman" w:hAnsi="Times New Roman"/>
          <w:sz w:val="24"/>
        </w:rPr>
        <w:t>2. Insuficiencia de factores proximales: Los componentes TCP (actitud, normas, control percibido) predicen intención pero no acción. Estudiante puede tener actitud favorable + normas favorables + control percibido + conocimiento del ecosistema, pero si se enfrenta a fracaso temprano en intento emprendedor, se retrae. El mecanismo es desmoralizacion post-experiencia, no reflejado en constructos proximales medidos antes de intentar.</w:t>
      </w:r>
    </w:p>
    <w:p>
      <w:pPr>
        <w:spacing w:line="360" w:lineRule="auto"/>
      </w:pPr>
    </w:p>
    <w:p>
      <w:pPr>
        <w:spacing w:line="360" w:lineRule="auto"/>
      </w:pPr>
      <w:r>
        <w:rPr>
          <w:rFonts w:ascii="Times New Roman" w:hAnsi="Times New Roman"/>
          <w:sz w:val="24"/>
        </w:rPr>
        <w:t>3. Barreras estructurales no-cognitivas: Análisis cualitativo enfatiza que barreras críticas para transición intención→acción no son principalmente cognitivas (falta de conocimiento) sino estructurales: acceso a redes de inversores, legitimidad ante proveedores, viabilidad económica dado márgenes de ganancia en contexto local. Estos factores varían dramáticamente por región (Bogotá vs. Cali).</w:t>
      </w:r>
    </w:p>
    <w:p>
      <w:pPr>
        <w:spacing w:line="360" w:lineRule="auto"/>
      </w:pPr>
    </w:p>
    <w:p>
      <w:pPr>
        <w:spacing w:line="360" w:lineRule="auto"/>
      </w:pPr>
      <w:r>
        <w:rPr>
          <w:rFonts w:ascii="Times New Roman" w:hAnsi="Times New Roman"/>
          <w:sz w:val="24"/>
        </w:rPr>
        <w:t>4. Arquitectura de políticas desalineada con heterogeneidad: Políticas nacionales (Ley 1014, Fondo Emprender, iNNpulsa) están diseñadas para emprendimiento formal de oportunidad. En contextos donde mayoría de actividad económica es informal o por necesidad, política es menos relevante. Análisis cualitativo reporta que actores son conscientes de esta desalineación pero capacidad de adaptación local es limitada.</w:t>
      </w:r>
    </w:p>
    <w:p>
      <w:pPr>
        <w:spacing w:line="360" w:lineRule="auto"/>
      </w:pPr>
    </w:p>
    <w:p>
      <w:pPr>
        <w:spacing w:line="360" w:lineRule="auto"/>
      </w:pPr>
      <w:r>
        <w:rPr>
          <w:rFonts w:ascii="Times New Roman" w:hAnsi="Times New Roman"/>
          <w:sz w:val="24"/>
        </w:rPr>
        <w:t>5. Rol del contexto universitario es catalizador pero no suficiente: Desarrollo institucional modula la relación actitud-intención (hallazgo cuantitativo, p=0.031). Análisis cualitativo sugiere mecanismo: universidades con ecosistema robusto proporcionan mentoría, conexiones, oportunidades para experimentar a bajo riesgo (proyectos de clase, incubadora interna). Esto amplifica efecto de actitud sobre intención. Sin embargo, cuando estudiante deja la universidad, esta arquitectura desaparece.</w:t>
      </w:r>
    </w:p>
    <w:p>
      <w:pPr>
        <w:spacing w:line="360" w:lineRule="auto"/>
      </w:pPr>
    </w:p>
    <w:p>
      <w:pPr>
        <w:spacing w:line="360" w:lineRule="auto"/>
      </w:pPr>
      <w:r>
        <w:rPr>
          <w:rFonts w:ascii="Times New Roman" w:hAnsi="Times New Roman"/>
          <w:sz w:val="24"/>
        </w:rPr>
        <w:t>Conclusión de integración: La brecha intención-acción colombiana no es simplemente resultado de estudiantes sin intención generar. Es resultado de intención moderada-genuina en estudiantes (predicha robustamente por TCP), pero con arquitectura de transición a acción que es frágil y regresiva a factores no-cognitivos que políticas actuales no abordan directamente.</w:t>
      </w:r>
    </w:p>
    <w:p>
      <w:pPr>
        <w:spacing w:line="360" w:lineRule="auto"/>
      </w:pPr>
    </w:p>
    <w:p>
      <w:pPr>
        <w:spacing w:line="360" w:lineRule="auto"/>
      </w:pPr>
    </w:p>
    <w:p>
      <w:pPr>
        <w:pStyle w:val="Heading2"/>
        <w:spacing w:line="360" w:lineRule="auto"/>
      </w:pPr>
      <w:r>
        <w:rPr>
          <w:rFonts w:ascii="Times New Roman" w:hAnsi="Times New Roman"/>
          <w:b/>
          <w:sz w:val="24"/>
        </w:rPr>
        <w:t>3.8. Limitaciones del Diseño Mixto</w:t>
      </w:r>
    </w:p>
    <w:p>
      <w:pPr>
        <w:spacing w:line="360" w:lineRule="auto"/>
      </w:pPr>
    </w:p>
    <w:p>
      <w:pPr>
        <w:pStyle w:val="Heading3"/>
        <w:spacing w:line="360" w:lineRule="auto"/>
      </w:pPr>
      <w:r>
        <w:rPr>
          <w:rFonts w:ascii="Times New Roman" w:hAnsi="Times New Roman"/>
          <w:b/>
          <w:sz w:val="24"/>
        </w:rPr>
        <w:t>Limitaciones Cuantitativas</w:t>
      </w:r>
    </w:p>
    <w:p>
      <w:pPr>
        <w:spacing w:line="360" w:lineRule="auto"/>
      </w:pPr>
    </w:p>
    <w:p>
      <w:pPr>
        <w:spacing w:line="360" w:lineRule="auto"/>
      </w:pPr>
      <w:r>
        <w:rPr>
          <w:rFonts w:ascii="Times New Roman" w:hAnsi="Times New Roman"/>
          <w:sz w:val="24"/>
        </w:rPr>
        <w:t>1. Diseño transversal: ALBA es recolección de un único punto en tiempo (2025). No se puede establecer causalidad, solo asociación. Un estudiante con intención alta en 2025 podría haber tenido intención baja en 2024; no observamos la trayectoria. Implicación: los efectos reportados (β estimados) son relaciones condicionales, no causales.</w:t>
      </w:r>
    </w:p>
    <w:p>
      <w:pPr>
        <w:spacing w:line="360" w:lineRule="auto"/>
      </w:pPr>
    </w:p>
    <w:p>
      <w:pPr>
        <w:spacing w:line="360" w:lineRule="auto"/>
      </w:pPr>
      <w:r>
        <w:rPr>
          <w:rFonts w:ascii="Times New Roman" w:hAnsi="Times New Roman"/>
          <w:sz w:val="24"/>
        </w:rPr>
        <w:t>2. Tamaño de sub-muestra Colombia (N=41): Aunque se replican correlaciones bivariadas, no es posible estimar regresiones complejas. Análisis de sub-muestra es principalmente descriptivo-correlacional. Los hallazgos sobre interacciones (Modelo 3) están basados en muestra global (N=540), con aplicabilidad a Colombia parcialmente validada.</w:t>
      </w:r>
    </w:p>
    <w:p>
      <w:pPr>
        <w:spacing w:line="360" w:lineRule="auto"/>
      </w:pPr>
    </w:p>
    <w:p>
      <w:pPr>
        <w:spacing w:line="360" w:lineRule="auto"/>
      </w:pPr>
      <w:r>
        <w:rPr>
          <w:rFonts w:ascii="Times New Roman" w:hAnsi="Times New Roman"/>
          <w:sz w:val="24"/>
        </w:rPr>
        <w:t>3. Variables auto-reportadas: Todos los constructos (intención, actitud, normas, etc.) son medidas auto-reportadas, sujetas a sesgo de deseabilidad social. Análisis cualitativo sugiere que intención es parcialmente artefacto de esta deseabilidad. Sin embargo, dado que literatura establece que auto-reporte es estándar en medición de intención, esto es limitación inherente al campo, no solo a este estudio.</w:t>
      </w:r>
    </w:p>
    <w:p>
      <w:pPr>
        <w:spacing w:line="360" w:lineRule="auto"/>
      </w:pPr>
    </w:p>
    <w:p>
      <w:pPr>
        <w:spacing w:line="360" w:lineRule="auto"/>
      </w:pPr>
      <w:r>
        <w:rPr>
          <w:rFonts w:ascii="Times New Roman" w:hAnsi="Times New Roman"/>
          <w:sz w:val="24"/>
        </w:rPr>
        <w:t>4. Falta de variables de comportamiento real: ALBA mide intención, no acción. No tenemos datos sobre cuántos estudiantes ALBA realmente emprendieron en años posteriores a 2025. La brecha intención-acción (70% intención, 20% acción) es documentada en literatura pero no directamente validada en esta cohorte.</w:t>
      </w:r>
    </w:p>
    <w:p>
      <w:pPr>
        <w:spacing w:line="360" w:lineRule="auto"/>
      </w:pPr>
    </w:p>
    <w:p>
      <w:pPr>
        <w:pStyle w:val="Heading3"/>
        <w:spacing w:line="360" w:lineRule="auto"/>
      </w:pPr>
      <w:r>
        <w:rPr>
          <w:rFonts w:ascii="Times New Roman" w:hAnsi="Times New Roman"/>
          <w:b/>
          <w:sz w:val="24"/>
        </w:rPr>
        <w:t>Limitaciones Cualitativas</w:t>
      </w:r>
    </w:p>
    <w:p>
      <w:pPr>
        <w:spacing w:line="360" w:lineRule="auto"/>
      </w:pPr>
    </w:p>
    <w:p>
      <w:pPr>
        <w:spacing w:line="360" w:lineRule="auto"/>
      </w:pPr>
      <w:r>
        <w:rPr>
          <w:rFonts w:ascii="Times New Roman" w:hAnsi="Times New Roman"/>
          <w:sz w:val="24"/>
        </w:rPr>
        <w:t>1. Datos secundarios, no primarios: No se realizaron entrevistas originales con actores. En cambio, se utilizaron videos públicos y documentos institucionales. Esto proporciona perspectivas pero no permite seguimiento (no podemos preguntar "¿qué quisiste decir con eso?"). Además, videos son autoseleccionados por actores (es contenido que decidieron compartir públicamente), potencialmente no representativo de todas sus creencias.</w:t>
      </w:r>
    </w:p>
    <w:p>
      <w:pPr>
        <w:spacing w:line="360" w:lineRule="auto"/>
      </w:pPr>
    </w:p>
    <w:p>
      <w:pPr>
        <w:spacing w:line="360" w:lineRule="auto"/>
      </w:pPr>
      <w:r>
        <w:rPr>
          <w:rFonts w:ascii="Times New Roman" w:hAnsi="Times New Roman"/>
          <w:sz w:val="24"/>
        </w:rPr>
        <w:t>2. Cobertura de actores limitada: Los actores en dataset provienen principalmente de instituciones nacionales (MinCIT, iNNpulsa, SENA) y universidades en ciudades grandes (Bogotá, Medellín). Hay menos representación de actores en ciudades intermedias (Cali, Barranquilla) o regiones periféricas. Implicación: perspectiva cualitativa está sesgada hacia contextos con mejor infraestructura.</w:t>
      </w:r>
    </w:p>
    <w:p>
      <w:pPr>
        <w:spacing w:line="360" w:lineRule="auto"/>
      </w:pPr>
    </w:p>
    <w:p>
      <w:pPr>
        <w:spacing w:line="360" w:lineRule="auto"/>
      </w:pPr>
      <w:r>
        <w:rPr>
          <w:rFonts w:ascii="Times New Roman" w:hAnsi="Times New Roman"/>
          <w:sz w:val="24"/>
        </w:rPr>
        <w:t>3. Sin comparación con perspectiva de estudiantes en acción: Se analizan perspectivas de actores sobre intención/acción de estudiantes, pero no se entrevistó a estudiantes que intentaron emprender y fracasaron. Esta perspectiva sería valiosa para validar hipótesis cualitativas sobre desmoralización post-fracaso.</w:t>
      </w:r>
    </w:p>
    <w:p>
      <w:pPr>
        <w:spacing w:line="360" w:lineRule="auto"/>
      </w:pPr>
    </w:p>
    <w:p>
      <w:pPr>
        <w:pStyle w:val="Heading3"/>
        <w:spacing w:line="360" w:lineRule="auto"/>
      </w:pPr>
      <w:r>
        <w:rPr>
          <w:rFonts w:ascii="Times New Roman" w:hAnsi="Times New Roman"/>
          <w:b/>
          <w:sz w:val="24"/>
        </w:rPr>
        <w:t>Limitaciones de Integración Mixta</w:t>
      </w:r>
    </w:p>
    <w:p>
      <w:pPr>
        <w:spacing w:line="360" w:lineRule="auto"/>
      </w:pPr>
    </w:p>
    <w:p>
      <w:pPr>
        <w:spacing w:line="360" w:lineRule="auto"/>
      </w:pPr>
      <w:r>
        <w:rPr>
          <w:rFonts w:ascii="Times New Roman" w:hAnsi="Times New Roman"/>
          <w:sz w:val="24"/>
        </w:rPr>
        <w:t>1. Geografía desigual: ALBA es multi-país, pero análisis cualitativo es Colombia-específico. La integración asume que mecanismos cualitativos explicativos aplican también a otros países en ALBA, pero esto no está validado. Formalmente, podemos solo afirmar que la integración explica patrones en sub-muestra ALBA-Colombia.</w:t>
      </w:r>
    </w:p>
    <w:p>
      <w:pPr>
        <w:spacing w:line="360" w:lineRule="auto"/>
      </w:pPr>
    </w:p>
    <w:p>
      <w:pPr>
        <w:spacing w:line="360" w:lineRule="auto"/>
      </w:pPr>
      <w:r>
        <w:rPr>
          <w:rFonts w:ascii="Times New Roman" w:hAnsi="Times New Roman"/>
          <w:sz w:val="24"/>
        </w:rPr>
        <w:t>2. Temporalidad desigual: ALBA (2025) precede análisis cualitativo (videos/documentos 2020–2026). Los actores en videos están hablando sobre contexto en el momento de grabación (que puede ser 2020, 2023, etc.), no necesariamente contemporáneo con muestra ALBA 2025. Aunque políticas colombianas son relativamente estables (Ley 1014 desde 2006), la implementación varía.</w:t>
      </w:r>
    </w:p>
    <w:p>
      <w:pPr>
        <w:spacing w:line="360" w:lineRule="auto"/>
      </w:pPr>
    </w:p>
    <w:p>
      <w:pPr>
        <w:spacing w:line="360" w:lineRule="auto"/>
      </w:pPr>
      <w:r>
        <w:rPr>
          <w:rFonts w:ascii="Times New Roman" w:hAnsi="Times New Roman"/>
          <w:sz w:val="24"/>
        </w:rPr>
        <w:t>3. No hay datos cualitativos sobre sub-muestra específica: No tenemos datos cualitativos específicos sobre los 41 estudiantes colombianos de ALBA. Los datos cualitativos son sobre ecosistema en general. Idealmente, haríamos follow-up cualitativo con esos 41 estudiantes, pero esto está fuera del alcance.</w:t>
      </w:r>
    </w:p>
    <w:p>
      <w:pPr>
        <w:spacing w:line="360" w:lineRule="auto"/>
      </w:pPr>
    </w:p>
    <w:p>
      <w:pPr>
        <w:spacing w:line="360" w:lineRule="auto"/>
      </w:pPr>
    </w:p>
    <w:p>
      <w:pPr>
        <w:pStyle w:val="Heading2"/>
        <w:spacing w:line="360" w:lineRule="auto"/>
      </w:pPr>
      <w:r>
        <w:rPr>
          <w:rFonts w:ascii="Times New Roman" w:hAnsi="Times New Roman"/>
          <w:b/>
          <w:sz w:val="24"/>
        </w:rPr>
        <w:t>Conclusión del Capítulo 3</w:t>
      </w:r>
    </w:p>
    <w:p>
      <w:pPr>
        <w:spacing w:line="360" w:lineRule="auto"/>
      </w:pPr>
    </w:p>
    <w:p>
      <w:pPr>
        <w:spacing w:line="360" w:lineRule="auto"/>
      </w:pPr>
      <w:r>
        <w:rPr>
          <w:rFonts w:ascii="Times New Roman" w:hAnsi="Times New Roman"/>
          <w:sz w:val="24"/>
        </w:rPr>
        <w:t>Este capítulo ha ejecutado un diseño secuencial confirmatorio mixto que integra análisis cuantitativo de intención emprendedora en 540 estudiantes de educación superior con análisis cualitativo de perspectivas de actores del ecosistema colombiano.</w:t>
      </w:r>
    </w:p>
    <w:p>
      <w:pPr>
        <w:spacing w:line="360" w:lineRule="auto"/>
      </w:pPr>
    </w:p>
    <w:p>
      <w:pPr>
        <w:spacing w:line="360" w:lineRule="auto"/>
      </w:pPr>
      <w:r>
        <w:rPr>
          <w:rFonts w:ascii="Times New Roman" w:hAnsi="Times New Roman"/>
          <w:sz w:val="24"/>
        </w:rPr>
        <w:t>Hallazgos cuantitativos principales:</w:t>
      </w:r>
    </w:p>
    <w:p>
      <w:pPr>
        <w:spacing w:line="360" w:lineRule="auto"/>
      </w:pPr>
      <w:r>
        <w:rPr>
          <w:rFonts w:ascii="Times New Roman" w:hAnsi="Times New Roman"/>
          <w:sz w:val="24"/>
        </w:rPr>
        <w:t>- Teoría de la conducta planificada (TCP) predice robustamente intención emprendedora (R²=0.478 en modelo baseline)</w:t>
      </w:r>
    </w:p>
    <w:p>
      <w:pPr>
        <w:spacing w:line="360" w:lineRule="auto"/>
      </w:pPr>
      <w:r>
        <w:rPr>
          <w:rFonts w:ascii="Times New Roman" w:hAnsi="Times New Roman"/>
          <w:sz w:val="24"/>
        </w:rPr>
        <w:t>- Conocimiento del ecosistema (FK) y alfabetización financiera (FL) añaden predicción significativa (ΔR²=0.034)</w:t>
      </w:r>
    </w:p>
    <w:p>
      <w:pPr>
        <w:spacing w:line="360" w:lineRule="auto"/>
      </w:pPr>
      <w:r>
        <w:rPr>
          <w:rFonts w:ascii="Times New Roman" w:hAnsi="Times New Roman"/>
          <w:sz w:val="24"/>
        </w:rPr>
        <w:t>- Contexto universitario modula relaciones TCP, especialmente amplificando efecto de actitud sobre intención (interacción AT × U-D, β=0.089, p=0.031)</w:t>
      </w:r>
    </w:p>
    <w:p>
      <w:pPr>
        <w:spacing w:line="360" w:lineRule="auto"/>
      </w:pPr>
      <w:r>
        <w:rPr>
          <w:rFonts w:ascii="Times New Roman" w:hAnsi="Times New Roman"/>
          <w:sz w:val="24"/>
        </w:rPr>
        <w:t>- Estos patrones se replican en sub-muestra colombiana (N=41)</w:t>
      </w:r>
    </w:p>
    <w:p>
      <w:pPr>
        <w:spacing w:line="360" w:lineRule="auto"/>
      </w:pPr>
    </w:p>
    <w:p>
      <w:pPr>
        <w:spacing w:line="360" w:lineRule="auto"/>
      </w:pPr>
      <w:r>
        <w:rPr>
          <w:rFonts w:ascii="Times New Roman" w:hAnsi="Times New Roman"/>
          <w:sz w:val="24"/>
        </w:rPr>
        <w:t>Hallazgos cualitativos principales:</w:t>
      </w:r>
    </w:p>
    <w:p>
      <w:pPr>
        <w:spacing w:line="360" w:lineRule="auto"/>
      </w:pPr>
      <w:r>
        <w:rPr>
          <w:rFonts w:ascii="Times New Roman" w:hAnsi="Times New Roman"/>
          <w:sz w:val="24"/>
        </w:rPr>
        <w:t>- Actores reconocen validez de constructos TCP pero enfatizan que "actitud existe pero está condicionada a oportunidad local"</w:t>
      </w:r>
    </w:p>
    <w:p>
      <w:pPr>
        <w:spacing w:line="360" w:lineRule="auto"/>
      </w:pPr>
      <w:r>
        <w:rPr>
          <w:rFonts w:ascii="Times New Roman" w:hAnsi="Times New Roman"/>
          <w:sz w:val="24"/>
        </w:rPr>
        <w:t>- Mecanismo de cómo políticas influyen intención es intermediación local + mentoría, más que capital inicial</w:t>
      </w:r>
    </w:p>
    <w:p>
      <w:pPr>
        <w:spacing w:line="360" w:lineRule="auto"/>
      </w:pPr>
      <w:r>
        <w:rPr>
          <w:rFonts w:ascii="Times New Roman" w:hAnsi="Times New Roman"/>
          <w:sz w:val="24"/>
        </w:rPr>
        <w:t>- Brecha intención-acción es explicada por: (1) artefacto de medición (deseabilidad social), (2) desmoralización post-fracaso, (3) barreras estructurales (redes, legitimidad)</w:t>
      </w:r>
    </w:p>
    <w:p>
      <w:pPr>
        <w:spacing w:line="360" w:lineRule="auto"/>
      </w:pPr>
    </w:p>
    <w:p>
      <w:pPr>
        <w:spacing w:line="360" w:lineRule="auto"/>
      </w:pPr>
      <w:r>
        <w:rPr>
          <w:rFonts w:ascii="Times New Roman" w:hAnsi="Times New Roman"/>
          <w:sz w:val="24"/>
        </w:rPr>
        <w:t>Síntesis mixta: Los datos cuantitativos y cualitativos convergen en señalar que contexto (universitario y de ecosistema) es modulador crítico de la relación intención-comportamiento, pero por mecanismos no-cognitivos: acceso a mentoría, intermediación local, legitimidad social. Políticas públicas que ignoren estas dimensiones tendrán eficacia limitada.</w:t>
      </w:r>
    </w:p>
    <w:p>
      <w:pPr>
        <w:spacing w:line="360" w:lineRule="auto"/>
      </w:pPr>
    </w:p>
    <w:p>
      <w:pPr>
        <w:spacing w:line="360" w:lineRule="auto"/>
      </w:pPr>
    </w:p>
    <w:p>
      <w:pPr>
        <w:pStyle w:val="Heading2"/>
        <w:spacing w:line="360" w:lineRule="auto"/>
      </w:pPr>
      <w:r>
        <w:rPr>
          <w:rFonts w:ascii="Times New Roman" w:hAnsi="Times New Roman"/>
          <w:b/>
          <w:sz w:val="24"/>
        </w:rPr>
        <w:t>Referencias</w:t>
      </w:r>
    </w:p>
    <w:p>
      <w:pPr>
        <w:spacing w:line="360" w:lineRule="auto"/>
      </w:pPr>
    </w:p>
    <w:p>
      <w:pPr>
        <w:spacing w:line="360" w:lineRule="auto"/>
      </w:pPr>
      <w:r>
        <w:rPr>
          <w:rFonts w:ascii="Times New Roman" w:hAnsi="Times New Roman"/>
          <w:sz w:val="24"/>
        </w:rPr>
        <w:t>(Se completan según Cap. 2 y nuevas fuentes en Cap. 3)</w:t>
      </w:r>
    </w:p>
    <w:p>
      <w:pPr>
        <w:spacing w:line="36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