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רכיב הניהול הרלוונטי בשרת, ומסד הנתונים - בהתאם לרכיבים שהוגדרו בפרק הארכיטקטורה הלוגית.</w:t>
      </w:r>
    </w:p>
    <w:p>
      <w:pPr>
        <w:bidi/>
        <w:spacing w:after="80" w:line="360"/>
      </w:pPr>
      <w:r>
        <w:rPr>
          <w:rFonts w:ascii="David" w:cs="David" w:hAnsi="David"/>
          <w:sz w:val="28"/>
          <w:szCs w:val="28"/>
          <w:rtl/>
        </w:rPr>
        <w:t xml:space="preserve">ההודעות ממוספרות לפי שלבים: הספרה הראשונה מציינת את שלב התהליך, והספרה שאחרי הנקודה מציינת את סדר ההודעות בתוך אותו שלב.</w:t>
      </w: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ממלא את פרטיו, המערכת בודקת את תקינותם, מצפינה את הסיסמה ושומרת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334000" cy="4429125"/>
            <wp:effectExtent l="0" t="0" r="0" b="0"/>
            <wp:docPr id="23" name="Picture 23" descr="01-seq-suc01-הרשמ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1-seq-suc01-הרשמה"/>
                    <pic:cNvPicPr/>
                  </pic:nvPicPr>
                  <pic:blipFill>
                    <a:blip r:embed="rId52"/>
                    <a:stretch>
                      <a:fillRect/>
                    </a:stretch>
                  </pic:blipFill>
                  <pic:spPr>
                    <a:xfrm>
                      <a:off x="0" y="0"/>
                      <a:ext cx="5334000" cy="442912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דוא״ל וסיסמה, המערכת מאמתת אותם מול מסד הנתונים ומעבירה אותו לממשק המותאם להרשאותיו.</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001288"/>
            <wp:effectExtent l="0" t="0" r="0" b="0"/>
            <wp:docPr id="22" name="Picture 22" descr="02-seq-suc02-התחבר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2-seq-suc02-התחברות"/>
                    <pic:cNvPicPr/>
                  </pic:nvPicPr>
                  <pic:blipFill>
                    <a:blip r:embed="rId51"/>
                    <a:stretch>
                      <a:fillRect/>
                    </a:stretch>
                  </pic:blipFill>
                  <pic:spPr>
                    <a:xfrm>
                      <a:off x="0" y="0"/>
                      <a:ext cx="5486400" cy="4001288"/>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הראשונה לחישוב השעות הפנויות, והשנייה לבדיקה חוזרת ממש לפני השמירה, כדי למנוע מצב שבו שני לקוחות תופסים את אותה שעה.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229100"/>
            <wp:effectExtent l="0" t="0" r="0" b="0"/>
            <wp:docPr id="21" name="Picture 21" descr="03-seq-suc03-הזמנת-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3-seq-suc03-הזמנת-תור"/>
                    <pic:cNvPicPr/>
                  </pic:nvPicPr>
                  <pic:blipFill>
                    <a:blip r:embed="rId50"/>
                    <a:stretch>
                      <a:fillRect/>
                    </a:stretch>
                  </pic:blipFill>
                  <pic:spPr>
                    <a:xfrm>
                      <a:off x="0" y="0"/>
                      <a:ext cx="5486400" cy="422910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המערכת שולפת ומציגה אך ורק את התורים העתידיים של הלקוח המחובר.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391150" cy="3076575"/>
            <wp:effectExtent l="0" t="0" r="0" b="0"/>
            <wp:docPr id="20" name="Picture 20" descr="04-seq-suc04-צפייה-ב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4-seq-suc04-צפייה-בתורים"/>
                    <pic:cNvPicPr/>
                  </pic:nvPicPr>
                  <pic:blipFill>
                    <a:blip r:embed="rId49"/>
                    <a:stretch>
                      <a:fillRect/>
                    </a:stretch>
                  </pic:blipFill>
                  <pic:spPr>
                    <a:xfrm>
                      <a:off x="0" y="0"/>
                      <a:ext cx="5391150" cy="30765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והמועד החדש נתפס. שתי הפעולות מתבצעות יחד, כך שלא ייווצר מצב ביניים שבו הלקוח נשאר בלי תור.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57825" cy="5286375"/>
            <wp:effectExtent l="0" t="0" r="0" b="0"/>
            <wp:docPr id="19" name="Picture 19" descr="05-seq-suc05-שינוי-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seq-suc05-שינוי-תור"/>
                    <pic:cNvPicPr/>
                  </pic:nvPicPr>
                  <pic:blipFill>
                    <a:blip r:embed="rId48"/>
                    <a:stretch>
                      <a:fillRect/>
                    </a:stretch>
                  </pic:blipFill>
                  <pic:spPr>
                    <a:xfrm>
                      <a:off x="0" y="0"/>
                      <a:ext cx="5457825" cy="52863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התהליך 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162550" cy="4333875"/>
            <wp:effectExtent l="0" t="0" r="0" b="0"/>
            <wp:docPr id="18" name="Picture 18" descr="06-seq-suc06-ביטול-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6-seq-suc06-ביטול-תור"/>
                    <pic:cNvPicPr/>
                  </pic:nvPicPr>
                  <pic:blipFill>
                    <a:blip r:embed="rId47"/>
                    <a:stretch>
                      <a:fillRect/>
                    </a:stretch>
                  </pic:blipFill>
                  <pic:spPr>
                    <a:xfrm>
                      <a:off x="0" y="0"/>
                      <a:ext cx="5162550" cy="43338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במערכת. פרטי האשראי עוברים לשירות הסליקה החיצוני ואינם נשמרים במסד הנתונים של האתר.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957590"/>
            <wp:effectExtent l="0" t="0" r="0" b="0"/>
            <wp:docPr id="17" name="Picture 17" descr="07-seq-suc07-רכישה-ב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7-seq-suc07-רכישה-בחנות"/>
                    <pic:cNvPicPr/>
                  </pic:nvPicPr>
                  <pic:blipFill>
                    <a:blip r:embed="rId46"/>
                    <a:stretch>
                      <a:fillRect/>
                    </a:stretch>
                  </pic:blipFill>
                  <pic:spPr>
                    <a:xfrm>
                      <a:off x="0" y="0"/>
                      <a:ext cx="5486400" cy="495759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התהליך זמין לכל סוגי המשתמשים: לקוח, נותן שירות ומנהל.</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019675" cy="4181475"/>
            <wp:effectExtent l="0" t="0" r="0" b="0"/>
            <wp:docPr id="16" name="Picture 16" descr="08-seq-suc08-פרופיל-איש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seq-suc08-פרופיל-אישי"/>
                    <pic:cNvPicPr/>
                  </pic:nvPicPr>
                  <pic:blipFill>
                    <a:blip r:embed="rId45"/>
                    <a:stretch>
                      <a:fillRect/>
                    </a:stretch>
                  </pic:blipFill>
                  <pic:spPr>
                    <a:xfrm>
                      <a:off x="0" y="0"/>
                      <a:ext cx="5019675" cy="41814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התרשים כולל את שני חלקי התהליך: צפייה ביומן התורים, ועריכת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017087"/>
            <wp:effectExtent l="0" t="0" r="0" b="0"/>
            <wp:docPr id="15" name="Picture 15" descr="09-seq-suc09-יומן-ושע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seq-suc09-יומן-ושעות"/>
                    <pic:cNvPicPr/>
                  </pic:nvPicPr>
                  <pic:blipFill>
                    <a:blip r:embed="rId44"/>
                    <a:stretch>
                      <a:fillRect/>
                    </a:stretch>
                  </pic:blipFill>
                  <pic:spPr>
                    <a:xfrm>
                      <a:off x="0" y="0"/>
                      <a:ext cx="5486400" cy="4017087"/>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המנהל הראשי מעניק הרשאות לנותני שירות. התהליך כולל חלון אישור לפני ביצוע השינוי.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838700" cy="4333875"/>
            <wp:effectExtent l="0" t="0" r="0" b="0"/>
            <wp:docPr id="14" name="Picture 14" descr="10-seq-suc10-ניהול-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seq-suc10-ניהול-משתמשים"/>
                    <pic:cNvPicPr/>
                  </pic:nvPicPr>
                  <pic:blipFill>
                    <a:blip r:embed="rId43"/>
                    <a:stretch>
                      <a:fillRect/>
                    </a:stretch>
                  </pic:blipFill>
                  <pic:spPr>
                    <a:xfrm>
                      <a:off x="0" y="0"/>
                      <a:ext cx="4838700" cy="43338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הראשי צופה בכלל התורים שנקבעו במערכת, בניגוד לנותן השירות שרואה את התורים שנקבעו אליו בלבד.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381625" cy="3076575"/>
            <wp:effectExtent l="0" t="0" r="0" b="0"/>
            <wp:docPr id="13" name="Picture 13" descr="11-seq-suc11-ניהול-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seq-suc11-ניהול-תורים"/>
                    <pic:cNvPicPr/>
                  </pic:nvPicPr>
                  <pic:blipFill>
                    <a:blip r:embed="rId42"/>
                    <a:stretch>
                      <a:fillRect/>
                    </a:stretch>
                  </pic:blipFill>
                  <pic:spPr>
                    <a:xfrm>
                      <a:off x="0" y="0"/>
                      <a:ext cx="5381625" cy="30765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המנהל הראשי מנהל את מוצרי החנות וצופה בכלל ההזמנות שבוצעו.</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238750" cy="5286375"/>
            <wp:effectExtent l="0" t="0" r="0" b="0"/>
            <wp:docPr id="12" name="Picture 12" descr="12-seq-suc12-ניהול-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seq-suc12-ניהול-חנות"/>
                    <pic:cNvPicPr/>
                  </pic:nvPicPr>
                  <pic:blipFill>
                    <a:blip r:embed="rId41"/>
                    <a:stretch>
                      <a:fillRect/>
                    </a:stretch>
                  </pic:blipFill>
                  <pic:spPr>
                    <a:xfrm>
                      <a:off x="0" y="0"/>
                      <a:ext cx="5238750" cy="5286375"/>
                    </a:xfrm>
                    <a:prstGeom prst="rect">
                      <a:avLst/>
                    </a:prstGeom>
                  </pic:spPr>
                </pic:pic>
              </a:graphicData>
            </a:graphic>
          </wp:inline>
        </w:drawing>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629150" cy="5048250"/>
            <wp:effectExtent l="0" t="0" r="0" b="0"/>
            <wp:docPr id="11" name="Picture 11" descr="13-sdd-pdom-קונספטואל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3-sdd-pdom-קונספטואלי"/>
                    <pic:cNvPicPr/>
                  </pic:nvPicPr>
                  <pic:blipFill>
                    <a:blip r:embed="rId40"/>
                    <a:stretch>
                      <a:fillRect/>
                    </a:stretch>
                  </pic:blipFill>
                  <pic:spPr>
                    <a:xfrm>
                      <a:off x="0" y="0"/>
                      <a:ext cx="4629150" cy="50482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038725" cy="3638550"/>
            <wp:effectExtent l="0" t="0" r="0" b="0"/>
            <wp:docPr id="10" name="Picture 10" descr="14-sdd-pdom-מחלק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4-sdd-pdom-מחלקות"/>
                    <pic:cNvPicPr/>
                  </pic:nvPicPr>
                  <pic:blipFill>
                    <a:blip r:embed="rId39"/>
                    <a:stretch>
                      <a:fillRect/>
                    </a:stretch>
                  </pic:blipFill>
                  <pic:spPr>
                    <a:xfrm>
                      <a:off x="0" y="0"/>
                      <a:ext cx="5038725" cy="36385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524375" cy="6505575"/>
            <wp:effectExtent l="0" t="0" r="0" b="0"/>
            <wp:docPr id="9" name="Picture 9" descr="15-sdd-מחלקות-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sdd-מחלקות-תורים"/>
                    <pic:cNvPicPr/>
                  </pic:nvPicPr>
                  <pic:blipFill>
                    <a:blip r:embed="rId38"/>
                    <a:stretch>
                      <a:fillRect/>
                    </a:stretch>
                  </pic:blipFill>
                  <pic:spPr>
                    <a:xfrm>
                      <a:off x="0" y="0"/>
                      <a:ext cx="4524375" cy="6505575"/>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365821"/>
            <wp:effectExtent l="0" t="0" r="0" b="0"/>
            <wp:docPr id="8" name="Picture 8" descr="16-sdd-רצף-calculateFree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6-sdd-רצף-calculateFreeSlots"/>
                    <pic:cNvPicPr/>
                  </pic:nvPicPr>
                  <pic:blipFill>
                    <a:blip r:embed="rId37"/>
                    <a:stretch>
                      <a:fillRect/>
                    </a:stretch>
                  </pic:blipFill>
                  <pic:spPr>
                    <a:xfrm>
                      <a:off x="0" y="0"/>
                      <a:ext cx="5486400" cy="436582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276725" cy="6838950"/>
            <wp:effectExtent l="0" t="0" r="0" b="0"/>
            <wp:docPr id="7" name="Picture 7" descr="17-sdd-מחלקות-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7-sdd-מחלקות-משתמשים"/>
                    <pic:cNvPicPr/>
                  </pic:nvPicPr>
                  <pic:blipFill>
                    <a:blip r:embed="rId36"/>
                    <a:stretch>
                      <a:fillRect/>
                    </a:stretch>
                  </pic:blipFill>
                  <pic:spPr>
                    <a:xfrm>
                      <a:off x="0" y="0"/>
                      <a:ext cx="4276725" cy="68389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7307351"/>
            <wp:effectExtent l="0" t="0" r="0" b="0"/>
            <wp:docPr id="6" name="Picture 6" descr="18-sdd-רצף-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8-sdd-רצף-register"/>
                    <pic:cNvPicPr/>
                  </pic:nvPicPr>
                  <pic:blipFill>
                    <a:blip r:embed="rId35"/>
                    <a:stretch>
                      <a:fillRect/>
                    </a:stretch>
                  </pic:blipFill>
                  <pic:spPr>
                    <a:xfrm>
                      <a:off x="0" y="0"/>
                      <a:ext cx="5486400" cy="730735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348318"/>
            <wp:effectExtent l="0" t="0" r="0" b="0"/>
            <wp:docPr id="5" name="Picture 5" descr="19-sdd-מצבים-Appoin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9-sdd-מצבים-Appointment"/>
                    <pic:cNvPicPr/>
                  </pic:nvPicPr>
                  <pic:blipFill>
                    <a:blip r:embed="rId34"/>
                    <a:stretch>
                      <a:fillRect/>
                    </a:stretch>
                  </pic:blipFill>
                  <pic:spPr>
                    <a:xfrm>
                      <a:off x="0" y="0"/>
                      <a:ext cx="5486400" cy="3348318"/>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6474941"/>
            <wp:effectExtent l="0" t="0" r="0" b="0"/>
            <wp:docPr id="4" name="Picture 4" descr="20-sdd-מצבים-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sdd-מצבים-Order"/>
                    <pic:cNvPicPr/>
                  </pic:nvPicPr>
                  <pic:blipFill>
                    <a:blip r:embed="rId33"/>
                    <a:stretch>
                      <a:fillRect/>
                    </a:stretch>
                  </pic:blipFill>
                  <pic:spPr>
                    <a:xfrm>
                      <a:off x="0" y="0"/>
                      <a:ext cx="5486400" cy="647494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r>
        <w:br w:type="page"/>
      </w:r>
    </w:p>
    <w:p>
      <w:pPr>
        <w:bidi/>
        <w:jc w:val="center"/>
        <w:spacing w:after="120" w:line="360"/>
      </w:pPr>
      <w:r>
        <w:rPr>
          <w:rFonts w:ascii="David" w:cs="David" w:hAnsi="David"/>
          <w:b/>
          <w:bCs/>
          <w:sz w:val="44"/>
          <w:szCs w:val="44"/>
          <w:rtl/>
        </w:rPr>
        <w:t xml:space="preserve">נספח</w:t>
      </w:r>
    </w:p>
    <w:p>
      <w:pPr>
        <w:bidi/>
        <w:jc w:val="center"/>
        <w:spacing w:after="300" w:line="360"/>
      </w:pPr>
      <w:r>
        <w:rPr>
          <w:rFonts w:ascii="David" w:cs="David" w:hAnsi="David"/>
          <w:b/>
          <w:bCs/>
          <w:sz w:val="30"/>
          <w:szCs w:val="30"/>
          <w:rtl/>
        </w:rPr>
        <w:t xml:space="preserve">השלמות לסעיפים שבגוף הספר</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מה הנספח הזה ולמה הוא כאן</w:t>
            </w:r>
          </w:p>
          <w:p>
            <w:pPr>
              <w:bidi/>
              <w:spacing w:after="0" w:line="300"/>
            </w:pPr>
            <w:r>
              <w:rPr>
                <w:rFonts w:ascii="David" w:cs="David" w:hAnsi="David"/>
                <w:sz w:val="22"/>
                <w:szCs w:val="22"/>
                <w:rtl/>
              </w:rPr>
              <w:t xml:space="preserve">גוף הספר נשאר בדיוק כפי שנכתב, ולכן ההשלמות לסעיפים שנמצאים באמצעו לא הושתלו במקומן אלא רוכזו כאן. כל פריט מסומן בדיוק לאן הוא שייך. העתק כל אחד למקומו בספר, ובסיום מחק את הנספח כולו - ואז הספר יסתיים בדפי האישור כנדרש.</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9, אחרי 9.2 תרשים רצף</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855700"/>
            <wp:effectExtent l="0" t="0" r="0" b="0"/>
            <wp:docPr id="3" name="Picture 3" descr="21-נספח-9.3-data-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1-נספח-9.3-data-flow"/>
                    <pic:cNvPicPr/>
                  </pic:nvPicPr>
                  <pic:blipFill>
                    <a:blip r:embed="rId32"/>
                    <a:stretch>
                      <a:fillRect/>
                    </a:stretch>
                  </pic:blipFill>
                  <pic:spPr>
                    <a:xfrm>
                      <a:off x="0" y="0"/>
                      <a:ext cx="5486400" cy="3855700"/>
                    </a:xfrm>
                    <a:prstGeom prst="rect">
                      <a:avLst/>
                    </a:prstGeom>
                  </pic:spPr>
                </pic:pic>
              </a:graphicData>
            </a:graphic>
          </wp:inline>
        </w:drawing>
      </w:r>
    </w:p>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10, מתחת לכותרת 10.1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bidi/>
        <w:spacing w:after="100" w:before="240" w:line="360"/>
      </w:pPr>
      <w:r>
        <w:rPr>
          <w:rFonts w:ascii="David" w:cs="David" w:hAnsi="David"/>
          <w:b/>
          <w:bCs/>
          <w:sz w:val="28"/>
          <w:szCs w:val="28"/>
          <w:rtl/>
        </w:rPr>
        <w:t xml:space="preserve">10.1	איזו בעיה בא לפתור, וכיצד</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11, אחרי שתי הפסקאות הקיימות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11.‏ תיאור/התייחסות לנושאי אבטחת מידע - הרחבה</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12, אחרי 12.3 תוכנות נדרשות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13, במקום הרשימה הקיימת (אופציונלי)</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13.‏ תכנית עבודה ושלבים למימוש הפרויקט - כטבלה</w:t>
      </w:r>
    </w:p>
    <w:p>
      <w:pPr>
        <w:bidi/>
        <w:spacing w:after="80" w:line="360"/>
      </w:pPr>
      <w:r>
        <w:rPr>
          <w:rFonts w:ascii="David" w:cs="David" w:hAnsi="David"/>
          <w:sz w:val="28"/>
          <w:szCs w:val="28"/>
          <w:rtl/>
        </w:rPr>
        <w:t xml:space="preserve">הרשימה הקיימת בספר תקינה מבחינת התוכן, אך התאריכים שבה כבר עברו. הטבלה הבאה מציגה את אותם שלבים בפורמט טבלה, כמו בספר הדוגמה, עם תאריכים מעודכנים. השימוש בה אינו חובה.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14, בתוך הטבלה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14. תכנון הבדיקות שיבוצעו - הטבלה המלאה</w:t>
      </w:r>
    </w:p>
    <w:p>
      <w:pPr>
        <w:bidi/>
        <w:spacing w:after="80" w:line="360"/>
      </w:pPr>
      <w:r>
        <w:rPr>
          <w:rFonts w:ascii="David" w:cs="David" w:hAnsi="David"/>
          <w:sz w:val="28"/>
          <w:szCs w:val="28"/>
          <w:rtl/>
        </w:rPr>
        <w:t xml:space="preserve">הטבלה הבאה שומרת על שלוש העמודות שכבר קיימות בספר, ורק ממלאת את התאים. אפשר להעתיק את השורות אל תוך הטבלה הקיימת.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SRS, סעיף 2.ג - אחרי המפרט של SUC-11</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מפרט SUC-12 - חסר ב-SRS</w:t>
      </w:r>
    </w:p>
    <w:p>
      <w:pPr>
        <w:bidi/>
        <w:spacing w:after="80" w:line="360"/>
      </w:pPr>
      <w:r>
        <w:rPr>
          <w:rFonts w:ascii="David" w:cs="David" w:hAnsi="David"/>
          <w:sz w:val="28"/>
          <w:szCs w:val="28"/>
          <w:rtl/>
        </w:rPr>
        <w:t xml:space="preserve">ברשימת תהליכי המערכת (סעיף 2.א) מוצהרים 12 תהליכים, אך במפרט (סעיף 2.ג) יש מפרטים ל-11 בלבד. בלי המפרט הזה, דרישה 26 אינה מכוסה בשום מקום בספר.</w:t>
      </w: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711750"/>
            <wp:effectExtent l="0" t="0" r="0" b="0"/>
            <wp:docPr id="2" name="Picture 2" descr="22-נספח-suc12-תרשים-פעיל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2-נספח-suc12-תרשים-פעילות"/>
                    <pic:cNvPicPr/>
                  </pic:nvPicPr>
                  <pic:blipFill>
                    <a:blip r:embed="rId31"/>
                    <a:stretch>
                      <a:fillRect/>
                    </a:stretch>
                  </pic:blipFill>
                  <pic:spPr>
                    <a:xfrm>
                      <a:off x="0" y="0"/>
                      <a:ext cx="5486400" cy="57117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diagram22.png"/><Relationship Id="rId32" Type="http://schemas.openxmlformats.org/officeDocument/2006/relationships/image" Target="media/diagram21.png"/><Relationship Id="rId33" Type="http://schemas.openxmlformats.org/officeDocument/2006/relationships/image" Target="media/diagram20.png"/><Relationship Id="rId34" Type="http://schemas.openxmlformats.org/officeDocument/2006/relationships/image" Target="media/diagram19.png"/><Relationship Id="rId35" Type="http://schemas.openxmlformats.org/officeDocument/2006/relationships/image" Target="media/diagram18.png"/><Relationship Id="rId36" Type="http://schemas.openxmlformats.org/officeDocument/2006/relationships/image" Target="media/diagram17.png"/><Relationship Id="rId37" Type="http://schemas.openxmlformats.org/officeDocument/2006/relationships/image" Target="media/diagram16.png"/><Relationship Id="rId38" Type="http://schemas.openxmlformats.org/officeDocument/2006/relationships/image" Target="media/diagram15.png"/><Relationship Id="rId39" Type="http://schemas.openxmlformats.org/officeDocument/2006/relationships/image" Target="media/diagram14.png"/><Relationship Id="rId40" Type="http://schemas.openxmlformats.org/officeDocument/2006/relationships/image" Target="media/diagram13.png"/><Relationship Id="rId41" Type="http://schemas.openxmlformats.org/officeDocument/2006/relationships/image" Target="media/diagram12.png"/><Relationship Id="rId42" Type="http://schemas.openxmlformats.org/officeDocument/2006/relationships/image" Target="media/diagram11.png"/><Relationship Id="rId43" Type="http://schemas.openxmlformats.org/officeDocument/2006/relationships/image" Target="media/diagram10.png"/><Relationship Id="rId44" Type="http://schemas.openxmlformats.org/officeDocument/2006/relationships/image" Target="media/diagram9.png"/><Relationship Id="rId45" Type="http://schemas.openxmlformats.org/officeDocument/2006/relationships/image" Target="media/diagram8.png"/><Relationship Id="rId46" Type="http://schemas.openxmlformats.org/officeDocument/2006/relationships/image" Target="media/diagram7.png"/><Relationship Id="rId47" Type="http://schemas.openxmlformats.org/officeDocument/2006/relationships/image" Target="media/diagram6.png"/><Relationship Id="rId48" Type="http://schemas.openxmlformats.org/officeDocument/2006/relationships/image" Target="media/diagram5.png"/><Relationship Id="rId49" Type="http://schemas.openxmlformats.org/officeDocument/2006/relationships/image" Target="media/diagram4.png"/><Relationship Id="rId50" Type="http://schemas.openxmlformats.org/officeDocument/2006/relationships/image" Target="media/diagram3.png"/><Relationship Id="rId51" Type="http://schemas.openxmlformats.org/officeDocument/2006/relationships/image" Target="media/diagram2.png"/><Relationship Id="rId52" Type="http://schemas.openxmlformats.org/officeDocument/2006/relationships/image" Target="media/diagram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