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pPr>
      <w:r>
        <w:rPr/>
        <w:t xml:space="preserve">Prácticas preprofesionales – Departamento de Ciencias de la Computación</w:t>
      </w:r>
    </w:p>
    <w:p>
      <w:pPr>
        <w:spacing w:after="0"/>
      </w:pPr>
      <w:r>
        <w:rPr/>
        <w:t xml:space="preserve">Universidad de las Fuerzas Armadas ESPE</w:t>
      </w:r>
    </w:p>
    <w:p>
      <w:pPr>
        <w:spacing w:after="0"/>
      </w:pPr>
      <w:r>
        <w:rPr>
          <w:b/>
          <w:bCs/>
        </w:rPr>
        <w:t xml:space="preserve">Proyecto: Smart Agriculture</w:t>
      </w:r>
    </w:p>
    <w:p>
      <w:pPr>
        <w:spacing w:after="0"/>
      </w:pPr>
      <w:r>
        <w:rPr>
          <w:b/>
          <w:bCs/>
        </w:rPr>
        <w:t xml:space="preserve">Autor/a: Ariel Llumiquinga</w:t>
      </w:r>
    </w:p>
    <w:p>
      <w:pPr>
        <w:spacing w:after="0"/>
      </w:pPr>
      <w:r>
        <w:rPr>
          <w:b/>
          <w:bCs/>
        </w:rPr>
        <w:t xml:space="preserve">Tutora: Ing. Doris Chicaiza</w:t>
      </w:r>
    </w:p>
    <w:p>
      <w:pPr>
        <w:spacing w:after="0"/>
      </w:pPr>
      <w:r>
        <w:rPr>
          <w:b/>
          <w:bCs/>
        </w:rPr>
        <w:t xml:space="preserve">Actividad 1 – Tarea 2: Revisar fundamentos de IA, visión por computador, aprendizaje profundo y HCI</w:t>
      </w:r>
    </w:p>
    <w:p>
      <w:pPr>
        <w:spacing w:after="240"/>
      </w:pPr>
      <w:r>
        <w:rPr>
          <w:b/>
          <w:bCs/>
        </w:rPr>
        <w:t xml:space="preserve">Fecha: 1 de octubre de 2026.</w:t>
      </w:r>
    </w:p>
    <w:p>
      <w:pPr>
        <w:spacing w:before="120" w:after="200"/>
        <w:jc w:val="center"/>
      </w:pPr>
      <w:r>
        <w:rPr>
          <w:b/>
          <w:bCs/>
          <w:color w:val="1F3864"/>
          <w:sz w:val="28"/>
          <w:szCs w:val="28"/>
        </w:rPr>
        <w:t xml:space="preserve">Fundamentos de inteligencia artificial, visión por computador, aprendizaje profundo e interacción persona-ordenador para el diagnóstico de enfermedades en tallos de aguacate</w:t>
      </w:r>
    </w:p>
    <w:p>
      <w:pPr>
        <w:spacing w:before="40" w:after="200"/>
        <w:jc w:val="both"/>
      </w:pPr>
      <w:r>
        <w:rPr>
          <w:i/>
          <w:iCs/>
          <w:sz w:val="18"/>
          <w:szCs w:val="18"/>
        </w:rPr>
        <w:t xml:space="preserve">Nota. Este documento utiliza exclusivamente fuentes recopiladas por el autor en la carpeta Grupos v2. Su propósito es fijar los conceptos que se emplearán en la revisión sistemática y en las fases técnicas del proyecto.</w:t>
      </w:r>
    </w:p>
    <w:p>
      <w:pPr>
        <w:keepNext/>
        <w:spacing w:before="360" w:after="160"/>
      </w:pPr>
      <w:r>
        <w:rPr>
          <w:b/>
          <w:bCs/>
          <w:color w:val="1F3864"/>
          <w:sz w:val="26"/>
          <w:szCs w:val="26"/>
        </w:rPr>
        <w:t xml:space="preserve">1. Agricultura de precisión y agricultura inteligente</w:t>
      </w:r>
    </w:p>
    <w:p>
      <w:pPr>
        <w:jc w:val="both"/>
      </w:pPr>
      <w:r>
        <w:rPr/>
        <w:t xml:space="preserve">La agricultura de precisión es un enfoque que aprovecha tecnologías avanzadas para optimizar las prácticas agrícolas, mejorar la eficiencia en el uso de los recursos y aumentar los rendimientos, adaptando las intervenciones a las condiciones específicas de cada campo o sección de campo; para ello emplea herramientas como la teledetección, los sistemas de información geográfica y el aprendizaje automático (Majdalawieh et al., 2025). Sus aplicaciones incluyen la detección de malezas, enfermedades y plagas, apoyadas en sensores y analítica digital (Sajitha et al., 2024).</w:t>
      </w:r>
    </w:p>
    <w:p>
      <w:pPr>
        <w:ind w:firstLine="709"/>
        <w:jc w:val="both"/>
      </w:pPr>
      <w:r>
        <w:rPr/>
        <w:t xml:space="preserve">El punto de partida del problema es que los agricultores suelen vigilar las plantas enfermas de forma manual y a simple vista, lo que consume tiempo y recursos (Sajitha et al., 2024). La integración de dispositivos del Internet de las cosas y de analítica de datos, junto con el cómputo en el borde (</w:t>
      </w:r>
      <w:r>
        <w:rPr>
          <w:i/>
          <w:iCs/>
        </w:rPr>
        <w:t xml:space="preserve">edge computing</w:t>
      </w:r>
      <w:r>
        <w:rPr/>
        <w:t xml:space="preserve">), permite procesar los datos y tomar decisiones directamente en el campo (Saini et al., 2026).</w:t>
      </w:r>
    </w:p>
    <w:p>
      <w:pPr>
        <w:keepNext/>
        <w:spacing w:before="360" w:after="160"/>
      </w:pPr>
      <w:r>
        <w:rPr>
          <w:b/>
          <w:bCs/>
          <w:color w:val="1F3864"/>
          <w:sz w:val="26"/>
          <w:szCs w:val="26"/>
        </w:rPr>
        <w:t xml:space="preserve">2. Inteligencia artificial, aprendizaje automático y aprendizaje profundo</w:t>
      </w:r>
    </w:p>
    <w:p>
      <w:pPr>
        <w:jc w:val="both"/>
      </w:pPr>
      <w:r>
        <w:rPr/>
        <w:t xml:space="preserve">El aprendizaje automático (</w:t>
      </w:r>
      <w:r>
        <w:rPr>
          <w:i/>
          <w:iCs/>
        </w:rPr>
        <w:t xml:space="preserve">machine learning</w:t>
      </w:r>
      <w:r>
        <w:rPr/>
        <w:t xml:space="preserve">, ML) es un subconjunto de la inteligencia artificial que crea algoritmos capaces de identificar patrones ocultos en los datos y mejorar su desempeño sin ser programados explícitamente para ello; entre sus algoritmos más comunes están las máquinas de vectores de soporte (SVM) y los k vecinos más cercanos (K-NN) (Sajitha et al., 2024). El aprendizaje profundo (</w:t>
      </w:r>
      <w:r>
        <w:rPr>
          <w:i/>
          <w:iCs/>
        </w:rPr>
        <w:t xml:space="preserve">deep learning</w:t>
      </w:r>
      <w:r>
        <w:rPr/>
        <w:t xml:space="preserve">, DL) es, a su vez, un subconjunto del ML basado en redes neuronales con múltiples capas ocultas, capaces de aprender a clasificar imágenes y a detectar regiones de interés, como los síntomas de una enfermedad (Sajitha et al., 2024).</w:t>
      </w:r>
    </w:p>
    <w:p>
      <w:pPr>
        <w:ind w:firstLine="709"/>
        <w:jc w:val="both"/>
      </w:pPr>
      <w:r>
        <w:rPr/>
        <w:t xml:space="preserve">La ventaja del DL frente al ML clásico en este campo se explica porque los modelos clásicos dependen de descriptores diseñados manualmente, como histogramas de color o métricas de textura, que capturan peor los patrones finos y de varias escalas característicos de las imágenes de enfermedades; por ello, los modelos de DL suelen superarlos en exactitud y precisión (Majdalawieh et al., 2025).</w:t>
      </w:r>
    </w:p>
    <w:p>
      <w:pPr>
        <w:keepNext/>
        <w:spacing w:before="240" w:after="120"/>
      </w:pPr>
      <w:r>
        <w:rPr>
          <w:b/>
          <w:bCs/>
          <w:sz w:val="24"/>
          <w:szCs w:val="24"/>
        </w:rPr>
        <w:t xml:space="preserve">2.1 Redes neuronales convolucionales y Vision Transformers</w:t>
      </w:r>
    </w:p>
    <w:p>
      <w:pPr>
        <w:jc w:val="both"/>
      </w:pPr>
      <w:r>
        <w:rPr/>
        <w:t xml:space="preserve">Una red neuronal convolucional (CNN) procesa la imagen mediante capas convolucionales, que aplican filtros para extraer las características principales; capas de agrupamiento (</w:t>
      </w:r>
      <w:r>
        <w:rPr>
          <w:i/>
          <w:iCs/>
        </w:rPr>
        <w:t xml:space="preserve">pooling</w:t>
      </w:r>
      <w:r>
        <w:rPr/>
        <w:t xml:space="preserve">), que reducen la dimensionalidad conservando los patrones esenciales; y capas totalmente conectadas, que realizan la clasificación final. Arquitecturas preentrenadas como VGG-Net, DenseNet, Inception y ResNet se usan con frecuencia en la detección de enfermedades (Saini et al., 2026). Las CNN son el enfoque más utilizado y con mejor relación entre costo y desempeño, mientras que los Vision Transformers (ViT) alcanzan mayor exactitud pero requieren muchos más recursos de cómputo (Majdalawieh et al., 2025).</w:t>
      </w:r>
    </w:p>
    <w:p>
      <w:pPr>
        <w:keepNext/>
        <w:spacing w:before="240" w:after="120"/>
      </w:pPr>
      <w:r>
        <w:rPr>
          <w:b/>
          <w:bCs/>
          <w:sz w:val="24"/>
          <w:szCs w:val="24"/>
        </w:rPr>
        <w:t xml:space="preserve">2.2 Aprendizaje por transferencia, aumento de datos y ensambles</w:t>
      </w:r>
    </w:p>
    <w:p>
      <w:pPr>
        <w:jc w:val="both"/>
      </w:pPr>
      <w:r>
        <w:rPr/>
        <w:t xml:space="preserve">El aprendizaje por transferencia reutiliza modelos preentrenados para lograr una detección precisa con conjuntos de datos más pequeños; el aumento de datos incrementa la variedad del conjunto de entrenamiento; y los ensambles de modelos mejoran la robustez (Sajitha et al., 2024). Las CNN optimizadas mediante aprendizaje por transferencia han mostrado exactitudes muy altas, aunque muchas de ellas se obtienen sobre conjuntos públicos (Majdalawieh et al., 2025).</w:t>
      </w:r>
    </w:p>
    <w:p>
      <w:pPr>
        <w:keepNext/>
        <w:spacing w:before="360" w:after="160"/>
      </w:pPr>
      <w:r>
        <w:rPr>
          <w:b/>
          <w:bCs/>
          <w:color w:val="1F3864"/>
          <w:sz w:val="26"/>
          <w:szCs w:val="26"/>
        </w:rPr>
        <w:t xml:space="preserve">3. Visión por computador aplicada a enfermedades de plantas</w:t>
      </w:r>
    </w:p>
    <w:p>
      <w:pPr>
        <w:jc w:val="both"/>
      </w:pPr>
      <w:r>
        <w:rPr/>
        <w:t xml:space="preserve">En el análisis de imágenes de cultivos se distinguen tres tareas, cada una con arquitecturas y métricas propias (Odounfa et al., 2024):</w:t>
      </w:r>
    </w:p>
    <w:p>
      <w:pPr>
        <w:keepNext/>
        <w:spacing w:before="160" w:after="80"/>
      </w:pPr>
      <w:r>
        <w:rPr>
          <w:b/>
          <w:bCs/>
          <w:sz w:val="20"/>
          <w:szCs w:val="20"/>
        </w:rPr>
        <w:t xml:space="preserve">Tabla 1. Tareas de visión por computador para el diagnóstico de enfermedades</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1500"/>
        <w:gridCol w:w="2700"/>
        <w:gridCol w:w="2238"/>
        <w:gridCol w:w="2400"/>
      </w:tblGrid>
      <w:tr>
        <w:trPr>
          <w:tblHeader/>
          <w:cantSplit/>
        </w:trPr>
        <w:tc>
          <w:tcPr>
            <w:tcW w:w="1500" w:type="dxa"/>
            <w:shd w:val="clear" w:color="auto" w:fill="D9E2F3"/>
            <w:vAlign w:val="center"/>
          </w:tcPr>
          <w:p>
            <w:pPr>
              <w:keepNext/>
              <w:spacing w:before="20" w:after="20" w:line="240" w:lineRule="auto"/>
              <w:jc w:val="center"/>
            </w:pPr>
            <w:r>
              <w:rPr>
                <w:b/>
                <w:bCs/>
                <w:sz w:val="18"/>
                <w:szCs w:val="18"/>
              </w:rPr>
              <w:t xml:space="preserve">Tarea</w:t>
            </w:r>
          </w:p>
        </w:tc>
        <w:tc>
          <w:tcPr>
            <w:tcW w:w="2700" w:type="dxa"/>
            <w:shd w:val="clear" w:color="auto" w:fill="D9E2F3"/>
            <w:vAlign w:val="center"/>
          </w:tcPr>
          <w:p>
            <w:pPr>
              <w:keepNext/>
              <w:spacing w:before="20" w:after="20" w:line="240" w:lineRule="auto"/>
              <w:jc w:val="center"/>
            </w:pPr>
            <w:r>
              <w:rPr>
                <w:b/>
                <w:bCs/>
                <w:sz w:val="18"/>
                <w:szCs w:val="18"/>
              </w:rPr>
              <w:t xml:space="preserve">Qué hace</w:t>
            </w:r>
          </w:p>
        </w:tc>
        <w:tc>
          <w:tcPr>
            <w:tcW w:w="2238" w:type="dxa"/>
            <w:shd w:val="clear" w:color="auto" w:fill="D9E2F3"/>
            <w:vAlign w:val="center"/>
          </w:tcPr>
          <w:p>
            <w:pPr>
              <w:keepNext/>
              <w:spacing w:before="20" w:after="20" w:line="240" w:lineRule="auto"/>
              <w:jc w:val="center"/>
            </w:pPr>
            <w:r>
              <w:rPr>
                <w:b/>
                <w:bCs/>
                <w:sz w:val="18"/>
                <w:szCs w:val="18"/>
              </w:rPr>
              <w:t xml:space="preserve">Arquitecturas frecuentes</w:t>
            </w:r>
          </w:p>
        </w:tc>
        <w:tc>
          <w:tcPr>
            <w:tcW w:w="2400" w:type="dxa"/>
            <w:shd w:val="clear" w:color="auto" w:fill="D9E2F3"/>
            <w:vAlign w:val="center"/>
          </w:tcPr>
          <w:p>
            <w:pPr>
              <w:keepNext/>
              <w:spacing w:before="20" w:after="20" w:line="240" w:lineRule="auto"/>
              <w:jc w:val="center"/>
            </w:pPr>
            <w:r>
              <w:rPr>
                <w:b/>
                <w:bCs/>
                <w:sz w:val="18"/>
                <w:szCs w:val="18"/>
              </w:rPr>
              <w:t xml:space="preserve">Métricas y resultados reportados</w:t>
            </w:r>
          </w:p>
        </w:tc>
      </w:tr>
      <w:tr>
        <w:trPr>
          <w:cantSplit/>
        </w:trPr>
        <w:tc>
          <w:tcPr>
            <w:tcW w:w="1500" w:type="dxa"/>
            <w:vAlign w:val="top"/>
          </w:tcPr>
          <w:p>
            <w:pPr>
              <w:keepNext/>
              <w:spacing w:before="20" w:after="20" w:line="240" w:lineRule="auto"/>
            </w:pPr>
            <w:r>
              <w:rPr>
                <w:b/>
                <w:bCs/>
                <w:sz w:val="18"/>
                <w:szCs w:val="18"/>
              </w:rPr>
              <w:t xml:space="preserve">Clasificación</w:t>
            </w:r>
          </w:p>
        </w:tc>
        <w:tc>
          <w:tcPr>
            <w:tcW w:w="2700" w:type="dxa"/>
            <w:vAlign w:val="top"/>
          </w:tcPr>
          <w:p>
            <w:pPr>
              <w:keepNext/>
              <w:spacing w:before="20" w:after="20" w:line="240" w:lineRule="auto"/>
            </w:pPr>
            <w:r>
              <w:rPr>
                <w:sz w:val="18"/>
                <w:szCs w:val="18"/>
              </w:rPr>
              <w:t xml:space="preserve">Asigna una etiqueta (sano o enfermedad) a toda la imagen.</w:t>
            </w:r>
          </w:p>
        </w:tc>
        <w:tc>
          <w:tcPr>
            <w:tcW w:w="2238" w:type="dxa"/>
            <w:vAlign w:val="top"/>
          </w:tcPr>
          <w:p>
            <w:pPr>
              <w:keepNext/>
              <w:spacing w:before="20" w:after="20" w:line="240" w:lineRule="auto"/>
            </w:pPr>
            <w:r>
              <w:rPr>
                <w:sz w:val="18"/>
                <w:szCs w:val="18"/>
              </w:rPr>
              <w:t xml:space="preserve">CNN (VGG, ResNet, DenseNet), ViT</w:t>
            </w:r>
          </w:p>
        </w:tc>
        <w:tc>
          <w:tcPr>
            <w:tcW w:w="2400" w:type="dxa"/>
            <w:vAlign w:val="top"/>
          </w:tcPr>
          <w:p>
            <w:pPr>
              <w:keepNext/>
              <w:spacing w:before="20" w:after="20" w:line="240" w:lineRule="auto"/>
            </w:pPr>
            <w:r>
              <w:rPr>
                <w:sz w:val="18"/>
                <w:szCs w:val="18"/>
              </w:rPr>
              <w:t xml:space="preserve">Exactitud, precisión, exhaustividad y F1; F1 de 0,85 a 0,92 en hortalizas</w:t>
            </w:r>
          </w:p>
        </w:tc>
      </w:tr>
      <w:tr>
        <w:trPr>
          <w:cantSplit/>
        </w:trPr>
        <w:tc>
          <w:tcPr>
            <w:tcW w:w="1500" w:type="dxa"/>
            <w:vAlign w:val="top"/>
          </w:tcPr>
          <w:p>
            <w:pPr>
              <w:keepNext/>
              <w:spacing w:before="20" w:after="20" w:line="240" w:lineRule="auto"/>
            </w:pPr>
            <w:r>
              <w:rPr>
                <w:b/>
                <w:bCs/>
                <w:sz w:val="18"/>
                <w:szCs w:val="18"/>
              </w:rPr>
              <w:t xml:space="preserve">Detección</w:t>
            </w:r>
          </w:p>
        </w:tc>
        <w:tc>
          <w:tcPr>
            <w:tcW w:w="2700" w:type="dxa"/>
            <w:vAlign w:val="top"/>
          </w:tcPr>
          <w:p>
            <w:pPr>
              <w:keepNext/>
              <w:spacing w:before="20" w:after="20" w:line="240" w:lineRule="auto"/>
            </w:pPr>
            <w:r>
              <w:rPr>
                <w:sz w:val="18"/>
                <w:szCs w:val="18"/>
              </w:rPr>
              <w:t xml:space="preserve">Localiza los síntomas con cajas delimitadoras.</w:t>
            </w:r>
          </w:p>
        </w:tc>
        <w:tc>
          <w:tcPr>
            <w:tcW w:w="2238" w:type="dxa"/>
            <w:vAlign w:val="top"/>
          </w:tcPr>
          <w:p>
            <w:pPr>
              <w:keepNext/>
              <w:spacing w:before="20" w:after="20" w:line="240" w:lineRule="auto"/>
            </w:pPr>
            <w:r>
              <w:rPr>
                <w:sz w:val="18"/>
                <w:szCs w:val="18"/>
              </w:rPr>
              <w:t xml:space="preserve">Fast R-CNN, YOLO</w:t>
            </w:r>
          </w:p>
        </w:tc>
        <w:tc>
          <w:tcPr>
            <w:tcW w:w="2400" w:type="dxa"/>
            <w:vAlign w:val="top"/>
          </w:tcPr>
          <w:p>
            <w:pPr>
              <w:keepNext/>
              <w:spacing w:before="20" w:after="20" w:line="240" w:lineRule="auto"/>
            </w:pPr>
            <w:r>
              <w:rPr>
                <w:sz w:val="18"/>
                <w:szCs w:val="18"/>
              </w:rPr>
              <w:t xml:space="preserve">Precisión y exhaustividad superiores a 0,80; mAP</w:t>
            </w:r>
          </w:p>
        </w:tc>
      </w:tr>
      <w:tr>
        <w:trPr>
          <w:cantSplit/>
        </w:trPr>
        <w:tc>
          <w:tcPr>
            <w:tcW w:w="1500" w:type="dxa"/>
            <w:vAlign w:val="top"/>
          </w:tcPr>
          <w:p>
            <w:pPr>
              <w:spacing w:before="20" w:after="20" w:line="240" w:lineRule="auto"/>
            </w:pPr>
            <w:r>
              <w:rPr>
                <w:b/>
                <w:bCs/>
                <w:sz w:val="18"/>
                <w:szCs w:val="18"/>
              </w:rPr>
              <w:t xml:space="preserve">Segmentación</w:t>
            </w:r>
          </w:p>
        </w:tc>
        <w:tc>
          <w:tcPr>
            <w:tcW w:w="2700" w:type="dxa"/>
            <w:vAlign w:val="top"/>
          </w:tcPr>
          <w:p>
            <w:pPr>
              <w:spacing w:before="20" w:after="20" w:line="240" w:lineRule="auto"/>
            </w:pPr>
            <w:r>
              <w:rPr>
                <w:sz w:val="18"/>
                <w:szCs w:val="18"/>
              </w:rPr>
              <w:t xml:space="preserve">Delimita las regiones afectadas píxel a píxel; permite estimar la severidad.</w:t>
            </w:r>
          </w:p>
        </w:tc>
        <w:tc>
          <w:tcPr>
            <w:tcW w:w="2238" w:type="dxa"/>
            <w:vAlign w:val="top"/>
          </w:tcPr>
          <w:p>
            <w:pPr>
              <w:spacing w:before="20" w:after="20" w:line="240" w:lineRule="auto"/>
            </w:pPr>
            <w:r>
              <w:rPr>
                <w:sz w:val="18"/>
                <w:szCs w:val="18"/>
              </w:rPr>
              <w:t xml:space="preserve">Mask R-CNN, DeepLabV3+, U-Net</w:t>
            </w:r>
          </w:p>
        </w:tc>
        <w:tc>
          <w:tcPr>
            <w:tcW w:w="2400" w:type="dxa"/>
            <w:vAlign w:val="top"/>
          </w:tcPr>
          <w:p>
            <w:pPr>
              <w:spacing w:before="20" w:after="20" w:line="240" w:lineRule="auto"/>
            </w:pPr>
            <w:r>
              <w:rPr>
                <w:sz w:val="18"/>
                <w:szCs w:val="18"/>
              </w:rPr>
              <w:t xml:space="preserve">IoU de 0,75 a 0,85</w:t>
            </w:r>
          </w:p>
        </w:tc>
      </w:tr>
    </w:tbl>
    <w:p>
      <w:pPr>
        <w:spacing w:before="40" w:after="200"/>
        <w:jc w:val="both"/>
      </w:pPr>
      <w:r>
        <w:rPr>
          <w:i/>
          <w:iCs/>
          <w:sz w:val="18"/>
          <w:szCs w:val="18"/>
        </w:rPr>
        <w:t xml:space="preserve">Nota. Elaboración propia a partir de Odounfa et al. (2024); la referencia a ViT procede de Majdalawieh et al. (2025).</w:t>
      </w:r>
    </w:p>
    <w:p>
      <w:pPr>
        <w:ind w:firstLine="709"/>
        <w:jc w:val="both"/>
      </w:pPr>
      <w:r>
        <w:rPr/>
        <w:t xml:space="preserve">La segmentación es más precisa que las cajas delimitadoras, pero su anotación requiere más tiempo y, por tanto, más costo; herramientas como LabelMe se utilizan para anotar las imágenes (Odounfa et al., 2024). La estimación de la severidad sigue siendo un reto, porque cada enfermedad tiene criterios propios y pueden coexistir varias en un mismo cultivo (Odounfa et al., 2024).</w:t>
      </w:r>
    </w:p>
    <w:p>
      <w:pPr>
        <w:keepNext/>
        <w:spacing w:before="360" w:after="160"/>
      </w:pPr>
      <w:r>
        <w:rPr>
          <w:b/>
          <w:bCs/>
          <w:color w:val="1F3864"/>
          <w:sz w:val="26"/>
          <w:szCs w:val="26"/>
        </w:rPr>
        <w:t xml:space="preserve">4. Conjuntos de datos y la brecha entre laboratorio y campo</w:t>
      </w:r>
    </w:p>
    <w:p>
      <w:pPr>
        <w:jc w:val="both"/>
      </w:pPr>
      <w:r>
        <w:rPr/>
        <w:t xml:space="preserve">El conjunto público más utilizado es PlantVillage, presente en 36 de los 150 estudios analizados por Majdalawieh et al. (2025), que advierten que los modelos entrenados con conjuntos grandes y bien anotados de este tipo pueden sobreajustarse a las condiciones controladas de laboratorio. Los mismos autores identifican un sesgo geográfico, con una fuerte concentración de los conjuntos de datos en países asiáticos, lo que limita su aplicación en otros entornos agrícolas.</w:t>
      </w:r>
    </w:p>
    <w:p>
      <w:pPr>
        <w:ind w:firstLine="709"/>
        <w:jc w:val="both"/>
      </w:pPr>
      <w:r>
        <w:rPr/>
        <w:t xml:space="preserve">Las condiciones de campo —clima variable, iluminación inconsistente, suelos heterogéneos y diferentes etapas de crecimiento— reducen la robustez y la transferibilidad de los modelos. Aunque la clasificación en laboratorio está cerca de la saturación, persiste una brecha de desempeño en entornos de campo complejos (Lin et al., 2026). Por ello, se recomienda construir conjuntos de datos diversos, bien etiquetados y con estándares comunes de anotación (Majdalawieh et al., 2025).</w:t>
      </w:r>
    </w:p>
    <w:p>
      <w:pPr>
        <w:keepNext/>
        <w:spacing w:before="360" w:after="160"/>
      </w:pPr>
      <w:r>
        <w:rPr>
          <w:b/>
          <w:bCs/>
          <w:color w:val="1F3864"/>
          <w:sz w:val="26"/>
          <w:szCs w:val="26"/>
        </w:rPr>
        <w:t xml:space="preserve">5. Modelos ligeros y despliegue en dispositivos móviles</w:t>
      </w:r>
    </w:p>
    <w:p>
      <w:pPr>
        <w:jc w:val="both"/>
      </w:pPr>
      <w:r>
        <w:rPr/>
        <w:t xml:space="preserve">Los dispositivos usados en el campo, como teléfonos inteligentes, drones o sistemas embebidos, tienen recursos de cómputo limitados. Para adaptar los modelos se emplean técnicas de compresión como la poda, la cuantización, la factorización de bajo rango, el uso compartido de pesos, las arquitecturas compactas y la búsqueda de arquitecturas neuronales (Lin et al., 2026). La destilación de conocimiento transfiere lo aprendido por un modelo complejo (“maestro”, como YOLO o ResNet) a un modelo ligero (“estudiante”, como MobileNet o ShuffleNet); en una revisión de 92 estudios, esta técnica se aplicó al reconocimiento de enfermedades, cultivos, malezas, plagas y animales (Lin et al., 2026).</w:t>
      </w:r>
    </w:p>
    <w:p>
      <w:pPr>
        <w:ind w:firstLine="709"/>
        <w:jc w:val="both"/>
      </w:pPr>
      <w:r>
        <w:rPr/>
        <w:t xml:space="preserve">Saini et al. (2026) describen tres configuraciones de despliegue, resumidas en la Tabla 2.</w:t>
      </w:r>
    </w:p>
    <w:p>
      <w:pPr>
        <w:keepNext/>
        <w:spacing w:before="160" w:after="80"/>
      </w:pPr>
      <w:r>
        <w:rPr>
          <w:b/>
          <w:bCs/>
          <w:sz w:val="20"/>
          <w:szCs w:val="20"/>
        </w:rPr>
        <w:t xml:space="preserve">Tabla 2. Configuraciones de despliegue de modelos de diagnóstico</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1900"/>
        <w:gridCol w:w="3200"/>
        <w:gridCol w:w="3738"/>
      </w:tblGrid>
      <w:tr>
        <w:trPr>
          <w:tblHeader/>
          <w:cantSplit/>
        </w:trPr>
        <w:tc>
          <w:tcPr>
            <w:tcW w:w="1900" w:type="dxa"/>
            <w:shd w:val="clear" w:color="auto" w:fill="D9E2F3"/>
            <w:vAlign w:val="center"/>
          </w:tcPr>
          <w:p>
            <w:pPr>
              <w:keepNext/>
              <w:spacing w:before="20" w:after="20" w:line="240" w:lineRule="auto"/>
              <w:jc w:val="center"/>
            </w:pPr>
            <w:r>
              <w:rPr>
                <w:b/>
                <w:bCs/>
                <w:sz w:val="18"/>
                <w:szCs w:val="18"/>
              </w:rPr>
              <w:t xml:space="preserve">Configuración</w:t>
            </w:r>
          </w:p>
        </w:tc>
        <w:tc>
          <w:tcPr>
            <w:tcW w:w="3200" w:type="dxa"/>
            <w:shd w:val="clear" w:color="auto" w:fill="D9E2F3"/>
            <w:vAlign w:val="center"/>
          </w:tcPr>
          <w:p>
            <w:pPr>
              <w:keepNext/>
              <w:spacing w:before="20" w:after="20" w:line="240" w:lineRule="auto"/>
              <w:jc w:val="center"/>
            </w:pPr>
            <w:r>
              <w:rPr>
                <w:b/>
                <w:bCs/>
                <w:sz w:val="18"/>
                <w:szCs w:val="18"/>
              </w:rPr>
              <w:t xml:space="preserve">Funcionamiento</w:t>
            </w:r>
          </w:p>
        </w:tc>
        <w:tc>
          <w:tcPr>
            <w:tcW w:w="3738" w:type="dxa"/>
            <w:shd w:val="clear" w:color="auto" w:fill="D9E2F3"/>
            <w:vAlign w:val="center"/>
          </w:tcPr>
          <w:p>
            <w:pPr>
              <w:keepNext/>
              <w:spacing w:before="20" w:after="20" w:line="240" w:lineRule="auto"/>
              <w:jc w:val="center"/>
            </w:pPr>
            <w:r>
              <w:rPr>
                <w:b/>
                <w:bCs/>
                <w:sz w:val="18"/>
                <w:szCs w:val="18"/>
              </w:rPr>
              <w:t xml:space="preserve">Ventajas y datos reportados</w:t>
            </w:r>
          </w:p>
        </w:tc>
      </w:tr>
      <w:tr>
        <w:trPr>
          <w:cantSplit/>
        </w:trPr>
        <w:tc>
          <w:tcPr>
            <w:tcW w:w="1900" w:type="dxa"/>
            <w:vAlign w:val="top"/>
          </w:tcPr>
          <w:p>
            <w:pPr>
              <w:keepNext/>
              <w:spacing w:before="20" w:after="20" w:line="240" w:lineRule="auto"/>
            </w:pPr>
            <w:r>
              <w:rPr>
                <w:b/>
                <w:bCs/>
                <w:sz w:val="18"/>
                <w:szCs w:val="18"/>
              </w:rPr>
              <w:t xml:space="preserve">En el borde (dispositivo)</w:t>
            </w:r>
          </w:p>
        </w:tc>
        <w:tc>
          <w:tcPr>
            <w:tcW w:w="3200" w:type="dxa"/>
            <w:vAlign w:val="top"/>
          </w:tcPr>
          <w:p>
            <w:pPr>
              <w:keepNext/>
              <w:spacing w:before="20" w:after="20" w:line="240" w:lineRule="auto"/>
            </w:pPr>
            <w:r>
              <w:rPr>
                <w:sz w:val="18"/>
                <w:szCs w:val="18"/>
              </w:rPr>
              <w:t xml:space="preserve">El modelo compacto se ejecuta en el teléfono u otro dispositivo local.</w:t>
            </w:r>
          </w:p>
        </w:tc>
        <w:tc>
          <w:tcPr>
            <w:tcW w:w="3738" w:type="dxa"/>
            <w:vAlign w:val="top"/>
          </w:tcPr>
          <w:p>
            <w:pPr>
              <w:keepNext/>
              <w:spacing w:before="20" w:after="20" w:line="240" w:lineRule="auto"/>
            </w:pPr>
            <w:r>
              <w:rPr>
                <w:sz w:val="18"/>
                <w:szCs w:val="18"/>
              </w:rPr>
              <w:t xml:space="preserve">No depende de Internet y permite inferencia en tiempo real; MobileNet-V3 y EfficientNet-Lite logran entre 90 y 150 ms por imagen en procesadores móviles de gama media, con 88–93 % de exactitud.</w:t>
            </w:r>
          </w:p>
        </w:tc>
      </w:tr>
      <w:tr>
        <w:trPr>
          <w:cantSplit/>
        </w:trPr>
        <w:tc>
          <w:tcPr>
            <w:tcW w:w="1900" w:type="dxa"/>
            <w:vAlign w:val="top"/>
          </w:tcPr>
          <w:p>
            <w:pPr>
              <w:keepNext/>
              <w:spacing w:before="20" w:after="20" w:line="240" w:lineRule="auto"/>
            </w:pPr>
            <w:r>
              <w:rPr>
                <w:b/>
                <w:bCs/>
                <w:sz w:val="18"/>
                <w:szCs w:val="18"/>
              </w:rPr>
              <w:t xml:space="preserve">Híbrida borde–nube</w:t>
            </w:r>
          </w:p>
        </w:tc>
        <w:tc>
          <w:tcPr>
            <w:tcW w:w="3200" w:type="dxa"/>
            <w:vAlign w:val="top"/>
          </w:tcPr>
          <w:p>
            <w:pPr>
              <w:keepNext/>
              <w:spacing w:before="20" w:after="20" w:line="240" w:lineRule="auto"/>
            </w:pPr>
            <w:r>
              <w:rPr>
                <w:sz w:val="18"/>
                <w:szCs w:val="18"/>
              </w:rPr>
              <w:t xml:space="preserve">La detección inicial ocurre en el dispositivo y algunos datos se envían a la nube para validarlos con modelos de mayor capacidad.</w:t>
            </w:r>
          </w:p>
        </w:tc>
        <w:tc>
          <w:tcPr>
            <w:tcW w:w="3738" w:type="dxa"/>
            <w:vAlign w:val="top"/>
          </w:tcPr>
          <w:p>
            <w:pPr>
              <w:keepNext/>
              <w:spacing w:before="20" w:after="20" w:line="240" w:lineRule="auto"/>
            </w:pPr>
            <w:r>
              <w:rPr>
                <w:sz w:val="18"/>
                <w:szCs w:val="18"/>
              </w:rPr>
              <w:t xml:space="preserve">Reduce el uso de ancho de banda en torno al 70 %; usa marcos como TensorFlow Lite y ONNX Runtime.</w:t>
            </w:r>
          </w:p>
        </w:tc>
      </w:tr>
      <w:tr>
        <w:trPr>
          <w:cantSplit/>
        </w:trPr>
        <w:tc>
          <w:tcPr>
            <w:tcW w:w="1900" w:type="dxa"/>
            <w:vAlign w:val="top"/>
          </w:tcPr>
          <w:p>
            <w:pPr>
              <w:spacing w:before="20" w:after="20" w:line="240" w:lineRule="auto"/>
            </w:pPr>
            <w:r>
              <w:rPr>
                <w:b/>
                <w:bCs/>
                <w:sz w:val="18"/>
                <w:szCs w:val="18"/>
              </w:rPr>
              <w:t xml:space="preserve">Centrada en la nube</w:t>
            </w:r>
          </w:p>
        </w:tc>
        <w:tc>
          <w:tcPr>
            <w:tcW w:w="3200" w:type="dxa"/>
            <w:vAlign w:val="top"/>
          </w:tcPr>
          <w:p>
            <w:pPr>
              <w:spacing w:before="20" w:after="20" w:line="240" w:lineRule="auto"/>
            </w:pPr>
            <w:r>
              <w:rPr>
                <w:sz w:val="18"/>
                <w:szCs w:val="18"/>
              </w:rPr>
              <w:t xml:space="preserve">Los datos (imágenes de dron, sensores de suelo, clima) se procesan de forma central cuando hay conectividad.</w:t>
            </w:r>
          </w:p>
        </w:tc>
        <w:tc>
          <w:tcPr>
            <w:tcW w:w="3738" w:type="dxa"/>
            <w:vAlign w:val="top"/>
          </w:tcPr>
          <w:p>
            <w:pPr>
              <w:spacing w:before="20" w:after="20" w:line="240" w:lineRule="auto"/>
            </w:pPr>
            <w:r>
              <w:rPr>
                <w:sz w:val="18"/>
                <w:szCs w:val="18"/>
              </w:rPr>
              <w:t xml:space="preserve">Conveniente para monitorear varios campos o grandes extensiones; depende de la conectividad.</w:t>
            </w:r>
          </w:p>
        </w:tc>
      </w:tr>
    </w:tbl>
    <w:p>
      <w:pPr>
        <w:spacing w:before="40" w:after="200"/>
        <w:jc w:val="both"/>
      </w:pPr>
      <w:r>
        <w:rPr>
          <w:i/>
          <w:iCs/>
          <w:sz w:val="18"/>
          <w:szCs w:val="18"/>
        </w:rPr>
        <w:t xml:space="preserve">Nota. Elaboración propia a partir de Saini et al. (2026).</w:t>
      </w:r>
    </w:p>
    <w:p>
      <w:pPr>
        <w:ind w:firstLine="709"/>
        <w:jc w:val="both"/>
      </w:pPr>
      <w:r>
        <w:rPr/>
        <w:t xml:space="preserve">Los sistemas con aplicación recopilados por el autor ilustran estas opciones. Varios procesan las imágenes en un servidor: una aplicación multiplataforma con CNN envía la imagen a un servicio en la nube y responde en unos 2 segundos (Ramana Reddy et al., 2025); una aplicación Android de tres capas depende de una conexión estable a Internet (Kochhar et al., 2026); y una herramienta para iOS y Android se apoya en un sistema de apoyo a la decisión en el servidor (Christakakis et al., 2024).</w:t>
      </w:r>
    </w:p>
    <w:p>
      <w:pPr>
        <w:keepNext/>
        <w:spacing w:before="360" w:after="160"/>
      </w:pPr>
      <w:r>
        <w:rPr>
          <w:b/>
          <w:bCs/>
          <w:color w:val="1F3864"/>
          <w:sz w:val="26"/>
          <w:szCs w:val="26"/>
        </w:rPr>
        <w:t xml:space="preserve">6. Interacción persona-ordenador (IPO) y experiencia de usuario</w:t>
      </w:r>
    </w:p>
    <w:p>
      <w:pPr>
        <w:jc w:val="both"/>
      </w:pPr>
      <w:r>
        <w:rPr/>
        <w:t xml:space="preserve">La IPO se ocupa de que los sistemas sean útiles y comprensibles para sus usuarios. Las prácticas de diseño centrado en el usuario integran en el desarrollo actividades como la investigación con usuarios, el prototipado y las pruebas de usabilidad con usuarios reales; la investigación de experiencia de usuario (</w:t>
      </w:r>
      <w:r>
        <w:rPr>
          <w:i/>
          <w:iCs/>
        </w:rPr>
        <w:t xml:space="preserve">UX Research</w:t>
      </w:r>
      <w:r>
        <w:rPr/>
        <w:t xml:space="preserve">) organiza y realiza de forma sistemática la evaluación con usuarios para orientar las decisiones de desarrollo y reducir el riesgo de fracaso del producto (Martinelli et al., 2024).</w:t>
      </w:r>
    </w:p>
    <w:p>
      <w:pPr>
        <w:ind w:firstLine="709"/>
        <w:jc w:val="both"/>
      </w:pPr>
      <w:r>
        <w:rPr/>
        <w:t xml:space="preserve">La experiencia de usuario también cambia con el tiempo. La UX a largo plazo distingue cuatro momentos: la UX anticipada (expectativas antes del primer uso), la momentánea (durante la interacción), la episódica (tras un episodio de uso) y la acumulada (después de un tiempo de uso) (Martinelli et al., 2024). Para una aplicación agrícola, esto implica evaluar no solo la primera impresión, sino también el uso repetido durante la temporada.</w:t>
      </w:r>
    </w:p>
    <w:p>
      <w:pPr>
        <w:ind w:firstLine="709"/>
        <w:jc w:val="both"/>
      </w:pPr>
      <w:r>
        <w:rPr/>
        <w:t xml:space="preserve">Entre los sistemas recopilados, solo uno reporta una evaluación con usuarios mediante un cuestionario de experiencia aplicado a 50 voluntarios (Christakakis et al., 2024); otro menciona pruebas de usuario informales sobre la claridad de la interfaz y la presentación de la etiqueta, la confianza y el porcentaje de severidad (Ramana Reddy et al., 2025).</w:t>
      </w:r>
    </w:p>
    <w:p>
      <w:pPr>
        <w:keepNext/>
        <w:spacing w:before="360" w:after="160"/>
      </w:pPr>
      <w:r>
        <w:rPr>
          <w:b/>
          <w:bCs/>
          <w:color w:val="1F3864"/>
          <w:sz w:val="26"/>
          <w:szCs w:val="26"/>
        </w:rPr>
        <w:t xml:space="preserve">7. Síntesis: conceptos clave y su uso en el proyecto</w:t>
      </w:r>
    </w:p>
    <w:p>
      <w:pPr>
        <w:keepNext/>
        <w:spacing w:before="160" w:after="80"/>
      </w:pPr>
      <w:r>
        <w:rPr>
          <w:b/>
          <w:bCs/>
          <w:sz w:val="20"/>
          <w:szCs w:val="20"/>
        </w:rPr>
        <w:t xml:space="preserve">Tabla 3. Conceptos clave y su aplicación en el proyecto Smart Agriculture</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2600"/>
        <w:gridCol w:w="4638"/>
        <w:gridCol w:w="1600"/>
      </w:tblGrid>
      <w:tr>
        <w:trPr>
          <w:tblHeader/>
          <w:cantSplit/>
        </w:trPr>
        <w:tc>
          <w:tcPr>
            <w:tcW w:w="2600" w:type="dxa"/>
            <w:shd w:val="clear" w:color="auto" w:fill="D9E2F3"/>
            <w:vAlign w:val="center"/>
          </w:tcPr>
          <w:p>
            <w:pPr>
              <w:keepNext/>
              <w:spacing w:before="20" w:after="20" w:line="240" w:lineRule="auto"/>
              <w:jc w:val="center"/>
            </w:pPr>
            <w:r>
              <w:rPr>
                <w:b/>
                <w:bCs/>
                <w:sz w:val="18"/>
                <w:szCs w:val="18"/>
              </w:rPr>
              <w:t xml:space="preserve">Concepto</w:t>
            </w:r>
          </w:p>
        </w:tc>
        <w:tc>
          <w:tcPr>
            <w:tcW w:w="4638" w:type="dxa"/>
            <w:shd w:val="clear" w:color="auto" w:fill="D9E2F3"/>
            <w:vAlign w:val="center"/>
          </w:tcPr>
          <w:p>
            <w:pPr>
              <w:keepNext/>
              <w:spacing w:before="20" w:after="20" w:line="240" w:lineRule="auto"/>
              <w:jc w:val="center"/>
            </w:pPr>
            <w:r>
              <w:rPr>
                <w:b/>
                <w:bCs/>
                <w:sz w:val="18"/>
                <w:szCs w:val="18"/>
              </w:rPr>
              <w:t xml:space="preserve">Qué significa para el proyecto</w:t>
            </w:r>
          </w:p>
        </w:tc>
        <w:tc>
          <w:tcPr>
            <w:tcW w:w="1600" w:type="dxa"/>
            <w:shd w:val="clear" w:color="auto" w:fill="D9E2F3"/>
            <w:vAlign w:val="center"/>
          </w:tcPr>
          <w:p>
            <w:pPr>
              <w:keepNext/>
              <w:spacing w:before="20" w:after="20" w:line="240" w:lineRule="auto"/>
              <w:jc w:val="center"/>
            </w:pPr>
            <w:r>
              <w:rPr>
                <w:b/>
                <w:bCs/>
                <w:sz w:val="18"/>
                <w:szCs w:val="18"/>
              </w:rPr>
              <w:t xml:space="preserve">Actividad del itinerario</w:t>
            </w:r>
          </w:p>
        </w:tc>
      </w:tr>
      <w:tr>
        <w:trPr>
          <w:cantSplit/>
        </w:trPr>
        <w:tc>
          <w:tcPr>
            <w:tcW w:w="2600" w:type="dxa"/>
            <w:vAlign w:val="top"/>
          </w:tcPr>
          <w:p>
            <w:pPr>
              <w:keepNext/>
              <w:spacing w:before="20" w:after="20" w:line="240" w:lineRule="auto"/>
            </w:pPr>
            <w:r>
              <w:rPr>
                <w:b/>
                <w:bCs/>
                <w:sz w:val="18"/>
                <w:szCs w:val="18"/>
              </w:rPr>
              <w:t xml:space="preserve">CNN y aprendizaje por transferencia</w:t>
            </w:r>
          </w:p>
        </w:tc>
        <w:tc>
          <w:tcPr>
            <w:tcW w:w="4638" w:type="dxa"/>
            <w:vAlign w:val="top"/>
          </w:tcPr>
          <w:p>
            <w:pPr>
              <w:keepNext/>
              <w:spacing w:before="20" w:after="20" w:line="240" w:lineRule="auto"/>
            </w:pPr>
            <w:r>
              <w:rPr>
                <w:sz w:val="18"/>
                <w:szCs w:val="18"/>
              </w:rPr>
              <w:t xml:space="preserve">Punto de partida para entrenar el modelo con pocas imágenes de tallos.</w:t>
            </w:r>
          </w:p>
        </w:tc>
        <w:tc>
          <w:tcPr>
            <w:tcW w:w="1600" w:type="dxa"/>
            <w:vAlign w:val="top"/>
          </w:tcPr>
          <w:p>
            <w:pPr>
              <w:keepNext/>
              <w:spacing w:before="20" w:after="20" w:line="240" w:lineRule="auto"/>
            </w:pPr>
            <w:r>
              <w:rPr>
                <w:sz w:val="18"/>
                <w:szCs w:val="18"/>
              </w:rPr>
              <w:t xml:space="preserve">Act. 14</w:t>
            </w:r>
          </w:p>
        </w:tc>
      </w:tr>
      <w:tr>
        <w:trPr>
          <w:cantSplit/>
        </w:trPr>
        <w:tc>
          <w:tcPr>
            <w:tcW w:w="2600" w:type="dxa"/>
            <w:vAlign w:val="top"/>
          </w:tcPr>
          <w:p>
            <w:pPr>
              <w:keepNext/>
              <w:spacing w:before="20" w:after="20" w:line="240" w:lineRule="auto"/>
            </w:pPr>
            <w:r>
              <w:rPr>
                <w:b/>
                <w:bCs/>
                <w:sz w:val="18"/>
                <w:szCs w:val="18"/>
              </w:rPr>
              <w:t xml:space="preserve">Clasificación, detección o segmentación</w:t>
            </w:r>
          </w:p>
        </w:tc>
        <w:tc>
          <w:tcPr>
            <w:tcW w:w="4638" w:type="dxa"/>
            <w:vAlign w:val="top"/>
          </w:tcPr>
          <w:p>
            <w:pPr>
              <w:keepNext/>
              <w:spacing w:before="20" w:after="20" w:line="240" w:lineRule="auto"/>
            </w:pPr>
            <w:r>
              <w:rPr>
                <w:sz w:val="18"/>
                <w:szCs w:val="18"/>
              </w:rPr>
              <w:t xml:space="preserve">Definir si la app clasifica la foto completa o localiza la lesión en el tallo.</w:t>
            </w:r>
          </w:p>
        </w:tc>
        <w:tc>
          <w:tcPr>
            <w:tcW w:w="1600" w:type="dxa"/>
            <w:vAlign w:val="top"/>
          </w:tcPr>
          <w:p>
            <w:pPr>
              <w:keepNext/>
              <w:spacing w:before="20" w:after="20" w:line="240" w:lineRule="auto"/>
            </w:pPr>
            <w:r>
              <w:rPr>
                <w:sz w:val="18"/>
                <w:szCs w:val="18"/>
              </w:rPr>
              <w:t xml:space="preserve">Act. 10 y 14</w:t>
            </w:r>
          </w:p>
        </w:tc>
      </w:tr>
      <w:tr>
        <w:trPr>
          <w:cantSplit/>
        </w:trPr>
        <w:tc>
          <w:tcPr>
            <w:tcW w:w="2600" w:type="dxa"/>
            <w:vAlign w:val="top"/>
          </w:tcPr>
          <w:p>
            <w:pPr>
              <w:keepNext/>
              <w:spacing w:before="20" w:after="20" w:line="240" w:lineRule="auto"/>
            </w:pPr>
            <w:r>
              <w:rPr>
                <w:b/>
                <w:bCs/>
                <w:sz w:val="18"/>
                <w:szCs w:val="18"/>
              </w:rPr>
              <w:t xml:space="preserve">Brecha laboratorio–campo</w:t>
            </w:r>
          </w:p>
        </w:tc>
        <w:tc>
          <w:tcPr>
            <w:tcW w:w="4638" w:type="dxa"/>
            <w:vAlign w:val="top"/>
          </w:tcPr>
          <w:p>
            <w:pPr>
              <w:keepNext/>
              <w:spacing w:before="20" w:after="20" w:line="240" w:lineRule="auto"/>
            </w:pPr>
            <w:r>
              <w:rPr>
                <w:sz w:val="18"/>
                <w:szCs w:val="18"/>
              </w:rPr>
              <w:t xml:space="preserve">Construir un dataset propio de tallos fotografiados en campo, con variedad de condiciones.</w:t>
            </w:r>
          </w:p>
        </w:tc>
        <w:tc>
          <w:tcPr>
            <w:tcW w:w="1600" w:type="dxa"/>
            <w:vAlign w:val="top"/>
          </w:tcPr>
          <w:p>
            <w:pPr>
              <w:keepNext/>
              <w:spacing w:before="20" w:after="20" w:line="240" w:lineRule="auto"/>
            </w:pPr>
            <w:r>
              <w:rPr>
                <w:sz w:val="18"/>
                <w:szCs w:val="18"/>
              </w:rPr>
              <w:t xml:space="preserve">Act. 10 a 12</w:t>
            </w:r>
          </w:p>
        </w:tc>
      </w:tr>
      <w:tr>
        <w:trPr>
          <w:cantSplit/>
        </w:trPr>
        <w:tc>
          <w:tcPr>
            <w:tcW w:w="2600" w:type="dxa"/>
            <w:vAlign w:val="top"/>
          </w:tcPr>
          <w:p>
            <w:pPr>
              <w:keepNext/>
              <w:spacing w:before="20" w:after="20" w:line="240" w:lineRule="auto"/>
            </w:pPr>
            <w:r>
              <w:rPr>
                <w:b/>
                <w:bCs/>
                <w:sz w:val="18"/>
                <w:szCs w:val="18"/>
              </w:rPr>
              <w:t xml:space="preserve">Anotación de imágenes</w:t>
            </w:r>
          </w:p>
        </w:tc>
        <w:tc>
          <w:tcPr>
            <w:tcW w:w="4638" w:type="dxa"/>
            <w:vAlign w:val="top"/>
          </w:tcPr>
          <w:p>
            <w:pPr>
              <w:keepNext/>
              <w:spacing w:before="20" w:after="20" w:line="240" w:lineRule="auto"/>
            </w:pPr>
            <w:r>
              <w:rPr>
                <w:sz w:val="18"/>
                <w:szCs w:val="18"/>
              </w:rPr>
              <w:t xml:space="preserve">Etiquetar por clases (o por regiones si se segmenta), con criterios comunes.</w:t>
            </w:r>
          </w:p>
        </w:tc>
        <w:tc>
          <w:tcPr>
            <w:tcW w:w="1600" w:type="dxa"/>
            <w:vAlign w:val="top"/>
          </w:tcPr>
          <w:p>
            <w:pPr>
              <w:keepNext/>
              <w:spacing w:before="20" w:after="20" w:line="240" w:lineRule="auto"/>
            </w:pPr>
            <w:r>
              <w:rPr>
                <w:sz w:val="18"/>
                <w:szCs w:val="18"/>
              </w:rPr>
              <w:t xml:space="preserve">Act. 12</w:t>
            </w:r>
          </w:p>
        </w:tc>
      </w:tr>
      <w:tr>
        <w:trPr>
          <w:cantSplit/>
        </w:trPr>
        <w:tc>
          <w:tcPr>
            <w:tcW w:w="2600" w:type="dxa"/>
            <w:vAlign w:val="top"/>
          </w:tcPr>
          <w:p>
            <w:pPr>
              <w:keepNext/>
              <w:spacing w:before="20" w:after="20" w:line="240" w:lineRule="auto"/>
            </w:pPr>
            <w:r>
              <w:rPr>
                <w:b/>
                <w:bCs/>
                <w:sz w:val="18"/>
                <w:szCs w:val="18"/>
              </w:rPr>
              <w:t xml:space="preserve">Modelos ligeros y despliegue en el borde</w:t>
            </w:r>
          </w:p>
        </w:tc>
        <w:tc>
          <w:tcPr>
            <w:tcW w:w="4638" w:type="dxa"/>
            <w:vAlign w:val="top"/>
          </w:tcPr>
          <w:p>
            <w:pPr>
              <w:keepNext/>
              <w:spacing w:before="20" w:after="20" w:line="240" w:lineRule="auto"/>
            </w:pPr>
            <w:r>
              <w:rPr>
                <w:sz w:val="18"/>
                <w:szCs w:val="18"/>
              </w:rPr>
              <w:t xml:space="preserve">Elegir arquitecturas tipo MobileNet o EfficientNet-Lite y ejecutar el modelo en el teléfono.</w:t>
            </w:r>
          </w:p>
        </w:tc>
        <w:tc>
          <w:tcPr>
            <w:tcW w:w="1600" w:type="dxa"/>
            <w:vAlign w:val="top"/>
          </w:tcPr>
          <w:p>
            <w:pPr>
              <w:keepNext/>
              <w:spacing w:before="20" w:after="20" w:line="240" w:lineRule="auto"/>
            </w:pPr>
            <w:r>
              <w:rPr>
                <w:sz w:val="18"/>
                <w:szCs w:val="18"/>
              </w:rPr>
              <w:t xml:space="preserve">Act. 15, 19 y 20</w:t>
            </w:r>
          </w:p>
        </w:tc>
      </w:tr>
      <w:tr>
        <w:trPr>
          <w:cantSplit/>
        </w:trPr>
        <w:tc>
          <w:tcPr>
            <w:tcW w:w="2600" w:type="dxa"/>
            <w:vAlign w:val="top"/>
          </w:tcPr>
          <w:p>
            <w:pPr>
              <w:spacing w:before="20" w:after="20" w:line="240" w:lineRule="auto"/>
            </w:pPr>
            <w:r>
              <w:rPr>
                <w:b/>
                <w:bCs/>
                <w:sz w:val="18"/>
                <w:szCs w:val="18"/>
              </w:rPr>
              <w:t xml:space="preserve">Diseño centrado en el usuario y UX</w:t>
            </w:r>
          </w:p>
        </w:tc>
        <w:tc>
          <w:tcPr>
            <w:tcW w:w="4638" w:type="dxa"/>
            <w:vAlign w:val="top"/>
          </w:tcPr>
          <w:p>
            <w:pPr>
              <w:spacing w:before="20" w:after="20" w:line="240" w:lineRule="auto"/>
            </w:pPr>
            <w:r>
              <w:rPr>
                <w:sz w:val="18"/>
                <w:szCs w:val="18"/>
              </w:rPr>
              <w:t xml:space="preserve">Investigar a los usuarios, prototipar y evaluar la usabilidad, también tras un tiempo de uso.</w:t>
            </w:r>
          </w:p>
        </w:tc>
        <w:tc>
          <w:tcPr>
            <w:tcW w:w="1600" w:type="dxa"/>
            <w:vAlign w:val="top"/>
          </w:tcPr>
          <w:p>
            <w:pPr>
              <w:spacing w:before="20" w:after="20" w:line="240" w:lineRule="auto"/>
            </w:pPr>
            <w:r>
              <w:rPr>
                <w:sz w:val="18"/>
                <w:szCs w:val="18"/>
              </w:rPr>
              <w:t xml:space="preserve">Act. 16, 17 y 21</w:t>
            </w:r>
          </w:p>
        </w:tc>
      </w:tr>
    </w:tbl>
    <w:p>
      <w:pPr>
        <w:jc w:val="both"/>
      </w:pPr>
      <w:r>
        <w:rPr>
          <w:i/>
          <w:iCs/>
        </w:rPr>
        <w:t xml:space="preserve">Limitación de las fuentes.</w:t>
      </w:r>
      <w:r>
        <w:rPr/>
        <w:t xml:space="preserve"> Las fuentes de IPO recopiladas son escasas: una revisión sobre UX a largo plazo y dos estudios con evaluaciones de usuario. Si la tutora lo considera necesario, convendría recopilar en Grupos v2 fuentes sobre instrumentos de evaluación de la usabilidad para las Actividades 16 y 21.</w:t>
      </w:r>
    </w:p>
    <w:p>
      <w:r>
        <w:br w:type="page"/>
      </w:r>
    </w:p>
    <w:p>
      <w:pPr>
        <w:spacing w:after="240"/>
      </w:pPr>
      <w:r>
        <w:rPr>
          <w:b/>
          <w:bCs/>
          <w:color w:val="1F3864"/>
          <w:sz w:val="26"/>
          <w:szCs w:val="26"/>
        </w:rPr>
        <w:t xml:space="preserve">Referencias</w:t>
      </w:r>
    </w:p>
    <w:p>
      <w:pPr>
        <w:spacing w:after="200"/>
      </w:pPr>
      <w:r>
        <w:rPr>
          <w:i/>
          <w:iCs/>
          <w:sz w:val="18"/>
          <w:szCs w:val="18"/>
        </w:rPr>
        <w:t xml:space="preserve">Todas las referencias corresponden a fuentes recopiladas por el autor en la carpeta Grupos v2.</w:t>
      </w:r>
    </w:p>
    <w:p>
      <w:pPr>
        <w:spacing w:after="120"/>
        <w:ind w:left="720" w:hanging="720"/>
      </w:pPr>
      <w:r>
        <w:rPr/>
        <w:t xml:space="preserve">Christakakis, P., Papadopoulou, G., Mikos, G., Kalogiannidis, N., Ioannidis, D., Tzovaras, D., &amp; Pechlivani, E. M. (2024). Smartphone-based citizen science tool for plant disease and insect pest detection using artificial intelligence. </w:t>
      </w:r>
      <w:r>
        <w:rPr>
          <w:i/>
          <w:iCs/>
        </w:rPr>
        <w:t xml:space="preserve">Technologies, 12</w:t>
      </w:r>
      <w:r>
        <w:rPr/>
        <w:t xml:space="preserve">(7), 101. https://doi.org/10.3390/technologies12070101</w:t>
      </w:r>
    </w:p>
    <w:p>
      <w:pPr>
        <w:spacing w:after="120"/>
        <w:ind w:left="720" w:hanging="720"/>
      </w:pPr>
      <w:r>
        <w:rPr/>
        <w:t xml:space="preserve">Kochhar, A., Narang, G., Patel, S., Kaur, H., Singla, C., Pateriya, B., &amp; Galdelli, A. (2026). A three-tier deep learning framework with mobile application integration for multi-crop disease diagnosis. </w:t>
      </w:r>
      <w:r>
        <w:rPr>
          <w:i/>
          <w:iCs/>
        </w:rPr>
        <w:t xml:space="preserve">Discover Artificial Intelligence, 6</w:t>
      </w:r>
      <w:r>
        <w:rPr/>
        <w:t xml:space="preserve">, 358. https://doi.org/10.1007/s44163-026-01062-0</w:t>
      </w:r>
    </w:p>
    <w:p>
      <w:pPr>
        <w:spacing w:after="120"/>
        <w:ind w:left="720" w:hanging="720"/>
      </w:pPr>
      <w:r>
        <w:rPr/>
        <w:t xml:space="preserve">Lin, X., Chen, S., Yan, N., Pi, J., Zhu, T., &amp; Xu, L. (2026). Knowledge distillation for smart agriculture: Methods, applications, and future directions. </w:t>
      </w:r>
      <w:r>
        <w:rPr>
          <w:i/>
          <w:iCs/>
        </w:rPr>
        <w:t xml:space="preserve">Smart Agricultural Technology, 14</w:t>
      </w:r>
      <w:r>
        <w:rPr/>
        <w:t xml:space="preserve">, 102019. https://doi.org/10.1016/j.atech.2026.102019</w:t>
      </w:r>
    </w:p>
    <w:p>
      <w:pPr>
        <w:spacing w:after="120"/>
        <w:ind w:left="720" w:hanging="720"/>
      </w:pPr>
      <w:r>
        <w:rPr/>
        <w:t xml:space="preserve">Majdalawieh, M., Martins, C., Radi, M., Alaraj, M., &amp; Khan, S. (2025). Precision agriculture in the age of AI: A systematic review of machine learning methods for crop disease detection. </w:t>
      </w:r>
      <w:r>
        <w:rPr>
          <w:i/>
          <w:iCs/>
        </w:rPr>
        <w:t xml:space="preserve">Smart Agricultural Technology, 12</w:t>
      </w:r>
      <w:r>
        <w:rPr/>
        <w:t xml:space="preserve">, 101491. https://doi.org/10.1016/j.atech.2025.101491</w:t>
      </w:r>
    </w:p>
    <w:p>
      <w:pPr>
        <w:spacing w:after="120"/>
        <w:ind w:left="720" w:hanging="720"/>
      </w:pPr>
      <w:r>
        <w:rPr/>
        <w:t xml:space="preserve">Martinelli, S., Lopes, L., &amp; Zaina, L. (2024). UX research practices related to long-term UX: A systematic literature review. </w:t>
      </w:r>
      <w:r>
        <w:rPr>
          <w:i/>
          <w:iCs/>
        </w:rPr>
        <w:t xml:space="preserve">Information and Software Technology, 170</w:t>
      </w:r>
      <w:r>
        <w:rPr/>
        <w:t xml:space="preserve">, 107431. https://doi.org/10.1016/j.infsof.2024.107431</w:t>
      </w:r>
    </w:p>
    <w:p>
      <w:pPr>
        <w:spacing w:after="120"/>
        <w:ind w:left="720" w:hanging="720"/>
      </w:pPr>
      <w:r>
        <w:rPr/>
        <w:t xml:space="preserve">Odounfa, M. G. F., Gbemavo, C. D. S. J., Tahi, S. P. G., &amp; Glèlè Kakaï, R. L. (2024). Deep learning methods for enhanced stress and pest management in market garden crops: A comprehensive analysis. </w:t>
      </w:r>
      <w:r>
        <w:rPr>
          <w:i/>
          <w:iCs/>
        </w:rPr>
        <w:t xml:space="preserve">Smart Agricultural Technology, 9</w:t>
      </w:r>
      <w:r>
        <w:rPr/>
        <w:t xml:space="preserve">, 100521. https://doi.org/10.1016/j.atech.2024.100521</w:t>
      </w:r>
    </w:p>
    <w:p>
      <w:pPr>
        <w:spacing w:after="120"/>
        <w:ind w:left="720" w:hanging="720"/>
      </w:pPr>
      <w:r>
        <w:rPr/>
        <w:t xml:space="preserve">Ramana Reddy, B., Kalnoor, G., Devashish, M., &amp; Sai Karthik Reddy, P. (2025). Deep learning based mobile application for automated plant disease detection. </w:t>
      </w:r>
      <w:r>
        <w:rPr>
          <w:i/>
          <w:iCs/>
        </w:rPr>
        <w:t xml:space="preserve">IEEE Access, 13</w:t>
      </w:r>
      <w:r>
        <w:rPr/>
        <w:t xml:space="preserve">. https://doi.org/10.1109/ACCESS.2025.3581099</w:t>
      </w:r>
    </w:p>
    <w:p>
      <w:pPr>
        <w:spacing w:after="120"/>
        <w:ind w:left="720" w:hanging="720"/>
      </w:pPr>
      <w:r>
        <w:rPr/>
        <w:t xml:space="preserve">Saini, Y., Somani, V., &amp; Khatri, N. (2026). Critical analysis of advanced machine learning and deep learning models for crop disease detection: Challenges, innovations, and future directions. </w:t>
      </w:r>
      <w:r>
        <w:rPr>
          <w:i/>
          <w:iCs/>
        </w:rPr>
        <w:t xml:space="preserve">Franklin Open, 15</w:t>
      </w:r>
      <w:r>
        <w:rPr/>
        <w:t xml:space="preserve">, 100584. https://doi.org/10.1016/j.fraope.2026.100584</w:t>
      </w:r>
    </w:p>
    <w:p>
      <w:pPr>
        <w:spacing w:after="120"/>
        <w:ind w:left="720" w:hanging="720"/>
      </w:pPr>
      <w:r>
        <w:rPr/>
        <w:t xml:space="preserve">Sajitha, P., Andrushia, A. D., Anand, N., &amp; Naser, M. Z. (2024). A review on machine learning and deep learning image-based plant disease classification for industrial farming systems. </w:t>
      </w:r>
      <w:r>
        <w:rPr>
          <w:i/>
          <w:iCs/>
        </w:rPr>
        <w:t xml:space="preserve">Journal of Industrial Information Integration, 38</w:t>
      </w:r>
      <w:r>
        <w:rPr/>
        <w:t xml:space="preserve">, 100572. https://doi.org/10.1016/j.jii.2024.100572</w:t>
      </w:r>
    </w:p>
    <w:sectPr w:rsidR="006F618B" w:rsidRPr="009967A9" w:rsidSect="0055613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3A4D5" w14:textId="77777777" w:rsidR="004225DB" w:rsidRDefault="004225DB" w:rsidP="00BD5240">
      <w:pPr>
        <w:spacing w:after="0" w:line="240" w:lineRule="auto"/>
      </w:pPr>
      <w:r>
        <w:separator/>
      </w:r>
    </w:p>
  </w:endnote>
  <w:endnote w:type="continuationSeparator" w:id="0">
    <w:p w14:paraId="4DEEB8A7" w14:textId="77777777" w:rsidR="004225DB" w:rsidRDefault="004225DB" w:rsidP="00BD5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BDCDD" w14:textId="77777777" w:rsidR="004225DB" w:rsidRDefault="004225DB" w:rsidP="00BD5240">
      <w:pPr>
        <w:spacing w:after="0" w:line="240" w:lineRule="auto"/>
      </w:pPr>
      <w:r>
        <w:separator/>
      </w:r>
    </w:p>
  </w:footnote>
  <w:footnote w:type="continuationSeparator" w:id="0">
    <w:p w14:paraId="0C894CFA" w14:textId="77777777" w:rsidR="004225DB" w:rsidRDefault="004225DB" w:rsidP="00BD5240">
      <w:pPr>
        <w:spacing w:after="0" w:line="240" w:lineRule="auto"/>
      </w:pPr>
      <w:r>
        <w:continuationSeparator/>
      </w:r>
    </w:p>
  </w:footnote>
  <w:footnote w:id="1">
    <w:p w14:paraId="77047E66" w14:textId="14B50358" w:rsidR="005452F5" w:rsidRPr="005452F5" w:rsidRDefault="005452F5">
      <w:pPr>
        <w:pStyle w:val="Textonotapie"/>
      </w:pPr>
      <w:r>
        <w:rPr>
          <w:rStyle w:val="Refdenotaalpie"/>
        </w:rPr>
        <w:footnoteRef/>
      </w:r>
      <w:r>
        <w:t xml:space="preserve"> </w:t>
      </w:r>
      <w:r w:rsidR="008603D4">
        <w:t xml:space="preserve">Véase Sección 6. </w:t>
      </w:r>
      <w:r w:rsidR="008603D4" w:rsidRPr="008603D4">
        <w:t>Criterios de elegibilidad</w:t>
      </w:r>
      <w:r w:rsidRPr="005452F5">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0D00B1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A970E0"/>
    <w:multiLevelType w:val="hybridMultilevel"/>
    <w:tmpl w:val="1F54392C"/>
    <w:lvl w:ilvl="0" w:tplc="080A000D">
      <w:start w:val="1"/>
      <w:numFmt w:val="bullet"/>
      <w:lvlText w:val=""/>
      <w:lvlJc w:val="left"/>
      <w:pPr>
        <w:ind w:left="616" w:hanging="360"/>
      </w:pPr>
      <w:rPr>
        <w:rFonts w:ascii="Wingdings" w:hAnsi="Wingdings" w:hint="default"/>
      </w:rPr>
    </w:lvl>
    <w:lvl w:ilvl="1" w:tplc="FFFFFFFF">
      <w:start w:val="1"/>
      <w:numFmt w:val="bullet"/>
      <w:lvlText w:val=""/>
      <w:lvlJc w:val="left"/>
      <w:pPr>
        <w:ind w:left="1232" w:hanging="360"/>
      </w:pPr>
      <w:rPr>
        <w:rFonts w:ascii="Wingdings" w:hAnsi="Wingdings" w:hint="default"/>
      </w:rPr>
    </w:lvl>
    <w:lvl w:ilvl="2" w:tplc="FFFFFFFF" w:tentative="1">
      <w:start w:val="1"/>
      <w:numFmt w:val="bullet"/>
      <w:lvlText w:val=""/>
      <w:lvlJc w:val="left"/>
      <w:pPr>
        <w:ind w:left="2056" w:hanging="360"/>
      </w:pPr>
      <w:rPr>
        <w:rFonts w:ascii="Wingdings" w:hAnsi="Wingdings" w:hint="default"/>
      </w:rPr>
    </w:lvl>
    <w:lvl w:ilvl="3" w:tplc="FFFFFFFF" w:tentative="1">
      <w:start w:val="1"/>
      <w:numFmt w:val="bullet"/>
      <w:lvlText w:val=""/>
      <w:lvlJc w:val="left"/>
      <w:pPr>
        <w:ind w:left="2776" w:hanging="360"/>
      </w:pPr>
      <w:rPr>
        <w:rFonts w:ascii="Symbol" w:hAnsi="Symbol" w:hint="default"/>
      </w:rPr>
    </w:lvl>
    <w:lvl w:ilvl="4" w:tplc="FFFFFFFF" w:tentative="1">
      <w:start w:val="1"/>
      <w:numFmt w:val="bullet"/>
      <w:lvlText w:val="o"/>
      <w:lvlJc w:val="left"/>
      <w:pPr>
        <w:ind w:left="3496" w:hanging="360"/>
      </w:pPr>
      <w:rPr>
        <w:rFonts w:ascii="Courier New" w:hAnsi="Courier New" w:cs="Courier New" w:hint="default"/>
      </w:rPr>
    </w:lvl>
    <w:lvl w:ilvl="5" w:tplc="FFFFFFFF" w:tentative="1">
      <w:start w:val="1"/>
      <w:numFmt w:val="bullet"/>
      <w:lvlText w:val=""/>
      <w:lvlJc w:val="left"/>
      <w:pPr>
        <w:ind w:left="4216" w:hanging="360"/>
      </w:pPr>
      <w:rPr>
        <w:rFonts w:ascii="Wingdings" w:hAnsi="Wingdings" w:hint="default"/>
      </w:rPr>
    </w:lvl>
    <w:lvl w:ilvl="6" w:tplc="FFFFFFFF" w:tentative="1">
      <w:start w:val="1"/>
      <w:numFmt w:val="bullet"/>
      <w:lvlText w:val=""/>
      <w:lvlJc w:val="left"/>
      <w:pPr>
        <w:ind w:left="4936" w:hanging="360"/>
      </w:pPr>
      <w:rPr>
        <w:rFonts w:ascii="Symbol" w:hAnsi="Symbol" w:hint="default"/>
      </w:rPr>
    </w:lvl>
    <w:lvl w:ilvl="7" w:tplc="FFFFFFFF" w:tentative="1">
      <w:start w:val="1"/>
      <w:numFmt w:val="bullet"/>
      <w:lvlText w:val="o"/>
      <w:lvlJc w:val="left"/>
      <w:pPr>
        <w:ind w:left="5656" w:hanging="360"/>
      </w:pPr>
      <w:rPr>
        <w:rFonts w:ascii="Courier New" w:hAnsi="Courier New" w:cs="Courier New" w:hint="default"/>
      </w:rPr>
    </w:lvl>
    <w:lvl w:ilvl="8" w:tplc="FFFFFFFF" w:tentative="1">
      <w:start w:val="1"/>
      <w:numFmt w:val="bullet"/>
      <w:lvlText w:val=""/>
      <w:lvlJc w:val="left"/>
      <w:pPr>
        <w:ind w:left="6376" w:hanging="360"/>
      </w:pPr>
      <w:rPr>
        <w:rFonts w:ascii="Wingdings" w:hAnsi="Wingdings" w:hint="default"/>
      </w:rPr>
    </w:lvl>
  </w:abstractNum>
  <w:abstractNum w:abstractNumId="2" w15:restartNumberingAfterBreak="0">
    <w:nsid w:val="08222F00"/>
    <w:multiLevelType w:val="hybridMultilevel"/>
    <w:tmpl w:val="96801AA6"/>
    <w:lvl w:ilvl="0" w:tplc="080A000D">
      <w:start w:val="1"/>
      <w:numFmt w:val="bullet"/>
      <w:lvlText w:val=""/>
      <w:lvlJc w:val="left"/>
      <w:pPr>
        <w:ind w:left="616" w:hanging="360"/>
      </w:pPr>
      <w:rPr>
        <w:rFonts w:ascii="Wingdings" w:hAnsi="Wingdings" w:hint="default"/>
      </w:rPr>
    </w:lvl>
    <w:lvl w:ilvl="1" w:tplc="080A0003" w:tentative="1">
      <w:start w:val="1"/>
      <w:numFmt w:val="bullet"/>
      <w:lvlText w:val="o"/>
      <w:lvlJc w:val="left"/>
      <w:pPr>
        <w:ind w:left="1336" w:hanging="360"/>
      </w:pPr>
      <w:rPr>
        <w:rFonts w:ascii="Courier New" w:hAnsi="Courier New" w:cs="Courier New" w:hint="default"/>
      </w:rPr>
    </w:lvl>
    <w:lvl w:ilvl="2" w:tplc="080A0005" w:tentative="1">
      <w:start w:val="1"/>
      <w:numFmt w:val="bullet"/>
      <w:lvlText w:val=""/>
      <w:lvlJc w:val="left"/>
      <w:pPr>
        <w:ind w:left="2056" w:hanging="360"/>
      </w:pPr>
      <w:rPr>
        <w:rFonts w:ascii="Wingdings" w:hAnsi="Wingdings" w:hint="default"/>
      </w:rPr>
    </w:lvl>
    <w:lvl w:ilvl="3" w:tplc="080A0001" w:tentative="1">
      <w:start w:val="1"/>
      <w:numFmt w:val="bullet"/>
      <w:lvlText w:val=""/>
      <w:lvlJc w:val="left"/>
      <w:pPr>
        <w:ind w:left="2776" w:hanging="360"/>
      </w:pPr>
      <w:rPr>
        <w:rFonts w:ascii="Symbol" w:hAnsi="Symbol" w:hint="default"/>
      </w:rPr>
    </w:lvl>
    <w:lvl w:ilvl="4" w:tplc="080A0003" w:tentative="1">
      <w:start w:val="1"/>
      <w:numFmt w:val="bullet"/>
      <w:lvlText w:val="o"/>
      <w:lvlJc w:val="left"/>
      <w:pPr>
        <w:ind w:left="3496" w:hanging="360"/>
      </w:pPr>
      <w:rPr>
        <w:rFonts w:ascii="Courier New" w:hAnsi="Courier New" w:cs="Courier New" w:hint="default"/>
      </w:rPr>
    </w:lvl>
    <w:lvl w:ilvl="5" w:tplc="080A0005" w:tentative="1">
      <w:start w:val="1"/>
      <w:numFmt w:val="bullet"/>
      <w:lvlText w:val=""/>
      <w:lvlJc w:val="left"/>
      <w:pPr>
        <w:ind w:left="4216" w:hanging="360"/>
      </w:pPr>
      <w:rPr>
        <w:rFonts w:ascii="Wingdings" w:hAnsi="Wingdings" w:hint="default"/>
      </w:rPr>
    </w:lvl>
    <w:lvl w:ilvl="6" w:tplc="080A0001" w:tentative="1">
      <w:start w:val="1"/>
      <w:numFmt w:val="bullet"/>
      <w:lvlText w:val=""/>
      <w:lvlJc w:val="left"/>
      <w:pPr>
        <w:ind w:left="4936" w:hanging="360"/>
      </w:pPr>
      <w:rPr>
        <w:rFonts w:ascii="Symbol" w:hAnsi="Symbol" w:hint="default"/>
      </w:rPr>
    </w:lvl>
    <w:lvl w:ilvl="7" w:tplc="080A0003" w:tentative="1">
      <w:start w:val="1"/>
      <w:numFmt w:val="bullet"/>
      <w:lvlText w:val="o"/>
      <w:lvlJc w:val="left"/>
      <w:pPr>
        <w:ind w:left="5656" w:hanging="360"/>
      </w:pPr>
      <w:rPr>
        <w:rFonts w:ascii="Courier New" w:hAnsi="Courier New" w:cs="Courier New" w:hint="default"/>
      </w:rPr>
    </w:lvl>
    <w:lvl w:ilvl="8" w:tplc="080A0005" w:tentative="1">
      <w:start w:val="1"/>
      <w:numFmt w:val="bullet"/>
      <w:lvlText w:val=""/>
      <w:lvlJc w:val="left"/>
      <w:pPr>
        <w:ind w:left="6376" w:hanging="360"/>
      </w:pPr>
      <w:rPr>
        <w:rFonts w:ascii="Wingdings" w:hAnsi="Wingdings" w:hint="default"/>
      </w:rPr>
    </w:lvl>
  </w:abstractNum>
  <w:abstractNum w:abstractNumId="3" w15:restartNumberingAfterBreak="0">
    <w:nsid w:val="167007CE"/>
    <w:multiLevelType w:val="hybridMultilevel"/>
    <w:tmpl w:val="FD62257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16FF57C9"/>
    <w:multiLevelType w:val="hybridMultilevel"/>
    <w:tmpl w:val="EB20B9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84A0950"/>
    <w:multiLevelType w:val="hybridMultilevel"/>
    <w:tmpl w:val="26D03E6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1C2C6D6E"/>
    <w:multiLevelType w:val="hybridMultilevel"/>
    <w:tmpl w:val="DE5ACD30"/>
    <w:lvl w:ilvl="0" w:tplc="080A000F">
      <w:start w:val="8"/>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 w15:restartNumberingAfterBreak="0">
    <w:nsid w:val="1E445359"/>
    <w:multiLevelType w:val="hybridMultilevel"/>
    <w:tmpl w:val="7BCEF31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20B16F04"/>
    <w:multiLevelType w:val="hybridMultilevel"/>
    <w:tmpl w:val="850CA5B6"/>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 w15:restartNumberingAfterBreak="0">
    <w:nsid w:val="21C250AE"/>
    <w:multiLevelType w:val="hybridMultilevel"/>
    <w:tmpl w:val="297AAF7E"/>
    <w:lvl w:ilvl="0" w:tplc="9F3C32A6">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24103964"/>
    <w:multiLevelType w:val="hybridMultilevel"/>
    <w:tmpl w:val="0B447F18"/>
    <w:lvl w:ilvl="0" w:tplc="FFFFFFFF">
      <w:start w:val="1"/>
      <w:numFmt w:val="bullet"/>
      <w:lvlText w:val=""/>
      <w:lvlJc w:val="left"/>
      <w:pPr>
        <w:ind w:left="616" w:hanging="360"/>
      </w:pPr>
      <w:rPr>
        <w:rFonts w:ascii="Symbol" w:hAnsi="Symbol" w:hint="default"/>
      </w:rPr>
    </w:lvl>
    <w:lvl w:ilvl="1" w:tplc="080A000D">
      <w:start w:val="1"/>
      <w:numFmt w:val="bullet"/>
      <w:lvlText w:val=""/>
      <w:lvlJc w:val="left"/>
      <w:pPr>
        <w:ind w:left="1232" w:hanging="360"/>
      </w:pPr>
      <w:rPr>
        <w:rFonts w:ascii="Wingdings" w:hAnsi="Wingdings" w:hint="default"/>
      </w:rPr>
    </w:lvl>
    <w:lvl w:ilvl="2" w:tplc="FFFFFFFF" w:tentative="1">
      <w:start w:val="1"/>
      <w:numFmt w:val="bullet"/>
      <w:lvlText w:val=""/>
      <w:lvlJc w:val="left"/>
      <w:pPr>
        <w:ind w:left="2056" w:hanging="360"/>
      </w:pPr>
      <w:rPr>
        <w:rFonts w:ascii="Wingdings" w:hAnsi="Wingdings" w:hint="default"/>
      </w:rPr>
    </w:lvl>
    <w:lvl w:ilvl="3" w:tplc="FFFFFFFF" w:tentative="1">
      <w:start w:val="1"/>
      <w:numFmt w:val="bullet"/>
      <w:lvlText w:val=""/>
      <w:lvlJc w:val="left"/>
      <w:pPr>
        <w:ind w:left="2776" w:hanging="360"/>
      </w:pPr>
      <w:rPr>
        <w:rFonts w:ascii="Symbol" w:hAnsi="Symbol" w:hint="default"/>
      </w:rPr>
    </w:lvl>
    <w:lvl w:ilvl="4" w:tplc="FFFFFFFF" w:tentative="1">
      <w:start w:val="1"/>
      <w:numFmt w:val="bullet"/>
      <w:lvlText w:val="o"/>
      <w:lvlJc w:val="left"/>
      <w:pPr>
        <w:ind w:left="3496" w:hanging="360"/>
      </w:pPr>
      <w:rPr>
        <w:rFonts w:ascii="Courier New" w:hAnsi="Courier New" w:cs="Courier New" w:hint="default"/>
      </w:rPr>
    </w:lvl>
    <w:lvl w:ilvl="5" w:tplc="FFFFFFFF" w:tentative="1">
      <w:start w:val="1"/>
      <w:numFmt w:val="bullet"/>
      <w:lvlText w:val=""/>
      <w:lvlJc w:val="left"/>
      <w:pPr>
        <w:ind w:left="4216" w:hanging="360"/>
      </w:pPr>
      <w:rPr>
        <w:rFonts w:ascii="Wingdings" w:hAnsi="Wingdings" w:hint="default"/>
      </w:rPr>
    </w:lvl>
    <w:lvl w:ilvl="6" w:tplc="FFFFFFFF" w:tentative="1">
      <w:start w:val="1"/>
      <w:numFmt w:val="bullet"/>
      <w:lvlText w:val=""/>
      <w:lvlJc w:val="left"/>
      <w:pPr>
        <w:ind w:left="4936" w:hanging="360"/>
      </w:pPr>
      <w:rPr>
        <w:rFonts w:ascii="Symbol" w:hAnsi="Symbol" w:hint="default"/>
      </w:rPr>
    </w:lvl>
    <w:lvl w:ilvl="7" w:tplc="FFFFFFFF" w:tentative="1">
      <w:start w:val="1"/>
      <w:numFmt w:val="bullet"/>
      <w:lvlText w:val="o"/>
      <w:lvlJc w:val="left"/>
      <w:pPr>
        <w:ind w:left="5656" w:hanging="360"/>
      </w:pPr>
      <w:rPr>
        <w:rFonts w:ascii="Courier New" w:hAnsi="Courier New" w:cs="Courier New" w:hint="default"/>
      </w:rPr>
    </w:lvl>
    <w:lvl w:ilvl="8" w:tplc="FFFFFFFF" w:tentative="1">
      <w:start w:val="1"/>
      <w:numFmt w:val="bullet"/>
      <w:lvlText w:val=""/>
      <w:lvlJc w:val="left"/>
      <w:pPr>
        <w:ind w:left="6376" w:hanging="360"/>
      </w:pPr>
      <w:rPr>
        <w:rFonts w:ascii="Wingdings" w:hAnsi="Wingdings" w:hint="default"/>
      </w:rPr>
    </w:lvl>
  </w:abstractNum>
  <w:abstractNum w:abstractNumId="11" w15:restartNumberingAfterBreak="0">
    <w:nsid w:val="260E3073"/>
    <w:multiLevelType w:val="multilevel"/>
    <w:tmpl w:val="BB24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B6169"/>
    <w:multiLevelType w:val="hybridMultilevel"/>
    <w:tmpl w:val="A45280AC"/>
    <w:lvl w:ilvl="0" w:tplc="080A000D">
      <w:start w:val="1"/>
      <w:numFmt w:val="bullet"/>
      <w:lvlText w:val=""/>
      <w:lvlJc w:val="left"/>
      <w:pPr>
        <w:ind w:left="976" w:hanging="360"/>
      </w:pPr>
      <w:rPr>
        <w:rFonts w:ascii="Wingdings" w:hAnsi="Wingdings" w:hint="default"/>
      </w:rPr>
    </w:lvl>
    <w:lvl w:ilvl="1" w:tplc="080A0003" w:tentative="1">
      <w:start w:val="1"/>
      <w:numFmt w:val="bullet"/>
      <w:lvlText w:val="o"/>
      <w:lvlJc w:val="left"/>
      <w:pPr>
        <w:ind w:left="1696" w:hanging="360"/>
      </w:pPr>
      <w:rPr>
        <w:rFonts w:ascii="Courier New" w:hAnsi="Courier New" w:cs="Courier New" w:hint="default"/>
      </w:rPr>
    </w:lvl>
    <w:lvl w:ilvl="2" w:tplc="080A0005" w:tentative="1">
      <w:start w:val="1"/>
      <w:numFmt w:val="bullet"/>
      <w:lvlText w:val=""/>
      <w:lvlJc w:val="left"/>
      <w:pPr>
        <w:ind w:left="2416" w:hanging="360"/>
      </w:pPr>
      <w:rPr>
        <w:rFonts w:ascii="Wingdings" w:hAnsi="Wingdings" w:hint="default"/>
      </w:rPr>
    </w:lvl>
    <w:lvl w:ilvl="3" w:tplc="080A0001" w:tentative="1">
      <w:start w:val="1"/>
      <w:numFmt w:val="bullet"/>
      <w:lvlText w:val=""/>
      <w:lvlJc w:val="left"/>
      <w:pPr>
        <w:ind w:left="3136" w:hanging="360"/>
      </w:pPr>
      <w:rPr>
        <w:rFonts w:ascii="Symbol" w:hAnsi="Symbol" w:hint="default"/>
      </w:rPr>
    </w:lvl>
    <w:lvl w:ilvl="4" w:tplc="080A0003" w:tentative="1">
      <w:start w:val="1"/>
      <w:numFmt w:val="bullet"/>
      <w:lvlText w:val="o"/>
      <w:lvlJc w:val="left"/>
      <w:pPr>
        <w:ind w:left="3856" w:hanging="360"/>
      </w:pPr>
      <w:rPr>
        <w:rFonts w:ascii="Courier New" w:hAnsi="Courier New" w:cs="Courier New" w:hint="default"/>
      </w:rPr>
    </w:lvl>
    <w:lvl w:ilvl="5" w:tplc="080A0005" w:tentative="1">
      <w:start w:val="1"/>
      <w:numFmt w:val="bullet"/>
      <w:lvlText w:val=""/>
      <w:lvlJc w:val="left"/>
      <w:pPr>
        <w:ind w:left="4576" w:hanging="360"/>
      </w:pPr>
      <w:rPr>
        <w:rFonts w:ascii="Wingdings" w:hAnsi="Wingdings" w:hint="default"/>
      </w:rPr>
    </w:lvl>
    <w:lvl w:ilvl="6" w:tplc="080A0001" w:tentative="1">
      <w:start w:val="1"/>
      <w:numFmt w:val="bullet"/>
      <w:lvlText w:val=""/>
      <w:lvlJc w:val="left"/>
      <w:pPr>
        <w:ind w:left="5296" w:hanging="360"/>
      </w:pPr>
      <w:rPr>
        <w:rFonts w:ascii="Symbol" w:hAnsi="Symbol" w:hint="default"/>
      </w:rPr>
    </w:lvl>
    <w:lvl w:ilvl="7" w:tplc="080A0003" w:tentative="1">
      <w:start w:val="1"/>
      <w:numFmt w:val="bullet"/>
      <w:lvlText w:val="o"/>
      <w:lvlJc w:val="left"/>
      <w:pPr>
        <w:ind w:left="6016" w:hanging="360"/>
      </w:pPr>
      <w:rPr>
        <w:rFonts w:ascii="Courier New" w:hAnsi="Courier New" w:cs="Courier New" w:hint="default"/>
      </w:rPr>
    </w:lvl>
    <w:lvl w:ilvl="8" w:tplc="080A0005" w:tentative="1">
      <w:start w:val="1"/>
      <w:numFmt w:val="bullet"/>
      <w:lvlText w:val=""/>
      <w:lvlJc w:val="left"/>
      <w:pPr>
        <w:ind w:left="6736" w:hanging="360"/>
      </w:pPr>
      <w:rPr>
        <w:rFonts w:ascii="Wingdings" w:hAnsi="Wingdings" w:hint="default"/>
      </w:rPr>
    </w:lvl>
  </w:abstractNum>
  <w:abstractNum w:abstractNumId="13" w15:restartNumberingAfterBreak="0">
    <w:nsid w:val="31820746"/>
    <w:multiLevelType w:val="hybridMultilevel"/>
    <w:tmpl w:val="201C13EC"/>
    <w:lvl w:ilvl="0" w:tplc="425AC49E">
      <w:start w:val="1"/>
      <w:numFmt w:val="decimal"/>
      <w:lvlText w:val="%1."/>
      <w:lvlJc w:val="left"/>
      <w:pPr>
        <w:ind w:left="360" w:hanging="360"/>
      </w:pPr>
      <w:rPr>
        <w:rFonts w:asciiTheme="minorHAnsi" w:eastAsiaTheme="minorHAnsi" w:hAnsiTheme="minorHAnsi" w:cstheme="minorBidi"/>
        <w:b/>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4" w15:restartNumberingAfterBreak="0">
    <w:nsid w:val="34BD767E"/>
    <w:multiLevelType w:val="multilevel"/>
    <w:tmpl w:val="3504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595390"/>
    <w:multiLevelType w:val="hybridMultilevel"/>
    <w:tmpl w:val="E9B8BB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3A227C2B"/>
    <w:multiLevelType w:val="multilevel"/>
    <w:tmpl w:val="83E2F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43C28"/>
    <w:multiLevelType w:val="multilevel"/>
    <w:tmpl w:val="193C5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A2644A"/>
    <w:multiLevelType w:val="hybridMultilevel"/>
    <w:tmpl w:val="88C0D4BC"/>
    <w:lvl w:ilvl="0" w:tplc="9F3C32A6">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57423903"/>
    <w:multiLevelType w:val="multilevel"/>
    <w:tmpl w:val="D910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D40F14"/>
    <w:multiLevelType w:val="hybridMultilevel"/>
    <w:tmpl w:val="39FA753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1" w15:restartNumberingAfterBreak="0">
    <w:nsid w:val="61E26B56"/>
    <w:multiLevelType w:val="hybridMultilevel"/>
    <w:tmpl w:val="9B9C4066"/>
    <w:lvl w:ilvl="0" w:tplc="A2F66892">
      <w:start w:val="1"/>
      <w:numFmt w:val="bullet"/>
      <w:lvlText w:val=""/>
      <w:lvlJc w:val="left"/>
      <w:pPr>
        <w:ind w:left="360" w:hanging="360"/>
      </w:pPr>
      <w:rPr>
        <w:rFonts w:ascii="Symbol" w:hAnsi="Symbol" w:hint="default"/>
        <w:sz w:val="20"/>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647232DF"/>
    <w:multiLevelType w:val="hybridMultilevel"/>
    <w:tmpl w:val="A4200978"/>
    <w:lvl w:ilvl="0" w:tplc="9F3C32A6">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655838CA"/>
    <w:multiLevelType w:val="multilevel"/>
    <w:tmpl w:val="A0E60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61226A"/>
    <w:multiLevelType w:val="hybridMultilevel"/>
    <w:tmpl w:val="0A70B8CA"/>
    <w:lvl w:ilvl="0" w:tplc="A2F66892">
      <w:start w:val="1"/>
      <w:numFmt w:val="bullet"/>
      <w:lvlText w:val=""/>
      <w:lvlJc w:val="left"/>
      <w:pPr>
        <w:ind w:left="6" w:hanging="360"/>
      </w:pPr>
      <w:rPr>
        <w:rFonts w:ascii="Symbol" w:hAnsi="Symbol" w:hint="default"/>
        <w:sz w:val="20"/>
      </w:rPr>
    </w:lvl>
    <w:lvl w:ilvl="1" w:tplc="080A0003" w:tentative="1">
      <w:start w:val="1"/>
      <w:numFmt w:val="bullet"/>
      <w:lvlText w:val="o"/>
      <w:lvlJc w:val="left"/>
      <w:pPr>
        <w:ind w:left="726" w:hanging="360"/>
      </w:pPr>
      <w:rPr>
        <w:rFonts w:ascii="Courier New" w:hAnsi="Courier New" w:cs="Courier New" w:hint="default"/>
      </w:rPr>
    </w:lvl>
    <w:lvl w:ilvl="2" w:tplc="080A0005" w:tentative="1">
      <w:start w:val="1"/>
      <w:numFmt w:val="bullet"/>
      <w:lvlText w:val=""/>
      <w:lvlJc w:val="left"/>
      <w:pPr>
        <w:ind w:left="1446" w:hanging="360"/>
      </w:pPr>
      <w:rPr>
        <w:rFonts w:ascii="Wingdings" w:hAnsi="Wingdings" w:hint="default"/>
      </w:rPr>
    </w:lvl>
    <w:lvl w:ilvl="3" w:tplc="080A0001" w:tentative="1">
      <w:start w:val="1"/>
      <w:numFmt w:val="bullet"/>
      <w:lvlText w:val=""/>
      <w:lvlJc w:val="left"/>
      <w:pPr>
        <w:ind w:left="2166" w:hanging="360"/>
      </w:pPr>
      <w:rPr>
        <w:rFonts w:ascii="Symbol" w:hAnsi="Symbol" w:hint="default"/>
      </w:rPr>
    </w:lvl>
    <w:lvl w:ilvl="4" w:tplc="080A0003" w:tentative="1">
      <w:start w:val="1"/>
      <w:numFmt w:val="bullet"/>
      <w:lvlText w:val="o"/>
      <w:lvlJc w:val="left"/>
      <w:pPr>
        <w:ind w:left="2886" w:hanging="360"/>
      </w:pPr>
      <w:rPr>
        <w:rFonts w:ascii="Courier New" w:hAnsi="Courier New" w:cs="Courier New" w:hint="default"/>
      </w:rPr>
    </w:lvl>
    <w:lvl w:ilvl="5" w:tplc="080A0005" w:tentative="1">
      <w:start w:val="1"/>
      <w:numFmt w:val="bullet"/>
      <w:lvlText w:val=""/>
      <w:lvlJc w:val="left"/>
      <w:pPr>
        <w:ind w:left="3606" w:hanging="360"/>
      </w:pPr>
      <w:rPr>
        <w:rFonts w:ascii="Wingdings" w:hAnsi="Wingdings" w:hint="default"/>
      </w:rPr>
    </w:lvl>
    <w:lvl w:ilvl="6" w:tplc="080A0001" w:tentative="1">
      <w:start w:val="1"/>
      <w:numFmt w:val="bullet"/>
      <w:lvlText w:val=""/>
      <w:lvlJc w:val="left"/>
      <w:pPr>
        <w:ind w:left="4326" w:hanging="360"/>
      </w:pPr>
      <w:rPr>
        <w:rFonts w:ascii="Symbol" w:hAnsi="Symbol" w:hint="default"/>
      </w:rPr>
    </w:lvl>
    <w:lvl w:ilvl="7" w:tplc="080A0003" w:tentative="1">
      <w:start w:val="1"/>
      <w:numFmt w:val="bullet"/>
      <w:lvlText w:val="o"/>
      <w:lvlJc w:val="left"/>
      <w:pPr>
        <w:ind w:left="5046" w:hanging="360"/>
      </w:pPr>
      <w:rPr>
        <w:rFonts w:ascii="Courier New" w:hAnsi="Courier New" w:cs="Courier New" w:hint="default"/>
      </w:rPr>
    </w:lvl>
    <w:lvl w:ilvl="8" w:tplc="080A0005" w:tentative="1">
      <w:start w:val="1"/>
      <w:numFmt w:val="bullet"/>
      <w:lvlText w:val=""/>
      <w:lvlJc w:val="left"/>
      <w:pPr>
        <w:ind w:left="5766" w:hanging="360"/>
      </w:pPr>
      <w:rPr>
        <w:rFonts w:ascii="Wingdings" w:hAnsi="Wingdings" w:hint="default"/>
      </w:rPr>
    </w:lvl>
  </w:abstractNum>
  <w:abstractNum w:abstractNumId="25" w15:restartNumberingAfterBreak="0">
    <w:nsid w:val="74150818"/>
    <w:multiLevelType w:val="multilevel"/>
    <w:tmpl w:val="6660F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A2431D"/>
    <w:multiLevelType w:val="multilevel"/>
    <w:tmpl w:val="C0CE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776572">
    <w:abstractNumId w:val="5"/>
  </w:num>
  <w:num w:numId="2" w16cid:durableId="1571960807">
    <w:abstractNumId w:val="11"/>
  </w:num>
  <w:num w:numId="3" w16cid:durableId="1556232545">
    <w:abstractNumId w:val="17"/>
  </w:num>
  <w:num w:numId="4" w16cid:durableId="200703489">
    <w:abstractNumId w:val="26"/>
  </w:num>
  <w:num w:numId="5" w16cid:durableId="1228106259">
    <w:abstractNumId w:val="16"/>
  </w:num>
  <w:num w:numId="6" w16cid:durableId="1666323715">
    <w:abstractNumId w:val="14"/>
  </w:num>
  <w:num w:numId="7" w16cid:durableId="944465061">
    <w:abstractNumId w:val="25"/>
  </w:num>
  <w:num w:numId="8" w16cid:durableId="952859265">
    <w:abstractNumId w:val="23"/>
  </w:num>
  <w:num w:numId="9" w16cid:durableId="708384760">
    <w:abstractNumId w:val="19"/>
  </w:num>
  <w:num w:numId="10" w16cid:durableId="736320756">
    <w:abstractNumId w:val="18"/>
  </w:num>
  <w:num w:numId="11" w16cid:durableId="2023579361">
    <w:abstractNumId w:val="9"/>
  </w:num>
  <w:num w:numId="12" w16cid:durableId="418675841">
    <w:abstractNumId w:val="12"/>
  </w:num>
  <w:num w:numId="13" w16cid:durableId="2019962852">
    <w:abstractNumId w:val="10"/>
  </w:num>
  <w:num w:numId="14" w16cid:durableId="93403866">
    <w:abstractNumId w:val="1"/>
  </w:num>
  <w:num w:numId="15" w16cid:durableId="501744900">
    <w:abstractNumId w:val="2"/>
  </w:num>
  <w:num w:numId="16" w16cid:durableId="1996452964">
    <w:abstractNumId w:val="22"/>
  </w:num>
  <w:num w:numId="17" w16cid:durableId="176893229">
    <w:abstractNumId w:val="21"/>
  </w:num>
  <w:num w:numId="18" w16cid:durableId="1123379683">
    <w:abstractNumId w:val="6"/>
  </w:num>
  <w:num w:numId="19" w16cid:durableId="292253022">
    <w:abstractNumId w:val="24"/>
  </w:num>
  <w:num w:numId="20" w16cid:durableId="964703559">
    <w:abstractNumId w:val="8"/>
  </w:num>
  <w:num w:numId="21" w16cid:durableId="1294870448">
    <w:abstractNumId w:val="13"/>
  </w:num>
  <w:num w:numId="22" w16cid:durableId="722220312">
    <w:abstractNumId w:val="7"/>
  </w:num>
  <w:num w:numId="23" w16cid:durableId="855731421">
    <w:abstractNumId w:val="4"/>
  </w:num>
  <w:num w:numId="24" w16cid:durableId="415786196">
    <w:abstractNumId w:val="0"/>
  </w:num>
  <w:num w:numId="25" w16cid:durableId="619263782">
    <w:abstractNumId w:val="20"/>
  </w:num>
  <w:num w:numId="26" w16cid:durableId="1092697646">
    <w:abstractNumId w:val="15"/>
  </w:num>
  <w:num w:numId="27" w16cid:durableId="15214342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56E"/>
    <w:rsid w:val="00017AFB"/>
    <w:rsid w:val="000273E4"/>
    <w:rsid w:val="00031451"/>
    <w:rsid w:val="0003341D"/>
    <w:rsid w:val="000779BE"/>
    <w:rsid w:val="0008075D"/>
    <w:rsid w:val="00097539"/>
    <w:rsid w:val="000B4725"/>
    <w:rsid w:val="000B6A62"/>
    <w:rsid w:val="000C79A2"/>
    <w:rsid w:val="000E7E0A"/>
    <w:rsid w:val="000F5BC5"/>
    <w:rsid w:val="0013218D"/>
    <w:rsid w:val="00142360"/>
    <w:rsid w:val="00151C9B"/>
    <w:rsid w:val="001521FD"/>
    <w:rsid w:val="00181363"/>
    <w:rsid w:val="001939E7"/>
    <w:rsid w:val="001A1AEA"/>
    <w:rsid w:val="001D7A61"/>
    <w:rsid w:val="001F234C"/>
    <w:rsid w:val="001F2496"/>
    <w:rsid w:val="001F342F"/>
    <w:rsid w:val="00206DB9"/>
    <w:rsid w:val="00221EDA"/>
    <w:rsid w:val="00235A8B"/>
    <w:rsid w:val="00261810"/>
    <w:rsid w:val="00267188"/>
    <w:rsid w:val="00281259"/>
    <w:rsid w:val="002A185C"/>
    <w:rsid w:val="002D118A"/>
    <w:rsid w:val="002E70E1"/>
    <w:rsid w:val="002F6304"/>
    <w:rsid w:val="00345723"/>
    <w:rsid w:val="00352A02"/>
    <w:rsid w:val="003A0EB7"/>
    <w:rsid w:val="003A409F"/>
    <w:rsid w:val="003B6B70"/>
    <w:rsid w:val="003D251B"/>
    <w:rsid w:val="003F3C9F"/>
    <w:rsid w:val="004225DB"/>
    <w:rsid w:val="00430682"/>
    <w:rsid w:val="004A4477"/>
    <w:rsid w:val="004C3B3F"/>
    <w:rsid w:val="004D65DD"/>
    <w:rsid w:val="004F0301"/>
    <w:rsid w:val="004F26EA"/>
    <w:rsid w:val="004F5E7A"/>
    <w:rsid w:val="005235E5"/>
    <w:rsid w:val="0053733E"/>
    <w:rsid w:val="005452F5"/>
    <w:rsid w:val="00556138"/>
    <w:rsid w:val="0056247D"/>
    <w:rsid w:val="005801C2"/>
    <w:rsid w:val="005B1A16"/>
    <w:rsid w:val="005B5753"/>
    <w:rsid w:val="005C5028"/>
    <w:rsid w:val="005C69E5"/>
    <w:rsid w:val="005E1C3C"/>
    <w:rsid w:val="00607B75"/>
    <w:rsid w:val="0062323C"/>
    <w:rsid w:val="006258B0"/>
    <w:rsid w:val="006367E5"/>
    <w:rsid w:val="00637E34"/>
    <w:rsid w:val="00643C2C"/>
    <w:rsid w:val="0067008C"/>
    <w:rsid w:val="006A6392"/>
    <w:rsid w:val="006C0578"/>
    <w:rsid w:val="006E65E3"/>
    <w:rsid w:val="006F0A69"/>
    <w:rsid w:val="006F618B"/>
    <w:rsid w:val="007065FA"/>
    <w:rsid w:val="007218F7"/>
    <w:rsid w:val="00746481"/>
    <w:rsid w:val="007920D1"/>
    <w:rsid w:val="00797BB3"/>
    <w:rsid w:val="007B401F"/>
    <w:rsid w:val="007B739E"/>
    <w:rsid w:val="007C039A"/>
    <w:rsid w:val="007D7789"/>
    <w:rsid w:val="008171EC"/>
    <w:rsid w:val="00820FCC"/>
    <w:rsid w:val="00821F1A"/>
    <w:rsid w:val="0083259A"/>
    <w:rsid w:val="00844440"/>
    <w:rsid w:val="0084550C"/>
    <w:rsid w:val="00847782"/>
    <w:rsid w:val="00851C28"/>
    <w:rsid w:val="008603D4"/>
    <w:rsid w:val="0086395F"/>
    <w:rsid w:val="0087345F"/>
    <w:rsid w:val="0089186F"/>
    <w:rsid w:val="008952C7"/>
    <w:rsid w:val="008B55A3"/>
    <w:rsid w:val="008C0AB4"/>
    <w:rsid w:val="00904EBE"/>
    <w:rsid w:val="00914ADA"/>
    <w:rsid w:val="00914E33"/>
    <w:rsid w:val="00917323"/>
    <w:rsid w:val="00922517"/>
    <w:rsid w:val="00932F5D"/>
    <w:rsid w:val="00942A17"/>
    <w:rsid w:val="009527CD"/>
    <w:rsid w:val="00954D21"/>
    <w:rsid w:val="00972B9F"/>
    <w:rsid w:val="00974039"/>
    <w:rsid w:val="0098417E"/>
    <w:rsid w:val="0098577D"/>
    <w:rsid w:val="0099537F"/>
    <w:rsid w:val="009967A9"/>
    <w:rsid w:val="009A5FC9"/>
    <w:rsid w:val="009C55DB"/>
    <w:rsid w:val="009F110E"/>
    <w:rsid w:val="009F5BFF"/>
    <w:rsid w:val="00A001B6"/>
    <w:rsid w:val="00A46253"/>
    <w:rsid w:val="00A538E4"/>
    <w:rsid w:val="00A60852"/>
    <w:rsid w:val="00A702D5"/>
    <w:rsid w:val="00A71250"/>
    <w:rsid w:val="00AA06E5"/>
    <w:rsid w:val="00AB1457"/>
    <w:rsid w:val="00AB28D2"/>
    <w:rsid w:val="00AB6AB9"/>
    <w:rsid w:val="00AE668E"/>
    <w:rsid w:val="00B01C59"/>
    <w:rsid w:val="00B141CC"/>
    <w:rsid w:val="00B2156E"/>
    <w:rsid w:val="00B252E8"/>
    <w:rsid w:val="00B32A4F"/>
    <w:rsid w:val="00B443DC"/>
    <w:rsid w:val="00B52502"/>
    <w:rsid w:val="00B549C6"/>
    <w:rsid w:val="00B568EC"/>
    <w:rsid w:val="00B81CDF"/>
    <w:rsid w:val="00B93F40"/>
    <w:rsid w:val="00BD5240"/>
    <w:rsid w:val="00BF01CF"/>
    <w:rsid w:val="00C06465"/>
    <w:rsid w:val="00C40ECD"/>
    <w:rsid w:val="00C6496F"/>
    <w:rsid w:val="00CB3B5A"/>
    <w:rsid w:val="00CB76E4"/>
    <w:rsid w:val="00CE4C24"/>
    <w:rsid w:val="00CF3D16"/>
    <w:rsid w:val="00CF4044"/>
    <w:rsid w:val="00D02DD4"/>
    <w:rsid w:val="00D15197"/>
    <w:rsid w:val="00D325B4"/>
    <w:rsid w:val="00D412DF"/>
    <w:rsid w:val="00D44C6E"/>
    <w:rsid w:val="00D5138A"/>
    <w:rsid w:val="00D65B72"/>
    <w:rsid w:val="00DA28DB"/>
    <w:rsid w:val="00DC3C72"/>
    <w:rsid w:val="00DC767C"/>
    <w:rsid w:val="00DD7976"/>
    <w:rsid w:val="00DF5368"/>
    <w:rsid w:val="00E13489"/>
    <w:rsid w:val="00E173F8"/>
    <w:rsid w:val="00E45F9B"/>
    <w:rsid w:val="00E63A78"/>
    <w:rsid w:val="00E855DB"/>
    <w:rsid w:val="00EB5A39"/>
    <w:rsid w:val="00EB64D7"/>
    <w:rsid w:val="00EF0A2C"/>
    <w:rsid w:val="00F24399"/>
    <w:rsid w:val="00F27669"/>
    <w:rsid w:val="00F45F27"/>
    <w:rsid w:val="00F54964"/>
    <w:rsid w:val="00F63F46"/>
    <w:rsid w:val="00F6566F"/>
    <w:rsid w:val="00F66048"/>
    <w:rsid w:val="00F7156B"/>
    <w:rsid w:val="00F81161"/>
    <w:rsid w:val="00F83B23"/>
    <w:rsid w:val="00F9746E"/>
    <w:rsid w:val="00FA0A7D"/>
    <w:rsid w:val="00FB22C9"/>
    <w:rsid w:val="00FC0A31"/>
    <w:rsid w:val="00FD0A3C"/>
    <w:rsid w:val="00FE69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E05F1"/>
  <w15:chartTrackingRefBased/>
  <w15:docId w15:val="{1234FD89-991A-480A-A39B-110D10C0E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68E"/>
  </w:style>
  <w:style w:type="paragraph" w:styleId="Ttulo1">
    <w:name w:val="heading 1"/>
    <w:basedOn w:val="Normal"/>
    <w:next w:val="Normal"/>
    <w:link w:val="Ttulo1Car"/>
    <w:uiPriority w:val="9"/>
    <w:qFormat/>
    <w:rsid w:val="00B215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215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2156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2156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2156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215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15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15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15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156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2156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2156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2156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2156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215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15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15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156E"/>
    <w:rPr>
      <w:rFonts w:eastAsiaTheme="majorEastAsia" w:cstheme="majorBidi"/>
      <w:color w:val="272727" w:themeColor="text1" w:themeTint="D8"/>
    </w:rPr>
  </w:style>
  <w:style w:type="paragraph" w:styleId="Ttulo">
    <w:name w:val="Title"/>
    <w:basedOn w:val="Normal"/>
    <w:next w:val="Normal"/>
    <w:link w:val="TtuloCar"/>
    <w:uiPriority w:val="10"/>
    <w:qFormat/>
    <w:rsid w:val="00B21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15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15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15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156E"/>
    <w:pPr>
      <w:spacing w:before="160"/>
      <w:jc w:val="center"/>
    </w:pPr>
    <w:rPr>
      <w:i/>
      <w:iCs/>
      <w:color w:val="404040" w:themeColor="text1" w:themeTint="BF"/>
    </w:rPr>
  </w:style>
  <w:style w:type="character" w:customStyle="1" w:styleId="CitaCar">
    <w:name w:val="Cita Car"/>
    <w:basedOn w:val="Fuentedeprrafopredeter"/>
    <w:link w:val="Cita"/>
    <w:uiPriority w:val="29"/>
    <w:rsid w:val="00B2156E"/>
    <w:rPr>
      <w:i/>
      <w:iCs/>
      <w:color w:val="404040" w:themeColor="text1" w:themeTint="BF"/>
    </w:rPr>
  </w:style>
  <w:style w:type="paragraph" w:styleId="Prrafodelista">
    <w:name w:val="List Paragraph"/>
    <w:basedOn w:val="Normal"/>
    <w:uiPriority w:val="34"/>
    <w:qFormat/>
    <w:rsid w:val="00B2156E"/>
    <w:pPr>
      <w:ind w:left="720"/>
      <w:contextualSpacing/>
    </w:pPr>
  </w:style>
  <w:style w:type="character" w:styleId="nfasisintenso">
    <w:name w:val="Intense Emphasis"/>
    <w:basedOn w:val="Fuentedeprrafopredeter"/>
    <w:uiPriority w:val="21"/>
    <w:qFormat/>
    <w:rsid w:val="00B2156E"/>
    <w:rPr>
      <w:i/>
      <w:iCs/>
      <w:color w:val="2F5496" w:themeColor="accent1" w:themeShade="BF"/>
    </w:rPr>
  </w:style>
  <w:style w:type="paragraph" w:styleId="Citadestacada">
    <w:name w:val="Intense Quote"/>
    <w:basedOn w:val="Normal"/>
    <w:next w:val="Normal"/>
    <w:link w:val="CitadestacadaCar"/>
    <w:uiPriority w:val="30"/>
    <w:qFormat/>
    <w:rsid w:val="00B215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2156E"/>
    <w:rPr>
      <w:i/>
      <w:iCs/>
      <w:color w:val="2F5496" w:themeColor="accent1" w:themeShade="BF"/>
    </w:rPr>
  </w:style>
  <w:style w:type="character" w:styleId="Referenciaintensa">
    <w:name w:val="Intense Reference"/>
    <w:basedOn w:val="Fuentedeprrafopredeter"/>
    <w:uiPriority w:val="32"/>
    <w:qFormat/>
    <w:rsid w:val="00B2156E"/>
    <w:rPr>
      <w:b/>
      <w:bCs/>
      <w:smallCaps/>
      <w:color w:val="2F5496" w:themeColor="accent1" w:themeShade="BF"/>
      <w:spacing w:val="5"/>
    </w:rPr>
  </w:style>
  <w:style w:type="paragraph" w:styleId="Encabezado">
    <w:name w:val="header"/>
    <w:basedOn w:val="Normal"/>
    <w:link w:val="EncabezadoCar"/>
    <w:uiPriority w:val="99"/>
    <w:unhideWhenUsed/>
    <w:rsid w:val="00BD524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D5240"/>
  </w:style>
  <w:style w:type="paragraph" w:styleId="Piedepgina">
    <w:name w:val="footer"/>
    <w:basedOn w:val="Normal"/>
    <w:link w:val="PiedepginaCar"/>
    <w:uiPriority w:val="99"/>
    <w:unhideWhenUsed/>
    <w:rsid w:val="00BD524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D5240"/>
  </w:style>
  <w:style w:type="table" w:styleId="Tablaconcuadrcula">
    <w:name w:val="Table Grid"/>
    <w:basedOn w:val="Tablanormal"/>
    <w:uiPriority w:val="39"/>
    <w:rsid w:val="00221E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801C2"/>
    <w:rPr>
      <w:sz w:val="16"/>
      <w:szCs w:val="16"/>
    </w:rPr>
  </w:style>
  <w:style w:type="paragraph" w:styleId="Textocomentario">
    <w:name w:val="annotation text"/>
    <w:basedOn w:val="Normal"/>
    <w:link w:val="TextocomentarioCar"/>
    <w:uiPriority w:val="99"/>
    <w:semiHidden/>
    <w:unhideWhenUsed/>
    <w:rsid w:val="005801C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801C2"/>
    <w:rPr>
      <w:sz w:val="20"/>
      <w:szCs w:val="20"/>
    </w:rPr>
  </w:style>
  <w:style w:type="paragraph" w:styleId="Asuntodelcomentario">
    <w:name w:val="annotation subject"/>
    <w:basedOn w:val="Textocomentario"/>
    <w:next w:val="Textocomentario"/>
    <w:link w:val="AsuntodelcomentarioCar"/>
    <w:uiPriority w:val="99"/>
    <w:semiHidden/>
    <w:unhideWhenUsed/>
    <w:rsid w:val="005801C2"/>
    <w:rPr>
      <w:b/>
      <w:bCs/>
    </w:rPr>
  </w:style>
  <w:style w:type="character" w:customStyle="1" w:styleId="AsuntodelcomentarioCar">
    <w:name w:val="Asunto del comentario Car"/>
    <w:basedOn w:val="TextocomentarioCar"/>
    <w:link w:val="Asuntodelcomentario"/>
    <w:uiPriority w:val="99"/>
    <w:semiHidden/>
    <w:rsid w:val="005801C2"/>
    <w:rPr>
      <w:b/>
      <w:bCs/>
      <w:sz w:val="20"/>
      <w:szCs w:val="20"/>
    </w:rPr>
  </w:style>
  <w:style w:type="paragraph" w:styleId="Descripcin">
    <w:name w:val="caption"/>
    <w:basedOn w:val="Normal"/>
    <w:next w:val="Normal"/>
    <w:uiPriority w:val="35"/>
    <w:unhideWhenUsed/>
    <w:qFormat/>
    <w:rsid w:val="005801C2"/>
    <w:pPr>
      <w:spacing w:after="200" w:line="240" w:lineRule="auto"/>
    </w:pPr>
    <w:rPr>
      <w:i/>
      <w:iCs/>
      <w:color w:val="44546A" w:themeColor="text2"/>
      <w:sz w:val="18"/>
      <w:szCs w:val="18"/>
    </w:rPr>
  </w:style>
  <w:style w:type="paragraph" w:styleId="Sinespaciado">
    <w:name w:val="No Spacing"/>
    <w:uiPriority w:val="1"/>
    <w:qFormat/>
    <w:rsid w:val="005B1A16"/>
    <w:pPr>
      <w:spacing w:after="0" w:line="240" w:lineRule="auto"/>
    </w:pPr>
  </w:style>
  <w:style w:type="paragraph" w:styleId="Listaconvietas">
    <w:name w:val="List Bullet"/>
    <w:basedOn w:val="Normal"/>
    <w:uiPriority w:val="99"/>
    <w:semiHidden/>
    <w:unhideWhenUsed/>
    <w:rsid w:val="0083259A"/>
    <w:pPr>
      <w:numPr>
        <w:numId w:val="24"/>
      </w:numPr>
      <w:tabs>
        <w:tab w:val="clear" w:pos="360"/>
      </w:tabs>
      <w:spacing w:after="200" w:line="276" w:lineRule="auto"/>
      <w:ind w:left="0" w:firstLine="0"/>
      <w:contextualSpacing/>
    </w:pPr>
    <w:rPr>
      <w:rFonts w:ascii="Calibri" w:eastAsiaTheme="minorEastAsia" w:hAnsi="Calibri"/>
      <w:kern w:val="0"/>
      <w:sz w:val="21"/>
      <w:lang w:val="en-US"/>
      <w14:ligatures w14:val="none"/>
    </w:rPr>
  </w:style>
  <w:style w:type="character" w:styleId="Hipervnculo">
    <w:name w:val="Hyperlink"/>
    <w:basedOn w:val="Fuentedeprrafopredeter"/>
    <w:uiPriority w:val="99"/>
    <w:unhideWhenUsed/>
    <w:rsid w:val="00F63F46"/>
    <w:rPr>
      <w:color w:val="0563C1" w:themeColor="hyperlink"/>
      <w:u w:val="single"/>
    </w:rPr>
  </w:style>
  <w:style w:type="character" w:styleId="Mencinsinresolver">
    <w:name w:val="Unresolved Mention"/>
    <w:basedOn w:val="Fuentedeprrafopredeter"/>
    <w:uiPriority w:val="99"/>
    <w:semiHidden/>
    <w:unhideWhenUsed/>
    <w:rsid w:val="00F63F46"/>
    <w:rPr>
      <w:color w:val="605E5C"/>
      <w:shd w:val="clear" w:color="auto" w:fill="E1DFDD"/>
    </w:rPr>
  </w:style>
  <w:style w:type="paragraph" w:styleId="Textonotapie">
    <w:name w:val="footnote text"/>
    <w:basedOn w:val="Normal"/>
    <w:link w:val="TextonotapieCar"/>
    <w:uiPriority w:val="99"/>
    <w:semiHidden/>
    <w:unhideWhenUsed/>
    <w:rsid w:val="005452F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452F5"/>
    <w:rPr>
      <w:sz w:val="20"/>
      <w:szCs w:val="20"/>
    </w:rPr>
  </w:style>
  <w:style w:type="character" w:styleId="Refdenotaalpie">
    <w:name w:val="footnote reference"/>
    <w:basedOn w:val="Fuentedeprrafopredeter"/>
    <w:uiPriority w:val="99"/>
    <w:semiHidden/>
    <w:unhideWhenUsed/>
    <w:rsid w:val="005452F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info16040326" TargetMode="External"/><Relationship Id="rId13" Type="http://schemas.openxmlformats.org/officeDocument/2006/relationships/hyperlink" Target="https://doi.org/10.3390/computation1308019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encyclopedia4040108"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bjet.13388" TargetMode="External"/><Relationship Id="rId5" Type="http://schemas.openxmlformats.org/officeDocument/2006/relationships/webSettings" Target="webSettings.xml"/><Relationship Id="rId15" Type="http://schemas.openxmlformats.org/officeDocument/2006/relationships/hyperlink" Target="https://doi.org/10.7326/M18-1376" TargetMode="External"/><Relationship Id="rId10" Type="http://schemas.openxmlformats.org/officeDocument/2006/relationships/hyperlink" Target="https://doi.org/10.1016/j.eswa.2023.120933" TargetMode="External"/><Relationship Id="rId4" Type="http://schemas.openxmlformats.org/officeDocument/2006/relationships/settings" Target="settings.xml"/><Relationship Id="rId9" Type="http://schemas.openxmlformats.org/officeDocument/2006/relationships/hyperlink" Target="https://doi.org/10.3390/bdcc5040064" TargetMode="External"/><Relationship Id="rId14" Type="http://schemas.openxmlformats.org/officeDocument/2006/relationships/hyperlink" Target="https://doi.org/10.1016/j.techsoc.2024.10247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32EE0F4-360B-43A1-9B81-931F6AA81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1358</TotalTime>
  <Pages>15</Pages>
  <Words>6747</Words>
  <Characters>37110</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IA, visión por computador, DL e IPO</dc:title>
  <dc:subject/>
  <dc:creator>Ariel Llumiquinga</dc:creator>
  <cp:keywords/>
  <dc:description/>
  <cp:lastModifiedBy/>
  <cp:revision>116</cp:revision>
  <dcterms:created xsi:type="dcterms:W3CDTF">2026-01-20T16:10:00Z</dcterms:created>
  <dcterms:modified xsi:type="dcterms:W3CDTF">2026-08-31T15:58:00Z</dcterms:modified>
</cp:coreProperties>
</file>