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rPr/>
        <w:t xml:space="preserve">Prácticas preprofesionales – Departamento de Ciencias de la Computación</w:t>
      </w:r>
    </w:p>
    <w:p>
      <w:pPr>
        <w:spacing w:after="0"/>
        <w:ind w:left="360" w:hanging="360"/>
      </w:pPr>
      <w:r>
        <w:rPr/>
        <w:t xml:space="preserve">Universidad de las Fuerzas Armadas ESPE</w:t>
      </w:r>
    </w:p>
    <w:p>
      <w:pPr>
        <w:spacing w:after="0"/>
        <w:ind w:left="360" w:hanging="360"/>
      </w:pPr>
      <w:r>
        <w:rPr>
          <w:b/>
          <w:bCs/>
        </w:rPr>
        <w:t xml:space="preserve">Autor/a: Ariel Llumiquinga</w:t>
      </w:r>
    </w:p>
    <w:p>
      <w:pPr>
        <w:spacing w:after="0"/>
        <w:ind w:left="360" w:hanging="360"/>
      </w:pPr>
      <w:r>
        <w:rPr>
          <w:b/>
          <w:bCs/>
        </w:rPr>
        <w:t xml:space="preserve">Tutora: Ing. Doris Chicaiza</w:t>
      </w:r>
    </w:p>
    <w:p>
      <w:pPr>
        <w:spacing w:after="0"/>
        <w:ind w:left="360" w:hanging="360"/>
      </w:pPr>
      <w:r>
        <w:rPr>
          <w:b/>
          <w:bCs/>
        </w:rPr>
        <w:t xml:space="preserve">Proyecto: Smart Agriculture</w:t>
      </w:r>
    </w:p>
    <w:p>
      <w:pPr>
        <w:spacing w:after="0"/>
        <w:ind w:left="360" w:hanging="360"/>
      </w:pPr>
      <w:r>
        <w:rPr>
          <w:b/>
          <w:bCs/>
        </w:rPr>
        <w:t xml:space="preserve">Actividad del itinerario: 2. Desarrollo del estado del arte (tareas T03–T06)</w:t>
      </w:r>
    </w:p>
    <w:p>
      <w:pPr>
        <w:spacing w:after="0"/>
        <w:ind w:left="360" w:hanging="360"/>
      </w:pPr>
      <w:r>
        <w:rPr>
          <w:b/>
          <w:bCs/>
        </w:rPr>
        <w:t xml:space="preserve">Versión: 2</w:t>
      </w:r>
    </w:p>
    <w:p>
      <w:pPr>
        <w:spacing w:after="0"/>
        <w:ind w:left="360" w:hanging="360"/>
      </w:pPr>
      <w:r>
        <w:rPr>
          <w:b/>
          <w:bCs/>
        </w:rPr>
        <w:t xml:space="preserve">Fecha: 1 de octubre de 2026.</w:t>
      </w:r>
    </w:p>
    <w:p>
      <w:pPr>
        <w:spacing w:after="0"/>
        <w:ind w:left="360" w:hanging="360"/>
      </w:pPr>
      <w:r>
        <w:rPr>
          <w:b/>
          <w:bCs/>
        </w:rPr>
        <w:t xml:space="preserve">Estado: Borrador para revisión de la tutora.</w:t>
      </w:r>
    </w:p>
    <w:p>
      <w:pPr>
        <w:pStyle w:val="Sinespaciado"/>
      </w:pPr>
    </w:p>
    <w:p>
      <w:pPr>
        <w:spacing w:before="120" w:after="200"/>
        <w:jc w:val="center"/>
      </w:pPr>
      <w:r>
        <w:rPr>
          <w:b/>
          <w:bCs/>
          <w:sz w:val="28"/>
          <w:szCs w:val="28"/>
        </w:rPr>
        <w:t xml:space="preserve">Estado del arte: inteligencia artificial, interacción persona-ordenador y enfermedades del tallo del aguacate (</w:t>
      </w:r>
      <w:r>
        <w:rPr>
          <w:b/>
          <w:bCs/>
          <w:i/>
          <w:iCs/>
          <w:sz w:val="28"/>
          <w:szCs w:val="28"/>
        </w:rPr>
        <w:t xml:space="preserve">Persea americana</w:t>
      </w:r>
      <w:r>
        <w:rPr>
          <w:b/>
          <w:bCs/>
          <w:sz w:val="28"/>
          <w:szCs w:val="28"/>
        </w:rPr>
        <w:t xml:space="preserve">) como base para una aplicación móvil de diagnóstico</w:t>
      </w:r>
    </w:p>
    <w:p>
      <w:pPr>
        <w:spacing w:before="40" w:after="200"/>
        <w:jc w:val="both"/>
      </w:pPr>
      <w:r>
        <w:rPr>
          <w:i/>
          <w:iCs/>
          <w:sz w:val="18"/>
          <w:szCs w:val="18"/>
        </w:rPr>
        <w:t xml:space="preserve">Nota.</w:t>
      </w:r>
      <w:r>
        <w:rPr>
          <w:sz w:val="18"/>
          <w:szCs w:val="18"/>
        </w:rPr>
        <w:t xml:space="preserve"> Este documento utiliza exclusivamente fuentes recopiladas por el autor en la carpeta Grupos v2 (revisiones y estudios primarios de Scopus, ScienceDirect y Springer Link). Los estudios primarios citados aquí se evaluarán formalmente en las Actividades 3 a 6 de la revisión sistemática; en este documento se usan solo para describir el estado del conocimiento. La correspondencia entre cada referencia y su identificador en la matriz se presenta en el Anexo A.</w:t>
      </w:r>
    </w:p>
    <w:p>
      <w:pPr>
        <w:pStyle w:val="Prrafodelista"/>
        <w:keepNext/>
        <w:numPr>
          <w:ilvl w:val="0"/>
          <w:numId w:val="21"/>
        </w:numPr>
        <w:spacing w:before="240" w:after="120"/>
        <w:ind w:left="357" w:hanging="357"/>
        <w:contextualSpacing w:val="0"/>
        <w:rPr>
          <w:b/>
          <w:bCs/>
          <w:sz w:val="24"/>
          <w:szCs w:val="24"/>
        </w:rPr>
      </w:pPr>
      <w:r>
        <w:rPr>
          <w:b/>
          <w:bCs/>
          <w:sz w:val="24"/>
          <w:szCs w:val="24"/>
        </w:rPr>
        <w:t xml:space="preserve">Introducción</w:t>
      </w:r>
    </w:p>
    <w:p>
      <w:pPr>
        <w:jc w:val="both"/>
      </w:pPr>
      <w:r>
        <w:rPr/>
        <w:t xml:space="preserve">Las plagas y enfermedades causan, en conjunto, cerca del 30 % de las pérdidas mundiales de cultivos, y su identificación tradicional depende de la experiencia humana, lo que la vuelve lenta, costosa y a menudo imprecisa (Majdalawieh et al., 2025). En la práctica, los agricultores vigilan las plantas enfermas de forma manual y a simple vista (Sajitha et al., 2024), y la inspección visual de hojas, tallos y frutos depende de la pericia de cada persona, por lo que está expuesta a errores y juicios subjetivos (Odounfa et al., 2024). La agricultura de precisión y la inteligencia artificial (IA) ofrecen una alternativa: la visión por computador y el aprendizaje profundo permiten reconocer síntomas en imágenes, y los teléfonos inteligentes acercan ese diagnóstico al lugar donde se cultiva (Saini et al., 2026).</w:t>
      </w:r>
    </w:p>
    <w:p>
      <w:pPr>
        <w:ind w:firstLine="720"/>
        <w:jc w:val="both"/>
      </w:pPr>
      <w:r>
        <w:rPr/>
        <w:t xml:space="preserve">El aguacate es un cultivo de gran importancia económica; México, Colombia, Perú y la República Dominicana reunieron cerca del 58 % de la producción mundial en la temporada 2022 (Möller et al., 2025). Las mismas condiciones cálidas que favorecen al cultivo favorecen también a los hongos patógenos, en especial a los de la familia Botryosphaeriaceae, que causan cancros en ramas, muerte descendente y pudriciones del fruto (Möller et al., 2025). El diagnóstico de estas enfermedades se basa tradicionalmente en los síntomas observados en campo (Silva et al., 2025) y su confirmación requiere aislamiento en laboratorio e identificación molecular, un proceso que puede tardar semanas (Möller et al., 2025).</w:t>
      </w:r>
    </w:p>
    <w:p>
      <w:pPr>
        <w:ind w:firstLine="720"/>
        <w:jc w:val="both"/>
      </w:pPr>
      <w:r>
        <w:rPr/>
        <w:t xml:space="preserve">El proyecto Smart Agriculture busca desarrollar una aplicación móvil con IA para diagnosticar enfermedades y alteraciones visibles en el </w:t>
      </w:r>
      <w:r>
        <w:rPr>
          <w:b/>
          <w:bCs/>
        </w:rPr>
        <w:t xml:space="preserve">tallo</w:t>
      </w:r>
      <w:r>
        <w:rPr/>
        <w:t xml:space="preserve"> del aguacate; el fruto y las hojas corresponden a proyectos de otros grupos. Este documento desarrolla la Actividad 2 del itinerario (tareas T03 a T06) y organiza el estado del arte en ocho apartados: la IA en aplicaciones móviles (2.1), la interacción persona-ordenador (IPO) (2.2), su integración (2.3), las aplicaciones inteligentes en agricultura (2.4), la IA para identificar enfermedades vegetales (2.5), las enfermedades del aguacate con énfasis en el tallo (2.6), las revisiones previas (2.7) y una síntesis de brechas (2.8) vinculada con las preguntas de investigación (RQ1–RQ5) del protocolo v3.</w:t>
      </w:r>
    </w:p>
    <w:p>
      <w:pPr>
        <w:ind w:firstLine="720"/>
        <w:jc w:val="both"/>
      </w:pPr>
      <w:r>
        <w:rPr/>
        <w:t xml:space="preserve">Las fuentes provienen de la carpeta Grupos v2: ocho revisiones (seis de las recuperadas con las cadenas complementarias de ScienceDirect C16 a C18 el 01/10/2026, más las de Munjal et al., 2023, y Möller et al., 2025) y los estudios primarios fitopatológicos y tecnológicos recopilados para la revisión sistemática. Las tablas son de elaboración propia y comparan las fuentes entre sí; cada una indica su origen en una nota.</w:t>
      </w:r>
    </w:p>
    <w:p>
      <w:pPr>
        <w:pStyle w:val="Prrafodelista"/>
        <w:keepNext/>
        <w:numPr>
          <w:ilvl w:val="0"/>
          <w:numId w:val="21"/>
        </w:numPr>
        <w:spacing w:before="240" w:after="120"/>
        <w:ind w:left="357" w:hanging="357"/>
        <w:contextualSpacing w:val="0"/>
        <w:rPr>
          <w:b/>
          <w:bCs/>
          <w:sz w:val="24"/>
          <w:szCs w:val="24"/>
        </w:rPr>
      </w:pPr>
      <w:r>
        <w:rPr>
          <w:b/>
          <w:bCs/>
          <w:sz w:val="24"/>
          <w:szCs w:val="24"/>
        </w:rPr>
        <w:t xml:space="preserve">Estado del arte / Trabajos relacionados</w:t>
      </w:r>
    </w:p>
    <w:p>
      <w:pPr>
        <w:jc w:val="both"/>
      </w:pPr>
      <w:r>
        <w:rPr/>
        <w:t xml:space="preserve">Este apartado avanza de lo general a lo específico: primero describe cómo se llevan los modelos de IA al teléfono y cómo se diseñan pensando en sus usuarios; luego, qué se ha logrado en la agricultura y en el diagnóstico de enfermedades vegetales; y finalmente, qué se sabe de las enfermedades del tallo del aguacate y qué implica esto para un diagnóstico basado en fotografías.</w:t>
      </w:r>
    </w:p>
    <w:p>
      <w:pPr>
        <w:keepNext/>
        <w:spacing w:before="200" w:after="100"/>
        <w:jc w:val="both"/>
      </w:pPr>
      <w:r>
        <w:rPr>
          <w:b/>
          <w:bCs/>
        </w:rPr>
        <w:t xml:space="preserve">2.1 Inteligencia artificial en aplicaciones móviles inteligentes</w:t>
      </w:r>
    </w:p>
    <w:p>
      <w:pPr>
        <w:jc w:val="both"/>
      </w:pPr>
      <w:r>
        <w:rPr/>
        <w:t xml:space="preserve">Una aplicación móvil inteligente ejecuta, o consulta, un modelo de IA para interpretar los datos que captura el teléfono; en el diagnóstico de enfermedades, ese dato es una fotografía. El obstáculo principal es que los modelos de aprendizaje profundo son pesados, mientras que los dispositivos usados en el campo —teléfonos, drones o sistemas embebidos— tienen recursos de cómputo limitados (Lin et al., 2026). Para reducir el tamaño de los modelos se emplean la poda, la cuantización, la factorización de bajo rango, el uso compartido de pesos, las arquitecturas compactas, la búsqueda de arquitecturas neuronales y la destilación de conocimiento (Lin et al., 2026). Entre las arquitecturas compactas destaca MobileNet, diseñada para dispositivos móviles mediante convoluciones separables en profundidad (Saini et al., 2026).</w:t>
      </w:r>
    </w:p>
    <w:p>
      <w:pPr>
        <w:ind w:firstLine="720"/>
        <w:jc w:val="both"/>
      </w:pPr>
      <w:r>
        <w:rPr/>
        <w:t xml:space="preserve">El modelo puede ejecutarse en el propio teléfono (en el borde), en la nube o de forma híbrida. Según Saini et al. (2026), la ejecución en el borde evita depender de Internet y permite la inferencia en tiempo real: variantes de MobileNet-V3 y EfficientNet-Lite mantienen tiempos de 90 a 150 ms por imagen en procesadores móviles de gama media, con 88–93 % de exactitud en las clases de enfermedad más frecuentes. El esquema híbrido reduce el uso de ancho de banda en cerca de un 70 % y suele apoyarse en TensorFlow Lite y ONNX Runtime (Saini et al., 2026). Estas configuraciones se describieron en el documento de Fundamentos de la Actividad 1; aquí interesa su relación con las condiciones reales de uso, que se comparan en la Tabla 1.</w:t>
      </w:r>
    </w:p>
    <w:p>
      <w:pPr>
        <w:keepNext/>
        <w:spacing w:before="160" w:after="80"/>
      </w:pPr>
      <w:r>
        <w:rPr>
          <w:b/>
          <w:bCs/>
          <w:sz w:val="20"/>
          <w:szCs w:val="20"/>
        </w:rPr>
        <w:t xml:space="preserve">Tabla 1.</w:t>
      </w:r>
      <w:r>
        <w:rPr>
          <w:sz w:val="20"/>
          <w:szCs w:val="20"/>
        </w:rPr>
        <w:t xml:space="preserve"> </w:t>
      </w:r>
      <w:r>
        <w:rPr>
          <w:i/>
          <w:iCs/>
          <w:sz w:val="20"/>
          <w:szCs w:val="20"/>
        </w:rPr>
        <w:t xml:space="preserve">Barreras para usar modelos de IA en el teléfono en condiciones de campo y estrategias reportadas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900"/>
        <w:gridCol w:w="2500"/>
        <w:gridCol w:w="2638"/>
        <w:gridCol w:w="1800"/>
      </w:tblGrid>
      <w:tr>
        <w:trPr>
          <w:tblHeader/>
          <w:cantSplit/>
        </w:trPr>
        <w:tc>
          <w:tcPr>
            <w:tcW w:w="1900" w:type="dxa"/>
            <w:shd w:val="clear" w:color="auto" w:fill="D9E2F3"/>
            <w:vAlign w:val="center"/>
          </w:tcPr>
          <w:p>
            <w:pPr>
              <w:keepNext/>
              <w:spacing w:before="20" w:after="20" w:line="240" w:lineRule="auto"/>
              <w:jc w:val="center"/>
            </w:pPr>
            <w:r>
              <w:rPr>
                <w:b/>
                <w:bCs/>
                <w:sz w:val="18"/>
                <w:szCs w:val="18"/>
              </w:rPr>
              <w:t xml:space="preserve">Barrera</w:t>
            </w:r>
          </w:p>
        </w:tc>
        <w:tc>
          <w:tcPr>
            <w:tcW w:w="2500" w:type="dxa"/>
            <w:shd w:val="clear" w:color="auto" w:fill="D9E2F3"/>
            <w:vAlign w:val="center"/>
          </w:tcPr>
          <w:p>
            <w:pPr>
              <w:keepNext/>
              <w:spacing w:before="20" w:after="20" w:line="240" w:lineRule="auto"/>
              <w:jc w:val="center"/>
            </w:pPr>
            <w:r>
              <w:rPr>
                <w:b/>
                <w:bCs/>
                <w:sz w:val="18"/>
                <w:szCs w:val="18"/>
              </w:rPr>
              <w:t xml:space="preserve">Efecto reportado</w:t>
            </w:r>
          </w:p>
        </w:tc>
        <w:tc>
          <w:tcPr>
            <w:tcW w:w="2638" w:type="dxa"/>
            <w:shd w:val="clear" w:color="auto" w:fill="D9E2F3"/>
            <w:vAlign w:val="center"/>
          </w:tcPr>
          <w:p>
            <w:pPr>
              <w:keepNext/>
              <w:spacing w:before="20" w:after="20" w:line="240" w:lineRule="auto"/>
              <w:jc w:val="center"/>
            </w:pPr>
            <w:r>
              <w:rPr>
                <w:b/>
                <w:bCs/>
                <w:sz w:val="18"/>
                <w:szCs w:val="18"/>
              </w:rPr>
              <w:t xml:space="preserve">Estrategia reportada</w:t>
            </w:r>
          </w:p>
        </w:tc>
        <w:tc>
          <w:tcPr>
            <w:tcW w:w="1800" w:type="dxa"/>
            <w:shd w:val="clear" w:color="auto" w:fill="D9E2F3"/>
            <w:vAlign w:val="center"/>
          </w:tcPr>
          <w:p>
            <w:pPr>
              <w:keepNext/>
              <w:spacing w:before="20" w:after="20" w:line="240" w:lineRule="auto"/>
              <w:jc w:val="center"/>
            </w:pPr>
            <w:r>
              <w:rPr>
                <w:b/>
                <w:bCs/>
                <w:sz w:val="18"/>
                <w:szCs w:val="18"/>
              </w:rPr>
              <w:t xml:space="preserve">Fuentes</w:t>
            </w:r>
          </w:p>
        </w:tc>
      </w:tr>
      <w:tr>
        <w:trPr>
          <w:cantSplit/>
        </w:trPr>
        <w:tc>
          <w:tcPr>
            <w:tcW w:w="1900" w:type="dxa"/>
            <w:vAlign w:val="top"/>
          </w:tcPr>
          <w:p>
            <w:pPr>
              <w:spacing w:before="20" w:after="20" w:line="240" w:lineRule="auto"/>
            </w:pPr>
            <w:r>
              <w:rPr>
                <w:b/>
                <w:bCs/>
                <w:sz w:val="18"/>
                <w:szCs w:val="18"/>
              </w:rPr>
              <w:t xml:space="preserve">Conectividad a Internet inestable</w:t>
            </w:r>
          </w:p>
        </w:tc>
        <w:tc>
          <w:tcPr>
            <w:tcW w:w="2500" w:type="dxa"/>
            <w:vAlign w:val="top"/>
          </w:tcPr>
          <w:p>
            <w:pPr>
              <w:spacing w:before="20" w:after="20" w:line="240" w:lineRule="auto"/>
            </w:pPr>
            <w:r>
              <w:rPr>
                <w:sz w:val="18"/>
                <w:szCs w:val="18"/>
              </w:rPr>
              <w:t xml:space="preserve">Interrumpe el monitoreo; las apps que dependen del servidor no funcionan en zonas sin cobertura.</w:t>
            </w:r>
          </w:p>
        </w:tc>
        <w:tc>
          <w:tcPr>
            <w:tcW w:w="2638" w:type="dxa"/>
            <w:vAlign w:val="top"/>
          </w:tcPr>
          <w:p>
            <w:pPr>
              <w:spacing w:before="20" w:after="20" w:line="240" w:lineRule="auto"/>
            </w:pPr>
            <w:r>
              <w:rPr>
                <w:sz w:val="18"/>
                <w:szCs w:val="18"/>
              </w:rPr>
              <w:t xml:space="preserve">Inferencia en el borde, capaz de operar sin conexión.</w:t>
            </w:r>
          </w:p>
        </w:tc>
        <w:tc>
          <w:tcPr>
            <w:tcW w:w="1800" w:type="dxa"/>
            <w:vAlign w:val="top"/>
          </w:tcPr>
          <w:p>
            <w:pPr>
              <w:spacing w:before="20" w:after="20" w:line="240" w:lineRule="auto"/>
            </w:pPr>
            <w:r>
              <w:rPr>
                <w:sz w:val="18"/>
                <w:szCs w:val="18"/>
              </w:rPr>
              <w:t xml:space="preserve">Kochhar et al. (2026); Saini et al. (2026)</w:t>
            </w:r>
          </w:p>
        </w:tc>
      </w:tr>
      <w:tr>
        <w:trPr>
          <w:cantSplit/>
        </w:trPr>
        <w:tc>
          <w:tcPr>
            <w:tcW w:w="1900" w:type="dxa"/>
            <w:vAlign w:val="top"/>
          </w:tcPr>
          <w:p>
            <w:pPr>
              <w:spacing w:before="20" w:after="20" w:line="240" w:lineRule="auto"/>
            </w:pPr>
            <w:r>
              <w:rPr>
                <w:b/>
                <w:bCs/>
                <w:sz w:val="18"/>
                <w:szCs w:val="18"/>
              </w:rPr>
              <w:t xml:space="preserve">Recursos de cómputo limitados</w:t>
            </w:r>
          </w:p>
        </w:tc>
        <w:tc>
          <w:tcPr>
            <w:tcW w:w="2500" w:type="dxa"/>
            <w:vAlign w:val="top"/>
          </w:tcPr>
          <w:p>
            <w:pPr>
              <w:spacing w:before="20" w:after="20" w:line="240" w:lineRule="auto"/>
            </w:pPr>
            <w:r>
              <w:rPr>
                <w:sz w:val="18"/>
                <w:szCs w:val="18"/>
              </w:rPr>
              <w:t xml:space="preserve">Latencia y dificultad para ejecutar modelos grandes en el dispositivo.</w:t>
            </w:r>
          </w:p>
        </w:tc>
        <w:tc>
          <w:tcPr>
            <w:tcW w:w="2638" w:type="dxa"/>
            <w:vAlign w:val="top"/>
          </w:tcPr>
          <w:p>
            <w:pPr>
              <w:spacing w:before="20" w:after="20" w:line="240" w:lineRule="auto"/>
            </w:pPr>
            <w:r>
              <w:rPr>
                <w:sz w:val="18"/>
                <w:szCs w:val="18"/>
              </w:rPr>
              <w:t xml:space="preserve">Compresión (poda, cuantización, destilación) y arquitecturas ligeras como MobileNet.</w:t>
            </w:r>
          </w:p>
        </w:tc>
        <w:tc>
          <w:tcPr>
            <w:tcW w:w="1800" w:type="dxa"/>
            <w:vAlign w:val="top"/>
          </w:tcPr>
          <w:p>
            <w:pPr>
              <w:spacing w:before="20" w:after="20" w:line="240" w:lineRule="auto"/>
            </w:pPr>
            <w:r>
              <w:rPr>
                <w:sz w:val="18"/>
                <w:szCs w:val="18"/>
              </w:rPr>
              <w:t xml:space="preserve">Lin et al. (2026); Saini et al. (2026)</w:t>
            </w:r>
          </w:p>
        </w:tc>
      </w:tr>
      <w:tr>
        <w:trPr>
          <w:cantSplit/>
        </w:trPr>
        <w:tc>
          <w:tcPr>
            <w:tcW w:w="1900" w:type="dxa"/>
            <w:vAlign w:val="top"/>
          </w:tcPr>
          <w:p>
            <w:pPr>
              <w:spacing w:before="20" w:after="20" w:line="240" w:lineRule="auto"/>
            </w:pPr>
            <w:r>
              <w:rPr>
                <w:b/>
                <w:bCs/>
                <w:sz w:val="18"/>
                <w:szCs w:val="18"/>
              </w:rPr>
              <w:t xml:space="preserve">Costo del equipo y poca formación técnica</w:t>
            </w:r>
          </w:p>
        </w:tc>
        <w:tc>
          <w:tcPr>
            <w:tcW w:w="2500" w:type="dxa"/>
            <w:vAlign w:val="top"/>
          </w:tcPr>
          <w:p>
            <w:pPr>
              <w:spacing w:before="20" w:after="20" w:line="240" w:lineRule="auto"/>
            </w:pPr>
            <w:r>
              <w:rPr>
                <w:sz w:val="18"/>
                <w:szCs w:val="18"/>
              </w:rPr>
              <w:t xml:space="preserve">Limita el acceso y puede llevar a un uso inadecuado.</w:t>
            </w:r>
          </w:p>
        </w:tc>
        <w:tc>
          <w:tcPr>
            <w:tcW w:w="2638" w:type="dxa"/>
            <w:vAlign w:val="top"/>
          </w:tcPr>
          <w:p>
            <w:pPr>
              <w:spacing w:before="20" w:after="20" w:line="240" w:lineRule="auto"/>
            </w:pPr>
            <w:r>
              <w:rPr>
                <w:sz w:val="18"/>
                <w:szCs w:val="18"/>
              </w:rPr>
              <w:t xml:space="preserve">Modelos de bajo costo con imágenes RGB; interfaces sencillas.</w:t>
            </w:r>
          </w:p>
        </w:tc>
        <w:tc>
          <w:tcPr>
            <w:tcW w:w="1800" w:type="dxa"/>
            <w:vAlign w:val="top"/>
          </w:tcPr>
          <w:p>
            <w:pPr>
              <w:spacing w:before="20" w:after="20" w:line="240" w:lineRule="auto"/>
            </w:pPr>
            <w:r>
              <w:rPr>
                <w:sz w:val="18"/>
                <w:szCs w:val="18"/>
              </w:rPr>
              <w:t xml:space="preserve">Majdalawieh et al. (2025); Saini et al. (2026); Kochhar et al. (2026)</w:t>
            </w:r>
          </w:p>
        </w:tc>
      </w:tr>
      <w:tr>
        <w:trPr>
          <w:cantSplit/>
        </w:trPr>
        <w:tc>
          <w:tcPr>
            <w:tcW w:w="1900" w:type="dxa"/>
            <w:vAlign w:val="top"/>
          </w:tcPr>
          <w:p>
            <w:pPr>
              <w:spacing w:before="20" w:after="20" w:line="240" w:lineRule="auto"/>
            </w:pPr>
            <w:r>
              <w:rPr>
                <w:b/>
                <w:bCs/>
                <w:sz w:val="18"/>
                <w:szCs w:val="18"/>
              </w:rPr>
              <w:t xml:space="preserve">Condiciones adversas de campo</w:t>
            </w:r>
          </w:p>
        </w:tc>
        <w:tc>
          <w:tcPr>
            <w:tcW w:w="2500" w:type="dxa"/>
            <w:vAlign w:val="top"/>
          </w:tcPr>
          <w:p>
            <w:pPr>
              <w:spacing w:before="20" w:after="20" w:line="240" w:lineRule="auto"/>
            </w:pPr>
            <w:r>
              <w:rPr>
                <w:sz w:val="18"/>
                <w:szCs w:val="18"/>
              </w:rPr>
              <w:t xml:space="preserve">Cambios de clima e iluminación reducen la exactitud y la calidad de la imagen.</w:t>
            </w:r>
          </w:p>
        </w:tc>
        <w:tc>
          <w:tcPr>
            <w:tcW w:w="2638" w:type="dxa"/>
            <w:vAlign w:val="top"/>
          </w:tcPr>
          <w:p>
            <w:pPr>
              <w:spacing w:before="20" w:after="20" w:line="240" w:lineRule="auto"/>
            </w:pPr>
            <w:r>
              <w:rPr>
                <w:sz w:val="18"/>
                <w:szCs w:val="18"/>
              </w:rPr>
              <w:t xml:space="preserve">Ajuste fino con imágenes locales, aumento de datos y adaptación de dominio.</w:t>
            </w:r>
          </w:p>
        </w:tc>
        <w:tc>
          <w:tcPr>
            <w:tcW w:w="1800" w:type="dxa"/>
            <w:vAlign w:val="top"/>
          </w:tcPr>
          <w:p>
            <w:pPr>
              <w:spacing w:before="20" w:after="20" w:line="240" w:lineRule="auto"/>
            </w:pPr>
            <w:r>
              <w:rPr>
                <w:sz w:val="18"/>
                <w:szCs w:val="18"/>
              </w:rPr>
              <w:t xml:space="preserve">Saini et al. (2026)</w:t>
            </w:r>
          </w:p>
        </w:tc>
      </w:tr>
      <w:tr>
        <w:trPr>
          <w:cantSplit/>
        </w:trPr>
        <w:tc>
          <w:tcPr>
            <w:tcW w:w="1900" w:type="dxa"/>
            <w:vAlign w:val="top"/>
          </w:tcPr>
          <w:p>
            <w:pPr>
              <w:spacing w:before="20" w:after="20" w:line="240" w:lineRule="auto"/>
            </w:pPr>
            <w:r>
              <w:rPr>
                <w:b/>
                <w:bCs/>
                <w:sz w:val="18"/>
                <w:szCs w:val="18"/>
              </w:rPr>
              <w:t xml:space="preserve">Degradación del modelo con el tiempo</w:t>
            </w:r>
          </w:p>
        </w:tc>
        <w:tc>
          <w:tcPr>
            <w:tcW w:w="2500" w:type="dxa"/>
            <w:vAlign w:val="top"/>
          </w:tcPr>
          <w:p>
            <w:pPr>
              <w:spacing w:before="20" w:after="20" w:line="240" w:lineRule="auto"/>
            </w:pPr>
            <w:r>
              <w:rPr>
                <w:sz w:val="18"/>
                <w:szCs w:val="18"/>
              </w:rPr>
              <w:t xml:space="preserve">Pérdida de 5–12 % de exactitud en 6–9 meses sin reentrenamiento.</w:t>
            </w:r>
          </w:p>
        </w:tc>
        <w:tc>
          <w:tcPr>
            <w:tcW w:w="2638" w:type="dxa"/>
            <w:vAlign w:val="top"/>
          </w:tcPr>
          <w:p>
            <w:pPr>
              <w:spacing w:before="20" w:after="20" w:line="240" w:lineRule="auto"/>
            </w:pPr>
            <w:r>
              <w:rPr>
                <w:sz w:val="18"/>
                <w:szCs w:val="18"/>
              </w:rPr>
              <w:t xml:space="preserve">Reentrenamiento periódico; guardar las predicciones con probabilidad menor a 0,55 para revisión experta.</w:t>
            </w:r>
          </w:p>
        </w:tc>
        <w:tc>
          <w:tcPr>
            <w:tcW w:w="1800" w:type="dxa"/>
            <w:vAlign w:val="top"/>
          </w:tcPr>
          <w:p>
            <w:pPr>
              <w:spacing w:before="20" w:after="20" w:line="240" w:lineRule="auto"/>
            </w:pPr>
            <w:r>
              <w:rPr>
                <w:sz w:val="18"/>
                <w:szCs w:val="18"/>
              </w:rPr>
              <w:t xml:space="preserve">Saini et al. (2026)</w:t>
            </w:r>
          </w:p>
        </w:tc>
      </w:tr>
    </w:tbl>
    <w:p>
      <w:pPr>
        <w:spacing w:before="40" w:after="200"/>
        <w:jc w:val="both"/>
      </w:pPr>
      <w:r>
        <w:rPr>
          <w:i/>
          <w:iCs/>
          <w:sz w:val="18"/>
          <w:szCs w:val="18"/>
        </w:rPr>
        <w:t xml:space="preserve">Nota.</w:t>
      </w:r>
      <w:r>
        <w:rPr>
          <w:sz w:val="18"/>
          <w:szCs w:val="18"/>
        </w:rPr>
        <w:t xml:space="preserve"> Elaboración propia a partir de Kochhar et al. (2026), Lin et al. (2026), Majdalawieh et al. (2025) y Saini et al. (2026).</w:t>
      </w:r>
    </w:p>
    <w:p>
      <w:pPr>
        <w:ind w:firstLine="720"/>
        <w:jc w:val="both"/>
      </w:pPr>
      <w:r>
        <w:rPr/>
        <w:t xml:space="preserve">A pesar de estos avances, varias revisiones coinciden en que existen pocas aplicaciones web o móviles de diagnóstico disponibles y en que los modelos precisos de la literatura todavía deben probarse en aplicaciones móviles en tiempo real y en campo abierto (Munjal et al., 2023; Sajitha et al., 2024). Para el proyecto, esto significa que la inferencia en el teléfono, sin conexión, es un requisito y no un detalle técnico (Actividades 19 y 20 del itinerario).</w:t>
      </w:r>
    </w:p>
    <w:p>
      <w:pPr>
        <w:keepNext/>
        <w:spacing w:before="200" w:after="100"/>
        <w:jc w:val="both"/>
      </w:pPr>
      <w:r>
        <w:rPr>
          <w:b/>
          <w:bCs/>
        </w:rPr>
        <w:t xml:space="preserve">2.2 Interacción persona-ordenador (IPO) en aplicaciones inteligentes</w:t>
      </w:r>
    </w:p>
    <w:p>
      <w:pPr>
        <w:jc w:val="both"/>
      </w:pPr>
      <w:r>
        <w:rPr/>
        <w:t xml:space="preserve">La IPO se ocupa de que un sistema sea útil y comprensible para quienes lo usan. La experiencia de usuario (UX) abarca todos los aspectos de la interacción de una persona con un producto, y sus prácticas exigen un diseño centrado en el usuario, que integra en el desarrollo la investigación con usuarios, el prototipado y las pruebas de usabilidad (Martinelli et al., 2024). En una revisión sistemática de 45 artículos, Martinelli et al. (2024) identificaron 38 prácticas de investigación de UX y 52 métodos, técnicas y herramientas; los más usados en la industria son las personas (perfiles de usuario), las entrevistas, las encuestas y las pruebas de usabilidad, mientras que los métodos de campo —indagación contextual, estudios de campo y etnografía— se usan menos, aunque son los que permiten conocer los hábitos, necesidades y motivaciones de los usuarios.</w:t>
      </w:r>
    </w:p>
    <w:p>
      <w:pPr>
        <w:ind w:firstLine="720"/>
        <w:jc w:val="both"/>
      </w:pPr>
      <w:r>
        <w:rPr/>
        <w:t xml:space="preserve">La misma revisión destaca que la experiencia cambia con el tiempo y distingue cuatro momentos de la UX a largo plazo (Martinelli et al., 2024), que se comparan en la Tabla 2 junto con su posible uso en este proyecto.</w:t>
      </w:r>
    </w:p>
    <w:p>
      <w:pPr>
        <w:keepNext/>
        <w:spacing w:before="160" w:after="80"/>
      </w:pPr>
      <w:r>
        <w:rPr>
          <w:b/>
          <w:bCs/>
          <w:sz w:val="20"/>
          <w:szCs w:val="20"/>
        </w:rPr>
        <w:t xml:space="preserve">Tabla 2.</w:t>
      </w:r>
      <w:r>
        <w:rPr>
          <w:sz w:val="20"/>
          <w:szCs w:val="20"/>
        </w:rPr>
        <w:t xml:space="preserve"> </w:t>
      </w:r>
      <w:r>
        <w:rPr>
          <w:i/>
          <w:iCs/>
          <w:sz w:val="20"/>
          <w:szCs w:val="20"/>
        </w:rPr>
        <w:t xml:space="preserve">Métodos de investigación de UX según el momento de la experiencia y su posible uso en el proyecto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500"/>
        <w:gridCol w:w="2100"/>
        <w:gridCol w:w="2838"/>
        <w:gridCol w:w="2400"/>
      </w:tblGrid>
      <w:tr>
        <w:trPr>
          <w:tblHeader/>
          <w:cantSplit/>
        </w:trPr>
        <w:tc>
          <w:tcPr>
            <w:tcW w:w="1500" w:type="dxa"/>
            <w:shd w:val="clear" w:color="auto" w:fill="D9E2F3"/>
            <w:vAlign w:val="center"/>
          </w:tcPr>
          <w:p>
            <w:pPr>
              <w:keepNext/>
              <w:spacing w:before="20" w:after="20" w:line="240" w:lineRule="auto"/>
              <w:jc w:val="center"/>
            </w:pPr>
            <w:r>
              <w:rPr>
                <w:b/>
                <w:bCs/>
                <w:sz w:val="18"/>
                <w:szCs w:val="18"/>
              </w:rPr>
              <w:t xml:space="preserve">Momento de la UX</w:t>
            </w:r>
          </w:p>
        </w:tc>
        <w:tc>
          <w:tcPr>
            <w:tcW w:w="2100" w:type="dxa"/>
            <w:shd w:val="clear" w:color="auto" w:fill="D9E2F3"/>
            <w:vAlign w:val="center"/>
          </w:tcPr>
          <w:p>
            <w:pPr>
              <w:keepNext/>
              <w:spacing w:before="20" w:after="20" w:line="240" w:lineRule="auto"/>
              <w:jc w:val="center"/>
            </w:pPr>
            <w:r>
              <w:rPr>
                <w:b/>
                <w:bCs/>
                <w:sz w:val="18"/>
                <w:szCs w:val="18"/>
              </w:rPr>
              <w:t xml:space="preserve">Qué se busca conocer</w:t>
            </w:r>
          </w:p>
        </w:tc>
        <w:tc>
          <w:tcPr>
            <w:tcW w:w="2838" w:type="dxa"/>
            <w:shd w:val="clear" w:color="auto" w:fill="D9E2F3"/>
            <w:vAlign w:val="center"/>
          </w:tcPr>
          <w:p>
            <w:pPr>
              <w:keepNext/>
              <w:spacing w:before="20" w:after="20" w:line="240" w:lineRule="auto"/>
              <w:jc w:val="center"/>
            </w:pPr>
            <w:r>
              <w:rPr>
                <w:b/>
                <w:bCs/>
                <w:sz w:val="18"/>
                <w:szCs w:val="18"/>
              </w:rPr>
              <w:t xml:space="preserve">Métodos reportados</w:t>
            </w:r>
          </w:p>
        </w:tc>
        <w:tc>
          <w:tcPr>
            <w:tcW w:w="2400" w:type="dxa"/>
            <w:shd w:val="clear" w:color="auto" w:fill="D9E2F3"/>
            <w:vAlign w:val="center"/>
          </w:tcPr>
          <w:p>
            <w:pPr>
              <w:keepNext/>
              <w:spacing w:before="20" w:after="20" w:line="240" w:lineRule="auto"/>
              <w:jc w:val="center"/>
            </w:pPr>
            <w:r>
              <w:rPr>
                <w:b/>
                <w:bCs/>
                <w:sz w:val="18"/>
                <w:szCs w:val="18"/>
              </w:rPr>
              <w:t xml:space="preserve">Posible uso en el proyecto</w:t>
            </w:r>
          </w:p>
        </w:tc>
      </w:tr>
      <w:tr>
        <w:trPr>
          <w:cantSplit/>
        </w:trPr>
        <w:tc>
          <w:tcPr>
            <w:tcW w:w="1500" w:type="dxa"/>
            <w:vAlign w:val="top"/>
          </w:tcPr>
          <w:p>
            <w:pPr>
              <w:spacing w:before="20" w:after="20" w:line="240" w:lineRule="auto"/>
            </w:pPr>
            <w:r>
              <w:rPr>
                <w:b/>
                <w:bCs/>
                <w:sz w:val="18"/>
                <w:szCs w:val="18"/>
              </w:rPr>
              <w:t xml:space="preserve">Anticipada</w:t>
            </w:r>
          </w:p>
        </w:tc>
        <w:tc>
          <w:tcPr>
            <w:tcW w:w="2100" w:type="dxa"/>
            <w:vAlign w:val="top"/>
          </w:tcPr>
          <w:p>
            <w:pPr>
              <w:spacing w:before="20" w:after="20" w:line="240" w:lineRule="auto"/>
            </w:pPr>
            <w:r>
              <w:rPr>
                <w:sz w:val="18"/>
                <w:szCs w:val="18"/>
              </w:rPr>
              <w:t xml:space="preserve">Expectativas del usuario antes del primer uso.</w:t>
            </w:r>
          </w:p>
        </w:tc>
        <w:tc>
          <w:tcPr>
            <w:tcW w:w="2838" w:type="dxa"/>
            <w:vAlign w:val="top"/>
          </w:tcPr>
          <w:p>
            <w:pPr>
              <w:spacing w:before="20" w:after="20" w:line="240" w:lineRule="auto"/>
            </w:pPr>
            <w:r>
              <w:rPr>
                <w:sz w:val="18"/>
                <w:szCs w:val="18"/>
              </w:rPr>
              <w:t xml:space="preserve">Entrevistas, grupos focales y analítica de comportamiento.</w:t>
            </w:r>
          </w:p>
        </w:tc>
        <w:tc>
          <w:tcPr>
            <w:tcW w:w="2400" w:type="dxa"/>
            <w:vAlign w:val="top"/>
          </w:tcPr>
          <w:p>
            <w:pPr>
              <w:spacing w:before="20" w:after="20" w:line="240" w:lineRule="auto"/>
            </w:pPr>
            <w:r>
              <w:rPr>
                <w:sz w:val="18"/>
                <w:szCs w:val="18"/>
              </w:rPr>
              <w:t xml:space="preserve">Entrevistas a agricultores y técnicos antes de prototipar (Act. 16).</w:t>
            </w:r>
          </w:p>
        </w:tc>
      </w:tr>
      <w:tr>
        <w:trPr>
          <w:cantSplit/>
        </w:trPr>
        <w:tc>
          <w:tcPr>
            <w:tcW w:w="1500" w:type="dxa"/>
            <w:vAlign w:val="top"/>
          </w:tcPr>
          <w:p>
            <w:pPr>
              <w:spacing w:before="20" w:after="20" w:line="240" w:lineRule="auto"/>
            </w:pPr>
            <w:r>
              <w:rPr>
                <w:b/>
                <w:bCs/>
                <w:sz w:val="18"/>
                <w:szCs w:val="18"/>
              </w:rPr>
              <w:t xml:space="preserve">Momentánea</w:t>
            </w:r>
          </w:p>
        </w:tc>
        <w:tc>
          <w:tcPr>
            <w:tcW w:w="2100" w:type="dxa"/>
            <w:vAlign w:val="top"/>
          </w:tcPr>
          <w:p>
            <w:pPr>
              <w:spacing w:before="20" w:after="20" w:line="240" w:lineRule="auto"/>
            </w:pPr>
            <w:r>
              <w:rPr>
                <w:sz w:val="18"/>
                <w:szCs w:val="18"/>
              </w:rPr>
              <w:t xml:space="preserve">Percepciones durante la interacción, en el momento en que ocurren.</w:t>
            </w:r>
          </w:p>
        </w:tc>
        <w:tc>
          <w:tcPr>
            <w:tcW w:w="2838" w:type="dxa"/>
            <w:vAlign w:val="top"/>
          </w:tcPr>
          <w:p>
            <w:pPr>
              <w:spacing w:before="20" w:after="20" w:line="240" w:lineRule="auto"/>
            </w:pPr>
            <w:r>
              <w:rPr>
                <w:sz w:val="18"/>
                <w:szCs w:val="18"/>
              </w:rPr>
              <w:t xml:space="preserve">Evaluación heurística, pensamiento en voz alta, indagación contextual, pruebas A/B y estudios de campo.</w:t>
            </w:r>
          </w:p>
        </w:tc>
        <w:tc>
          <w:tcPr>
            <w:tcW w:w="2400" w:type="dxa"/>
            <w:vAlign w:val="top"/>
          </w:tcPr>
          <w:p>
            <w:pPr>
              <w:spacing w:before="20" w:after="20" w:line="240" w:lineRule="auto"/>
            </w:pPr>
            <w:r>
              <w:rPr>
                <w:sz w:val="18"/>
                <w:szCs w:val="18"/>
              </w:rPr>
              <w:t xml:space="preserve">Pruebas del prototipo de captura y resultado en el huerto (Act. 17 y 21).</w:t>
            </w:r>
          </w:p>
        </w:tc>
      </w:tr>
      <w:tr>
        <w:trPr>
          <w:cantSplit/>
        </w:trPr>
        <w:tc>
          <w:tcPr>
            <w:tcW w:w="1500" w:type="dxa"/>
            <w:vAlign w:val="top"/>
          </w:tcPr>
          <w:p>
            <w:pPr>
              <w:spacing w:before="20" w:after="20" w:line="240" w:lineRule="auto"/>
            </w:pPr>
            <w:r>
              <w:rPr>
                <w:b/>
                <w:bCs/>
                <w:sz w:val="18"/>
                <w:szCs w:val="18"/>
              </w:rPr>
              <w:t xml:space="preserve">Episódica</w:t>
            </w:r>
          </w:p>
        </w:tc>
        <w:tc>
          <w:tcPr>
            <w:tcW w:w="2100" w:type="dxa"/>
            <w:vAlign w:val="top"/>
          </w:tcPr>
          <w:p>
            <w:pPr>
              <w:spacing w:before="20" w:after="20" w:line="240" w:lineRule="auto"/>
            </w:pPr>
            <w:r>
              <w:rPr>
                <w:sz w:val="18"/>
                <w:szCs w:val="18"/>
              </w:rPr>
              <w:t xml:space="preserve">Valoración de un episodio de uso concreto.</w:t>
            </w:r>
          </w:p>
        </w:tc>
        <w:tc>
          <w:tcPr>
            <w:tcW w:w="2838" w:type="dxa"/>
            <w:vAlign w:val="top"/>
          </w:tcPr>
          <w:p>
            <w:pPr>
              <w:spacing w:before="20" w:after="20" w:line="240" w:lineRule="auto"/>
            </w:pPr>
            <w:r>
              <w:rPr>
                <w:sz w:val="18"/>
                <w:szCs w:val="18"/>
              </w:rPr>
              <w:t xml:space="preserve">Analítica de comportamiento, AttrakDiff, iScale y análisis de métricas.</w:t>
            </w:r>
          </w:p>
        </w:tc>
        <w:tc>
          <w:tcPr>
            <w:tcW w:w="2400" w:type="dxa"/>
            <w:vAlign w:val="top"/>
          </w:tcPr>
          <w:p>
            <w:pPr>
              <w:spacing w:before="20" w:after="20" w:line="240" w:lineRule="auto"/>
            </w:pPr>
            <w:r>
              <w:rPr>
                <w:sz w:val="18"/>
                <w:szCs w:val="18"/>
              </w:rPr>
              <w:t xml:space="preserve">Evaluación al terminar sesiones de diagnóstico (Act. 21).</w:t>
            </w:r>
          </w:p>
        </w:tc>
      </w:tr>
      <w:tr>
        <w:trPr>
          <w:cantSplit/>
        </w:trPr>
        <w:tc>
          <w:tcPr>
            <w:tcW w:w="1500" w:type="dxa"/>
            <w:vAlign w:val="top"/>
          </w:tcPr>
          <w:p>
            <w:pPr>
              <w:spacing w:before="20" w:after="20" w:line="240" w:lineRule="auto"/>
            </w:pPr>
            <w:r>
              <w:rPr>
                <w:b/>
                <w:bCs/>
                <w:sz w:val="18"/>
                <w:szCs w:val="18"/>
              </w:rPr>
              <w:t xml:space="preserve">Acumulada</w:t>
            </w:r>
          </w:p>
        </w:tc>
        <w:tc>
          <w:tcPr>
            <w:tcW w:w="2100" w:type="dxa"/>
            <w:vAlign w:val="top"/>
          </w:tcPr>
          <w:p>
            <w:pPr>
              <w:spacing w:before="20" w:after="20" w:line="240" w:lineRule="auto"/>
            </w:pPr>
            <w:r>
              <w:rPr>
                <w:sz w:val="18"/>
                <w:szCs w:val="18"/>
              </w:rPr>
              <w:t xml:space="preserve">Experiencia después de un tiempo de uso.</w:t>
            </w:r>
          </w:p>
        </w:tc>
        <w:tc>
          <w:tcPr>
            <w:tcW w:w="2838" w:type="dxa"/>
            <w:vAlign w:val="top"/>
          </w:tcPr>
          <w:p>
            <w:pPr>
              <w:spacing w:before="20" w:after="20" w:line="240" w:lineRule="auto"/>
            </w:pPr>
            <w:r>
              <w:rPr>
                <w:sz w:val="18"/>
                <w:szCs w:val="18"/>
              </w:rPr>
              <w:t xml:space="preserve">Pruebas de usabilidad, análisis de publicaciones de usuarios y de métricas.</w:t>
            </w:r>
          </w:p>
        </w:tc>
        <w:tc>
          <w:tcPr>
            <w:tcW w:w="2400" w:type="dxa"/>
            <w:vAlign w:val="top"/>
          </w:tcPr>
          <w:p>
            <w:pPr>
              <w:spacing w:before="20" w:after="20" w:line="240" w:lineRule="auto"/>
            </w:pPr>
            <w:r>
              <w:rPr>
                <w:sz w:val="18"/>
                <w:szCs w:val="18"/>
              </w:rPr>
              <w:t xml:space="preserve">Seguimiento del uso durante la temporada (después de la Act. 22).</w:t>
            </w:r>
          </w:p>
        </w:tc>
      </w:tr>
    </w:tbl>
    <w:p>
      <w:pPr>
        <w:spacing w:before="40" w:after="200"/>
        <w:jc w:val="both"/>
      </w:pPr>
      <w:r>
        <w:rPr>
          <w:i/>
          <w:iCs/>
          <w:sz w:val="18"/>
          <w:szCs w:val="18"/>
        </w:rPr>
        <w:t xml:space="preserve">Nota.</w:t>
      </w:r>
      <w:r>
        <w:rPr>
          <w:sz w:val="18"/>
          <w:szCs w:val="18"/>
        </w:rPr>
        <w:t xml:space="preserve"> Elaboración propia a partir de Martinelli et al. (2024). La última columna es una propuesta del autor para el itinerario.</w:t>
      </w:r>
    </w:p>
    <w:p>
      <w:pPr>
        <w:ind w:firstLine="720"/>
        <w:jc w:val="both"/>
      </w:pPr>
      <w:r>
        <w:rPr/>
        <w:t xml:space="preserve">En el ámbito agrícola, las fuentes recopiladas subrayan rasgos propios de los usuarios. Christakakis et al. (2024) incorporaron a agricultores como usuarios finales para que la aplicación fuera accesible a personas sin habilidades avanzadas en tecnologías de la información; Kochhar et al. (2026) organizaron el desarrollo en análisis de las necesidades de los agricultores, diseño de una interfaz sencilla con cámara integrada y pruebas continuas; y Odounfa et al. (2024) señalan como prioridad crear aplicaciones fáciles de usar y en idiomas locales para agricultores rurales con poca experiencia tecnológica. Las fuentes de IPO del material recopilado son escasas, una limitación que ya se advirtió en la Actividad 1.</w:t>
      </w:r>
    </w:p>
    <w:p>
      <w:pPr>
        <w:keepNext/>
        <w:spacing w:before="200" w:after="100"/>
        <w:jc w:val="both"/>
      </w:pPr>
      <w:r>
        <w:rPr>
          <w:b/>
          <w:bCs/>
        </w:rPr>
        <w:t xml:space="preserve">2.3 Integración IA–IPO</w:t>
      </w:r>
    </w:p>
    <w:p>
      <w:pPr>
        <w:jc w:val="both"/>
      </w:pPr>
      <w:r>
        <w:rPr/>
        <w:t xml:space="preserve">Integrar IA e IPO significa diseñar no solo un modelo exacto, sino una interacción en la que el usuario capture bien la imagen, entienda el resultado y sepa cuándo confiar en él. Lin et al. (2026) advierten que la mayoría de los modelos obtenidos por destilación son opacos y que esta brecha de interpretabilidad limita la confianza de agricultores y agrónomos que deben decidir a partir de sus resultados; por ello proponen explicaciones en lenguaje natural ligadas a rasgos observables de la planta. Saini et al. (2026) describen otra forma de integración: guardar para revisión experta las predicciones con baja confianza, lo que mantiene a una persona en el ciclo de decisión y permite actualizar el modelo.</w:t>
      </w:r>
    </w:p>
    <w:p>
      <w:pPr>
        <w:ind w:firstLine="720"/>
        <w:jc w:val="both"/>
      </w:pPr>
      <w:r>
        <w:rPr/>
        <w:t xml:space="preserve">La calidad de la fotografía es también un problema de interacción. Las imágenes tomadas en campo cambian con la humedad, el ambiente y la intensidad de la luz, por lo que conviene capturar la misma muestra en distintos momentos, ángulos y condiciones (Sajitha et al., 2024); Majdalawieh et al. (2025) recomiendan además imágenes de alta resolución (≥ 12 MP), con iluminación controlada o carpas de luz portátiles, desde varios ángulos y con metadatos de contexto. Una pantalla de captura guiada puede trasladar estas recomendaciones al usuario. La Tabla 3 compara cómo los sistemas con aplicación recopilados resolvieron la relación entre el modelo y el usuario.</w:t>
      </w:r>
    </w:p>
    <w:p>
      <w:pPr>
        <w:keepNext/>
        <w:spacing w:before="160" w:after="80"/>
      </w:pPr>
      <w:r>
        <w:rPr>
          <w:b/>
          <w:bCs/>
          <w:sz w:val="20"/>
          <w:szCs w:val="20"/>
        </w:rPr>
        <w:t xml:space="preserve">Tabla 3.</w:t>
      </w:r>
      <w:r>
        <w:rPr>
          <w:sz w:val="20"/>
          <w:szCs w:val="20"/>
        </w:rPr>
        <w:t xml:space="preserve"> </w:t>
      </w:r>
      <w:r>
        <w:rPr>
          <w:i/>
          <w:iCs/>
          <w:sz w:val="20"/>
          <w:szCs w:val="20"/>
        </w:rPr>
        <w:t xml:space="preserve">Elementos de integración IA–IPO en los sistemas de diagnóstico con aplicación recopilados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450"/>
        <w:gridCol w:w="1950"/>
        <w:gridCol w:w="1600"/>
        <w:gridCol w:w="2038"/>
        <w:gridCol w:w="1800"/>
      </w:tblGrid>
      <w:tr>
        <w:trPr>
          <w:tblHeader/>
          <w:cantSplit/>
        </w:trPr>
        <w:tc>
          <w:tcPr>
            <w:tcW w:w="1450" w:type="dxa"/>
            <w:shd w:val="clear" w:color="auto" w:fill="D9E2F3"/>
            <w:vAlign w:val="center"/>
          </w:tcPr>
          <w:p>
            <w:pPr>
              <w:keepNext/>
              <w:spacing w:before="20" w:after="20" w:line="240" w:lineRule="auto"/>
              <w:jc w:val="center"/>
            </w:pPr>
            <w:r>
              <w:rPr>
                <w:b/>
                <w:bCs/>
                <w:sz w:val="18"/>
                <w:szCs w:val="18"/>
              </w:rPr>
              <w:t xml:space="preserve">Sistema</w:t>
            </w:r>
          </w:p>
        </w:tc>
        <w:tc>
          <w:tcPr>
            <w:tcW w:w="1950" w:type="dxa"/>
            <w:shd w:val="clear" w:color="auto" w:fill="D9E2F3"/>
            <w:vAlign w:val="center"/>
          </w:tcPr>
          <w:p>
            <w:pPr>
              <w:keepNext/>
              <w:spacing w:before="20" w:after="20" w:line="240" w:lineRule="auto"/>
              <w:jc w:val="center"/>
            </w:pPr>
            <w:r>
              <w:rPr>
                <w:b/>
                <w:bCs/>
                <w:sz w:val="18"/>
                <w:szCs w:val="18"/>
              </w:rPr>
              <w:t xml:space="preserve">Resultado que ve el usuario</w:t>
            </w:r>
          </w:p>
        </w:tc>
        <w:tc>
          <w:tcPr>
            <w:tcW w:w="1600" w:type="dxa"/>
            <w:shd w:val="clear" w:color="auto" w:fill="D9E2F3"/>
            <w:vAlign w:val="center"/>
          </w:tcPr>
          <w:p>
            <w:pPr>
              <w:keepNext/>
              <w:spacing w:before="20" w:after="20" w:line="240" w:lineRule="auto"/>
              <w:jc w:val="center"/>
            </w:pPr>
            <w:r>
              <w:rPr>
                <w:b/>
                <w:bCs/>
                <w:sz w:val="18"/>
                <w:szCs w:val="18"/>
              </w:rPr>
              <w:t xml:space="preserve">Explicación o confianza</w:t>
            </w:r>
          </w:p>
        </w:tc>
        <w:tc>
          <w:tcPr>
            <w:tcW w:w="2038" w:type="dxa"/>
            <w:shd w:val="clear" w:color="auto" w:fill="D9E2F3"/>
            <w:vAlign w:val="center"/>
          </w:tcPr>
          <w:p>
            <w:pPr>
              <w:keepNext/>
              <w:spacing w:before="20" w:after="20" w:line="240" w:lineRule="auto"/>
              <w:jc w:val="center"/>
            </w:pPr>
            <w:r>
              <w:rPr>
                <w:b/>
                <w:bCs/>
                <w:sz w:val="18"/>
                <w:szCs w:val="18"/>
              </w:rPr>
              <w:t xml:space="preserve">Participación de usuarios</w:t>
            </w:r>
          </w:p>
        </w:tc>
        <w:tc>
          <w:tcPr>
            <w:tcW w:w="1800" w:type="dxa"/>
            <w:shd w:val="clear" w:color="auto" w:fill="D9E2F3"/>
            <w:vAlign w:val="center"/>
          </w:tcPr>
          <w:p>
            <w:pPr>
              <w:keepNext/>
              <w:spacing w:before="20" w:after="20" w:line="240" w:lineRule="auto"/>
              <w:jc w:val="center"/>
            </w:pPr>
            <w:r>
              <w:rPr>
                <w:b/>
                <w:bCs/>
                <w:sz w:val="18"/>
                <w:szCs w:val="18"/>
              </w:rPr>
              <w:t xml:space="preserve">Limitación o dependencia</w:t>
            </w:r>
          </w:p>
        </w:tc>
      </w:tr>
      <w:tr>
        <w:trPr>
          <w:cantSplit/>
        </w:trPr>
        <w:tc>
          <w:tcPr>
            <w:tcW w:w="1450" w:type="dxa"/>
            <w:vAlign w:val="top"/>
          </w:tcPr>
          <w:p>
            <w:pPr>
              <w:spacing w:before="20" w:after="20" w:line="240" w:lineRule="auto"/>
            </w:pPr>
            <w:r>
              <w:rPr>
                <w:b/>
                <w:bCs/>
                <w:sz w:val="18"/>
                <w:szCs w:val="18"/>
              </w:rPr>
              <w:t xml:space="preserve">Ramana Reddy et al. (2025)</w:t>
            </w:r>
          </w:p>
        </w:tc>
        <w:tc>
          <w:tcPr>
            <w:tcW w:w="1950" w:type="dxa"/>
            <w:vAlign w:val="top"/>
          </w:tcPr>
          <w:p>
            <w:pPr>
              <w:spacing w:before="20" w:after="20" w:line="240" w:lineRule="auto"/>
            </w:pPr>
            <w:r>
              <w:rPr>
                <w:sz w:val="18"/>
                <w:szCs w:val="18"/>
              </w:rPr>
              <w:t xml:space="preserve">Enfermedad, puntaje de confianza, porcentaje de severidad y breve descripción.</w:t>
            </w:r>
          </w:p>
        </w:tc>
        <w:tc>
          <w:tcPr>
            <w:tcW w:w="1600" w:type="dxa"/>
            <w:vAlign w:val="top"/>
          </w:tcPr>
          <w:p>
            <w:pPr>
              <w:spacing w:before="20" w:after="20" w:line="240" w:lineRule="auto"/>
            </w:pPr>
            <w:r>
              <w:rPr>
                <w:sz w:val="18"/>
                <w:szCs w:val="18"/>
              </w:rPr>
              <w:t xml:space="preserve">Mapa Grad-CAM y puntaje de confianza.</w:t>
            </w:r>
          </w:p>
        </w:tc>
        <w:tc>
          <w:tcPr>
            <w:tcW w:w="2038" w:type="dxa"/>
            <w:vAlign w:val="top"/>
          </w:tcPr>
          <w:p>
            <w:pPr>
              <w:spacing w:before="20" w:after="20" w:line="240" w:lineRule="auto"/>
            </w:pPr>
            <w:r>
              <w:rPr>
                <w:sz w:val="18"/>
                <w:szCs w:val="18"/>
              </w:rPr>
              <w:t xml:space="preserve">Pruebas informales: interfaz intuitiva; la severidad ayuda a priorizar.</w:t>
            </w:r>
          </w:p>
        </w:tc>
        <w:tc>
          <w:tcPr>
            <w:tcW w:w="1800" w:type="dxa"/>
            <w:vAlign w:val="top"/>
          </w:tcPr>
          <w:p>
            <w:pPr>
              <w:spacing w:before="20" w:after="20" w:line="240" w:lineRule="auto"/>
            </w:pPr>
            <w:r>
              <w:rPr>
                <w:sz w:val="18"/>
                <w:szCs w:val="18"/>
              </w:rPr>
              <w:t xml:space="preserve">Inferencia en servidor (Wi-Fi); la inferencia sin conexión queda como trabajo futuro.</w:t>
            </w:r>
          </w:p>
        </w:tc>
      </w:tr>
      <w:tr>
        <w:trPr>
          <w:cantSplit/>
        </w:trPr>
        <w:tc>
          <w:tcPr>
            <w:tcW w:w="1450" w:type="dxa"/>
            <w:vAlign w:val="top"/>
          </w:tcPr>
          <w:p>
            <w:pPr>
              <w:spacing w:before="20" w:after="20" w:line="240" w:lineRule="auto"/>
            </w:pPr>
            <w:r>
              <w:rPr>
                <w:b/>
                <w:bCs/>
                <w:sz w:val="18"/>
                <w:szCs w:val="18"/>
              </w:rPr>
              <w:t xml:space="preserve">Christakakis et al. (2024)</w:t>
            </w:r>
          </w:p>
        </w:tc>
        <w:tc>
          <w:tcPr>
            <w:tcW w:w="1950" w:type="dxa"/>
            <w:vAlign w:val="top"/>
          </w:tcPr>
          <w:p>
            <w:pPr>
              <w:spacing w:before="20" w:after="20" w:line="240" w:lineRule="auto"/>
            </w:pPr>
            <w:r>
              <w:rPr>
                <w:sz w:val="18"/>
                <w:szCs w:val="18"/>
              </w:rPr>
              <w:t xml:space="preserve">Zonas afectadas marcadas con cajas y nivel de confianza.</w:t>
            </w:r>
          </w:p>
        </w:tc>
        <w:tc>
          <w:tcPr>
            <w:tcW w:w="1600" w:type="dxa"/>
            <w:vAlign w:val="top"/>
          </w:tcPr>
          <w:p>
            <w:pPr>
              <w:spacing w:before="20" w:after="20" w:line="240" w:lineRule="auto"/>
            </w:pPr>
            <w:r>
              <w:rPr>
                <w:sz w:val="18"/>
                <w:szCs w:val="18"/>
              </w:rPr>
              <w:t xml:space="preserve">Confianza por detección.</w:t>
            </w:r>
          </w:p>
        </w:tc>
        <w:tc>
          <w:tcPr>
            <w:tcW w:w="2038" w:type="dxa"/>
            <w:vAlign w:val="top"/>
          </w:tcPr>
          <w:p>
            <w:pPr>
              <w:spacing w:before="20" w:after="20" w:line="240" w:lineRule="auto"/>
            </w:pPr>
            <w:r>
              <w:rPr>
                <w:sz w:val="18"/>
                <w:szCs w:val="18"/>
              </w:rPr>
              <w:t xml:space="preserve">50 usuarios (20 agrónomos y 30 agricultores) en campo y cuestionario de experiencia; alta satisfacción.</w:t>
            </w:r>
          </w:p>
        </w:tc>
        <w:tc>
          <w:tcPr>
            <w:tcW w:w="1800" w:type="dxa"/>
            <w:vAlign w:val="top"/>
          </w:tcPr>
          <w:p>
            <w:pPr>
              <w:spacing w:before="20" w:after="20" w:line="240" w:lineRule="auto"/>
            </w:pPr>
            <w:r>
              <w:rPr>
                <w:sz w:val="18"/>
                <w:szCs w:val="18"/>
              </w:rPr>
              <w:t xml:space="preserve">Modelos en un sistema de apoyo a la decisión en el servidor.</w:t>
            </w:r>
          </w:p>
        </w:tc>
      </w:tr>
      <w:tr>
        <w:trPr>
          <w:cantSplit/>
        </w:trPr>
        <w:tc>
          <w:tcPr>
            <w:tcW w:w="1450" w:type="dxa"/>
            <w:vAlign w:val="top"/>
          </w:tcPr>
          <w:p>
            <w:pPr>
              <w:spacing w:before="20" w:after="20" w:line="240" w:lineRule="auto"/>
            </w:pPr>
            <w:r>
              <w:rPr>
                <w:b/>
                <w:bCs/>
                <w:sz w:val="18"/>
                <w:szCs w:val="18"/>
              </w:rPr>
              <w:t xml:space="preserve">Kochhar et al. (2026)</w:t>
            </w:r>
          </w:p>
        </w:tc>
        <w:tc>
          <w:tcPr>
            <w:tcW w:w="1950" w:type="dxa"/>
            <w:vAlign w:val="top"/>
          </w:tcPr>
          <w:p>
            <w:pPr>
              <w:spacing w:before="20" w:after="20" w:line="240" w:lineRule="auto"/>
            </w:pPr>
            <w:r>
              <w:rPr>
                <w:sz w:val="18"/>
                <w:szCs w:val="18"/>
              </w:rPr>
              <w:t xml:space="preserve">Enfermedad según el cultivo que elige el usuario.</w:t>
            </w:r>
          </w:p>
        </w:tc>
        <w:tc>
          <w:tcPr>
            <w:tcW w:w="1600" w:type="dxa"/>
            <w:vAlign w:val="top"/>
          </w:tcPr>
          <w:p>
            <w:pPr>
              <w:spacing w:before="20" w:after="20" w:line="240" w:lineRule="auto"/>
            </w:pPr>
            <w:r>
              <w:rPr>
                <w:sz w:val="18"/>
                <w:szCs w:val="18"/>
              </w:rPr>
              <w:t xml:space="preserve">Grad-CAM para verificar que el modelo mira la lesión.</w:t>
            </w:r>
          </w:p>
        </w:tc>
        <w:tc>
          <w:tcPr>
            <w:tcW w:w="2038" w:type="dxa"/>
            <w:vAlign w:val="top"/>
          </w:tcPr>
          <w:p>
            <w:pPr>
              <w:spacing w:before="20" w:after="20" w:line="240" w:lineRule="auto"/>
            </w:pPr>
            <w:r>
              <w:rPr>
                <w:sz w:val="18"/>
                <w:szCs w:val="18"/>
              </w:rPr>
              <w:t xml:space="preserve">Diseño centrado en el usuario (análisis de necesidades, interfaz sencilla y pruebas).</w:t>
            </w:r>
          </w:p>
        </w:tc>
        <w:tc>
          <w:tcPr>
            <w:tcW w:w="1800" w:type="dxa"/>
            <w:vAlign w:val="top"/>
          </w:tcPr>
          <w:p>
            <w:pPr>
              <w:spacing w:before="20" w:after="20" w:line="240" w:lineRule="auto"/>
            </w:pPr>
            <w:r>
              <w:rPr>
                <w:sz w:val="18"/>
                <w:szCs w:val="18"/>
              </w:rPr>
              <w:t xml:space="preserve">Depende de Internet estable y de cobertura celular.</w:t>
            </w:r>
          </w:p>
        </w:tc>
      </w:tr>
      <w:tr>
        <w:trPr>
          <w:cantSplit/>
        </w:trPr>
        <w:tc>
          <w:tcPr>
            <w:tcW w:w="1450" w:type="dxa"/>
            <w:vAlign w:val="top"/>
          </w:tcPr>
          <w:p>
            <w:pPr>
              <w:spacing w:before="20" w:after="20" w:line="240" w:lineRule="auto"/>
            </w:pPr>
            <w:r>
              <w:rPr>
                <w:b/>
                <w:bCs/>
                <w:sz w:val="18"/>
                <w:szCs w:val="18"/>
              </w:rPr>
              <w:t xml:space="preserve">Moreano et al. (2026)</w:t>
            </w:r>
          </w:p>
        </w:tc>
        <w:tc>
          <w:tcPr>
            <w:tcW w:w="1950" w:type="dxa"/>
            <w:vAlign w:val="top"/>
          </w:tcPr>
          <w:p>
            <w:pPr>
              <w:spacing w:before="20" w:after="20" w:line="240" w:lineRule="auto"/>
            </w:pPr>
            <w:r>
              <w:rPr>
                <w:sz w:val="18"/>
                <w:szCs w:val="18"/>
              </w:rPr>
              <w:t xml:space="preserve">Diagnóstico y módulos de gestión del cultivo y análisis fitosanitario (web).</w:t>
            </w:r>
          </w:p>
        </w:tc>
        <w:tc>
          <w:tcPr>
            <w:tcW w:w="1600" w:type="dxa"/>
            <w:vAlign w:val="top"/>
          </w:tcPr>
          <w:p>
            <w:pPr>
              <w:spacing w:before="20" w:after="20" w:line="240" w:lineRule="auto"/>
            </w:pPr>
            <w:r>
              <w:rPr>
                <w:sz w:val="18"/>
                <w:szCs w:val="18"/>
              </w:rPr>
              <w:t xml:space="preserve">No se reporta.</w:t>
            </w:r>
          </w:p>
        </w:tc>
        <w:tc>
          <w:tcPr>
            <w:tcW w:w="2038" w:type="dxa"/>
            <w:vAlign w:val="top"/>
          </w:tcPr>
          <w:p>
            <w:pPr>
              <w:spacing w:before="20" w:after="20" w:line="240" w:lineRule="auto"/>
            </w:pPr>
            <w:r>
              <w:rPr>
                <w:sz w:val="18"/>
                <w:szCs w:val="18"/>
              </w:rPr>
              <w:t xml:space="preserve">Interfaz para usuarios no técnicos; pruebas de aceptación con agricultores pendientes.</w:t>
            </w:r>
          </w:p>
        </w:tc>
        <w:tc>
          <w:tcPr>
            <w:tcW w:w="1800" w:type="dxa"/>
            <w:vAlign w:val="top"/>
          </w:tcPr>
          <w:p>
            <w:pPr>
              <w:spacing w:before="20" w:after="20" w:line="240" w:lineRule="auto"/>
            </w:pPr>
            <w:r>
              <w:rPr>
                <w:sz w:val="18"/>
                <w:szCs w:val="18"/>
              </w:rPr>
              <w:t xml:space="preserve">Dataset pequeño (674 imágenes) sin coinfecciones ni síntomas muy tempranos.</w:t>
            </w:r>
          </w:p>
        </w:tc>
      </w:tr>
    </w:tbl>
    <w:p>
      <w:pPr>
        <w:spacing w:before="40" w:after="200"/>
        <w:jc w:val="both"/>
      </w:pPr>
      <w:r>
        <w:rPr>
          <w:i/>
          <w:iCs/>
          <w:sz w:val="18"/>
          <w:szCs w:val="18"/>
        </w:rPr>
        <w:t xml:space="preserve">Nota.</w:t>
      </w:r>
      <w:r>
        <w:rPr>
          <w:sz w:val="18"/>
          <w:szCs w:val="18"/>
        </w:rPr>
        <w:t xml:space="preserve"> Elaboración propia a partir de Christakakis et al. (2024), Kochhar et al. (2026), Moreano et al. (2026) y Ramana Reddy et al. (2025).</w:t>
      </w:r>
    </w:p>
    <w:p>
      <w:pPr>
        <w:ind w:firstLine="720"/>
        <w:jc w:val="both"/>
      </w:pPr>
      <w:r>
        <w:rPr/>
        <w:t xml:space="preserve">La comparación muestra que solo un sistema evaluó formalmente la experiencia de usuarios reales y que ninguno reporta inferencia sin conexión ya implementada. La explicación visual (Grad-CAM) y el puntaje de confianza aparecen como recursos para hacer comprensible el diagnóstico.</w:t>
      </w:r>
    </w:p>
    <w:p>
      <w:pPr>
        <w:keepNext/>
        <w:spacing w:before="200" w:after="100"/>
        <w:jc w:val="both"/>
      </w:pPr>
      <w:r>
        <w:rPr>
          <w:b/>
          <w:bCs/>
        </w:rPr>
        <w:t xml:space="preserve">2.4 Aplicaciones inteligentes en agricultura</w:t>
      </w:r>
    </w:p>
    <w:p>
      <w:pPr>
        <w:jc w:val="both"/>
      </w:pPr>
      <w:r>
        <w:rPr/>
        <w:t xml:space="preserve">La agricultura de precisión adapta las intervenciones a las condiciones de cada campo o sección de campo mediante teledetección, sistemas de información geográfica y aprendizaje automático (Majdalawieh et al., 2025). Sus herramientas incluyen sensores multiespectrales e hiperespectrales, cámaras RGB-D, vehículos aéreos no tripulados (UAV), robots e Internet de las cosas (Odounfa et al., 2024), integrados con IA para la detección de malezas, plagas y enfermedades (Sajitha et al., 2024). Saini et al. (2026) reportan que, en fincas de 50 a 500 hectáreas, la analítica en la nube unida a telemetría y alertas mejoró entre un 18 y un 25 % la programación de aplicaciones dirigidas de plaguicidas.</w:t>
      </w:r>
    </w:p>
    <w:p>
      <w:pPr>
        <w:ind w:firstLine="720"/>
        <w:jc w:val="both"/>
      </w:pPr>
      <w:r>
        <w:rPr/>
        <w:t xml:space="preserve">Respecto al tipo de imagen, Majdalawieh et al. (2025) encontraron que los modelos con imágenes RGB alcanzaron una exactitud media de 96,94 %, frente a 95,81 % con imágenes hiperespectrales o multiespectrales, que además son más costosas y exigen más cómputo; por ello, las imágenes RGB —como las de la cámara de un teléfono— son la opción preferida para aplicaciones a gran escala.</w:t>
      </w:r>
    </w:p>
    <w:p>
      <w:pPr>
        <w:ind w:firstLine="720"/>
        <w:jc w:val="both"/>
      </w:pPr>
      <w:r>
        <w:rPr/>
        <w:t xml:space="preserve">En el aguacate, la IA recopilada se ha aplicado sobre todo al fruto y a las hojas (Tabla 4). Destaca el caso de Guelac-Santillan et al. (2026), en Amazonas (Perú): los índices de vegetación obtenidos con un UAV describieron la variabilidad del dosel, pero ninguno se correlacionó significativamente con la incidencia de antracnosis foliar, por lo que los autores concluyen que, por sí solos, tienen una capacidad limitada para detectar la enfermedad.</w:t>
      </w:r>
    </w:p>
    <w:p>
      <w:pPr>
        <w:keepNext/>
        <w:spacing w:before="160" w:after="80"/>
      </w:pPr>
      <w:r>
        <w:rPr>
          <w:b/>
          <w:bCs/>
          <w:sz w:val="20"/>
          <w:szCs w:val="20"/>
        </w:rPr>
        <w:t xml:space="preserve">Tabla 4.</w:t>
      </w:r>
      <w:r>
        <w:rPr>
          <w:sz w:val="20"/>
          <w:szCs w:val="20"/>
        </w:rPr>
        <w:t xml:space="preserve"> </w:t>
      </w:r>
      <w:r>
        <w:rPr>
          <w:i/>
          <w:iCs/>
          <w:sz w:val="20"/>
          <w:szCs w:val="20"/>
        </w:rPr>
        <w:t xml:space="preserve">Trabajos de IA y teledetección aplicados al aguacate en el material recopilado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700"/>
        <w:gridCol w:w="900"/>
        <w:gridCol w:w="1700"/>
        <w:gridCol w:w="2838"/>
        <w:gridCol w:w="1700"/>
      </w:tblGrid>
      <w:tr>
        <w:trPr>
          <w:tblHeader/>
          <w:cantSplit/>
        </w:trPr>
        <w:tc>
          <w:tcPr>
            <w:tcW w:w="1700" w:type="dxa"/>
            <w:shd w:val="clear" w:color="auto" w:fill="D9E2F3"/>
            <w:vAlign w:val="center"/>
          </w:tcPr>
          <w:p>
            <w:pPr>
              <w:keepNext/>
              <w:spacing w:before="20" w:after="20" w:line="240" w:lineRule="auto"/>
              <w:jc w:val="center"/>
            </w:pPr>
            <w:r>
              <w:rPr>
                <w:b/>
                <w:bCs/>
                <w:sz w:val="18"/>
                <w:szCs w:val="18"/>
              </w:rPr>
              <w:t xml:space="preserve">Estudio</w:t>
            </w:r>
          </w:p>
        </w:tc>
        <w:tc>
          <w:tcPr>
            <w:tcW w:w="900" w:type="dxa"/>
            <w:shd w:val="clear" w:color="auto" w:fill="D9E2F3"/>
            <w:vAlign w:val="center"/>
          </w:tcPr>
          <w:p>
            <w:pPr>
              <w:keepNext/>
              <w:spacing w:before="20" w:after="20" w:line="240" w:lineRule="auto"/>
              <w:jc w:val="center"/>
            </w:pPr>
            <w:r>
              <w:rPr>
                <w:b/>
                <w:bCs/>
                <w:sz w:val="18"/>
                <w:szCs w:val="18"/>
              </w:rPr>
              <w:t xml:space="preserve">Órgano</w:t>
            </w:r>
          </w:p>
        </w:tc>
        <w:tc>
          <w:tcPr>
            <w:tcW w:w="1700" w:type="dxa"/>
            <w:shd w:val="clear" w:color="auto" w:fill="D9E2F3"/>
            <w:vAlign w:val="center"/>
          </w:tcPr>
          <w:p>
            <w:pPr>
              <w:keepNext/>
              <w:spacing w:before="20" w:after="20" w:line="240" w:lineRule="auto"/>
              <w:jc w:val="center"/>
            </w:pPr>
            <w:r>
              <w:rPr>
                <w:b/>
                <w:bCs/>
                <w:sz w:val="18"/>
                <w:szCs w:val="18"/>
              </w:rPr>
              <w:t xml:space="preserve">Tarea</w:t>
            </w:r>
          </w:p>
        </w:tc>
        <w:tc>
          <w:tcPr>
            <w:tcW w:w="2838" w:type="dxa"/>
            <w:shd w:val="clear" w:color="auto" w:fill="D9E2F3"/>
            <w:vAlign w:val="center"/>
          </w:tcPr>
          <w:p>
            <w:pPr>
              <w:keepNext/>
              <w:spacing w:before="20" w:after="20" w:line="240" w:lineRule="auto"/>
              <w:jc w:val="center"/>
            </w:pPr>
            <w:r>
              <w:rPr>
                <w:b/>
                <w:bCs/>
                <w:sz w:val="18"/>
                <w:szCs w:val="18"/>
              </w:rPr>
              <w:t xml:space="preserve">Datos y técnica</w:t>
            </w:r>
          </w:p>
        </w:tc>
        <w:tc>
          <w:tcPr>
            <w:tcW w:w="1700" w:type="dxa"/>
            <w:shd w:val="clear" w:color="auto" w:fill="D9E2F3"/>
            <w:vAlign w:val="center"/>
          </w:tcPr>
          <w:p>
            <w:pPr>
              <w:keepNext/>
              <w:spacing w:before="20" w:after="20" w:line="240" w:lineRule="auto"/>
              <w:jc w:val="center"/>
            </w:pPr>
            <w:r>
              <w:rPr>
                <w:b/>
                <w:bCs/>
                <w:sz w:val="18"/>
                <w:szCs w:val="18"/>
              </w:rPr>
              <w:t xml:space="preserve">Resultado reportado</w:t>
            </w:r>
          </w:p>
        </w:tc>
      </w:tr>
      <w:tr>
        <w:trPr>
          <w:cantSplit/>
        </w:trPr>
        <w:tc>
          <w:tcPr>
            <w:tcW w:w="1700" w:type="dxa"/>
            <w:vAlign w:val="top"/>
          </w:tcPr>
          <w:p>
            <w:pPr>
              <w:spacing w:before="20" w:after="20" w:line="240" w:lineRule="auto"/>
            </w:pPr>
            <w:r>
              <w:rPr>
                <w:b/>
                <w:bCs/>
                <w:sz w:val="18"/>
                <w:szCs w:val="18"/>
              </w:rPr>
              <w:t xml:space="preserve">Moreano et al. (2026)</w:t>
            </w:r>
          </w:p>
        </w:tc>
        <w:tc>
          <w:tcPr>
            <w:tcW w:w="900" w:type="dxa"/>
            <w:vAlign w:val="top"/>
          </w:tcPr>
          <w:p>
            <w:pPr>
              <w:spacing w:before="20" w:after="20" w:line="240" w:lineRule="auto"/>
            </w:pPr>
            <w:r>
              <w:rPr>
                <w:sz w:val="18"/>
                <w:szCs w:val="18"/>
              </w:rPr>
              <w:t xml:space="preserve">Fruto</w:t>
            </w:r>
          </w:p>
        </w:tc>
        <w:tc>
          <w:tcPr>
            <w:tcW w:w="1700" w:type="dxa"/>
            <w:vAlign w:val="top"/>
          </w:tcPr>
          <w:p>
            <w:pPr>
              <w:spacing w:before="20" w:after="20" w:line="240" w:lineRule="auto"/>
            </w:pPr>
            <w:r>
              <w:rPr>
                <w:sz w:val="18"/>
                <w:szCs w:val="18"/>
              </w:rPr>
              <w:t xml:space="preserve">Diagnóstico de antracnosis y roña</w:t>
            </w:r>
          </w:p>
        </w:tc>
        <w:tc>
          <w:tcPr>
            <w:tcW w:w="2838" w:type="dxa"/>
            <w:vAlign w:val="top"/>
          </w:tcPr>
          <w:p>
            <w:pPr>
              <w:spacing w:before="20" w:after="20" w:line="240" w:lineRule="auto"/>
            </w:pPr>
            <w:r>
              <w:rPr>
                <w:sz w:val="18"/>
                <w:szCs w:val="18"/>
              </w:rPr>
              <w:t xml:space="preserve">674 imágenes; ensamble de cinco modelos de aprendizaje profundo en votación secuencial; aplicación web</w:t>
            </w:r>
          </w:p>
        </w:tc>
        <w:tc>
          <w:tcPr>
            <w:tcW w:w="1700" w:type="dxa"/>
            <w:vAlign w:val="top"/>
          </w:tcPr>
          <w:p>
            <w:pPr>
              <w:spacing w:before="20" w:after="20" w:line="240" w:lineRule="auto"/>
            </w:pPr>
            <w:r>
              <w:rPr>
                <w:sz w:val="18"/>
                <w:szCs w:val="18"/>
              </w:rPr>
              <w:t xml:space="preserve">Exactitud 99,03 %</w:t>
            </w:r>
          </w:p>
        </w:tc>
      </w:tr>
      <w:tr>
        <w:trPr>
          <w:cantSplit/>
        </w:trPr>
        <w:tc>
          <w:tcPr>
            <w:tcW w:w="1700" w:type="dxa"/>
            <w:vAlign w:val="top"/>
          </w:tcPr>
          <w:p>
            <w:pPr>
              <w:spacing w:before="20" w:after="20" w:line="240" w:lineRule="auto"/>
            </w:pPr>
            <w:r>
              <w:rPr>
                <w:b/>
                <w:bCs/>
                <w:sz w:val="18"/>
                <w:szCs w:val="18"/>
              </w:rPr>
              <w:t xml:space="preserve">Estrada et al. (2026)</w:t>
            </w:r>
          </w:p>
        </w:tc>
        <w:tc>
          <w:tcPr>
            <w:tcW w:w="900" w:type="dxa"/>
            <w:vAlign w:val="top"/>
          </w:tcPr>
          <w:p>
            <w:pPr>
              <w:spacing w:before="20" w:after="20" w:line="240" w:lineRule="auto"/>
            </w:pPr>
            <w:r>
              <w:rPr>
                <w:sz w:val="18"/>
                <w:szCs w:val="18"/>
              </w:rPr>
              <w:t xml:space="preserve">Hoja</w:t>
            </w:r>
          </w:p>
        </w:tc>
        <w:tc>
          <w:tcPr>
            <w:tcW w:w="1700" w:type="dxa"/>
            <w:vAlign w:val="top"/>
          </w:tcPr>
          <w:p>
            <w:pPr>
              <w:spacing w:before="20" w:after="20" w:line="240" w:lineRule="auto"/>
            </w:pPr>
            <w:r>
              <w:rPr>
                <w:sz w:val="18"/>
                <w:szCs w:val="18"/>
              </w:rPr>
              <w:t xml:space="preserve">Estado de deshidratación (estrés hídrico)</w:t>
            </w:r>
          </w:p>
        </w:tc>
        <w:tc>
          <w:tcPr>
            <w:tcW w:w="2838" w:type="dxa"/>
            <w:vAlign w:val="top"/>
          </w:tcPr>
          <w:p>
            <w:pPr>
              <w:spacing w:before="20" w:after="20" w:line="240" w:lineRule="auto"/>
            </w:pPr>
            <w:r>
              <w:rPr>
                <w:sz w:val="18"/>
                <w:szCs w:val="18"/>
              </w:rPr>
              <w:t xml:space="preserve">Imágenes multiespectrales; ResNet18, MobileNetV3 y ConvNeXt-Tiny</w:t>
            </w:r>
          </w:p>
        </w:tc>
        <w:tc>
          <w:tcPr>
            <w:tcW w:w="1700" w:type="dxa"/>
            <w:vAlign w:val="top"/>
          </w:tcPr>
          <w:p>
            <w:pPr>
              <w:spacing w:before="20" w:after="20" w:line="240" w:lineRule="auto"/>
            </w:pPr>
            <w:r>
              <w:rPr>
                <w:sz w:val="18"/>
                <w:szCs w:val="18"/>
              </w:rPr>
              <w:t xml:space="preserve">Exactitud 0,99 (ResNet18)</w:t>
            </w:r>
          </w:p>
        </w:tc>
      </w:tr>
      <w:tr>
        <w:trPr>
          <w:cantSplit/>
        </w:trPr>
        <w:tc>
          <w:tcPr>
            <w:tcW w:w="1700" w:type="dxa"/>
            <w:vAlign w:val="top"/>
          </w:tcPr>
          <w:p>
            <w:pPr>
              <w:spacing w:before="20" w:after="20" w:line="240" w:lineRule="auto"/>
            </w:pPr>
            <w:r>
              <w:rPr>
                <w:b/>
                <w:bCs/>
                <w:sz w:val="18"/>
                <w:szCs w:val="18"/>
              </w:rPr>
              <w:t xml:space="preserve">Xavier et al. (2024)</w:t>
            </w:r>
          </w:p>
        </w:tc>
        <w:tc>
          <w:tcPr>
            <w:tcW w:w="900" w:type="dxa"/>
            <w:vAlign w:val="top"/>
          </w:tcPr>
          <w:p>
            <w:pPr>
              <w:spacing w:before="20" w:after="20" w:line="240" w:lineRule="auto"/>
            </w:pPr>
            <w:r>
              <w:rPr>
                <w:sz w:val="18"/>
                <w:szCs w:val="18"/>
              </w:rPr>
              <w:t xml:space="preserve">Fruto</w:t>
            </w:r>
          </w:p>
        </w:tc>
        <w:tc>
          <w:tcPr>
            <w:tcW w:w="1700" w:type="dxa"/>
            <w:vAlign w:val="top"/>
          </w:tcPr>
          <w:p>
            <w:pPr>
              <w:spacing w:before="20" w:after="20" w:line="240" w:lineRule="auto"/>
            </w:pPr>
            <w:r>
              <w:rPr>
                <w:sz w:val="18"/>
                <w:szCs w:val="18"/>
              </w:rPr>
              <w:t xml:space="preserve">Etapa de maduración y vida útil</w:t>
            </w:r>
          </w:p>
        </w:tc>
        <w:tc>
          <w:tcPr>
            <w:tcW w:w="2838" w:type="dxa"/>
            <w:vAlign w:val="top"/>
          </w:tcPr>
          <w:p>
            <w:pPr>
              <w:spacing w:before="20" w:after="20" w:line="240" w:lineRule="auto"/>
            </w:pPr>
            <w:r>
              <w:rPr>
                <w:sz w:val="18"/>
                <w:szCs w:val="18"/>
              </w:rPr>
              <w:t xml:space="preserve">Fotografías diarias de 478 frutos; AlexNet y ResNet-18 con transferencia</w:t>
            </w:r>
          </w:p>
        </w:tc>
        <w:tc>
          <w:tcPr>
            <w:tcW w:w="1700" w:type="dxa"/>
            <w:vAlign w:val="top"/>
          </w:tcPr>
          <w:p>
            <w:pPr>
              <w:spacing w:before="20" w:after="20" w:line="240" w:lineRule="auto"/>
            </w:pPr>
            <w:r>
              <w:rPr>
                <w:sz w:val="18"/>
                <w:szCs w:val="18"/>
              </w:rPr>
              <w:t xml:space="preserve">Exactitud 88,8 %</w:t>
            </w:r>
          </w:p>
        </w:tc>
      </w:tr>
      <w:tr>
        <w:trPr>
          <w:cantSplit/>
        </w:trPr>
        <w:tc>
          <w:tcPr>
            <w:tcW w:w="1700" w:type="dxa"/>
            <w:vAlign w:val="top"/>
          </w:tcPr>
          <w:p>
            <w:pPr>
              <w:spacing w:before="20" w:after="20" w:line="240" w:lineRule="auto"/>
            </w:pPr>
            <w:r>
              <w:rPr>
                <w:b/>
                <w:bCs/>
                <w:sz w:val="18"/>
                <w:szCs w:val="18"/>
              </w:rPr>
              <w:t xml:space="preserve">Ovalle et al. (2026)</w:t>
            </w:r>
          </w:p>
        </w:tc>
        <w:tc>
          <w:tcPr>
            <w:tcW w:w="900" w:type="dxa"/>
            <w:vAlign w:val="top"/>
          </w:tcPr>
          <w:p>
            <w:pPr>
              <w:spacing w:before="20" w:after="20" w:line="240" w:lineRule="auto"/>
            </w:pPr>
            <w:r>
              <w:rPr>
                <w:sz w:val="18"/>
                <w:szCs w:val="18"/>
              </w:rPr>
              <w:t xml:space="preserve">Fruto</w:t>
            </w:r>
          </w:p>
        </w:tc>
        <w:tc>
          <w:tcPr>
            <w:tcW w:w="1700" w:type="dxa"/>
            <w:vAlign w:val="top"/>
          </w:tcPr>
          <w:p>
            <w:pPr>
              <w:spacing w:before="20" w:after="20" w:line="240" w:lineRule="auto"/>
            </w:pPr>
            <w:r>
              <w:rPr>
                <w:sz w:val="18"/>
                <w:szCs w:val="18"/>
              </w:rPr>
              <w:t xml:space="preserve">Madurez</w:t>
            </w:r>
          </w:p>
        </w:tc>
        <w:tc>
          <w:tcPr>
            <w:tcW w:w="2838" w:type="dxa"/>
            <w:vAlign w:val="top"/>
          </w:tcPr>
          <w:p>
            <w:pPr>
              <w:spacing w:before="20" w:after="20" w:line="240" w:lineRule="auto"/>
            </w:pPr>
            <w:r>
              <w:rPr>
                <w:sz w:val="18"/>
                <w:szCs w:val="18"/>
              </w:rPr>
              <w:t xml:space="preserve">Espectroscopía NIR; ensambles de aprendizaje automático</w:t>
            </w:r>
          </w:p>
        </w:tc>
        <w:tc>
          <w:tcPr>
            <w:tcW w:w="1700" w:type="dxa"/>
            <w:vAlign w:val="top"/>
          </w:tcPr>
          <w:p>
            <w:pPr>
              <w:spacing w:before="20" w:after="20" w:line="240" w:lineRule="auto"/>
            </w:pPr>
            <w:r>
              <w:rPr>
                <w:sz w:val="18"/>
                <w:szCs w:val="18"/>
              </w:rPr>
              <w:t xml:space="preserve">AUC 0,931</w:t>
            </w:r>
          </w:p>
        </w:tc>
      </w:tr>
      <w:tr>
        <w:trPr>
          <w:cantSplit/>
        </w:trPr>
        <w:tc>
          <w:tcPr>
            <w:tcW w:w="1700" w:type="dxa"/>
            <w:vAlign w:val="top"/>
          </w:tcPr>
          <w:p>
            <w:pPr>
              <w:spacing w:before="20" w:after="20" w:line="240" w:lineRule="auto"/>
            </w:pPr>
            <w:r>
              <w:rPr>
                <w:b/>
                <w:bCs/>
                <w:sz w:val="18"/>
                <w:szCs w:val="18"/>
              </w:rPr>
              <w:t xml:space="preserve">Ahmed et al. (2026)</w:t>
            </w:r>
          </w:p>
        </w:tc>
        <w:tc>
          <w:tcPr>
            <w:tcW w:w="900" w:type="dxa"/>
            <w:vAlign w:val="top"/>
          </w:tcPr>
          <w:p>
            <w:pPr>
              <w:spacing w:before="20" w:after="20" w:line="240" w:lineRule="auto"/>
            </w:pPr>
            <w:r>
              <w:rPr>
                <w:sz w:val="18"/>
                <w:szCs w:val="18"/>
              </w:rPr>
              <w:t xml:space="preserve">Fruto</w:t>
            </w:r>
          </w:p>
        </w:tc>
        <w:tc>
          <w:tcPr>
            <w:tcW w:w="1700" w:type="dxa"/>
            <w:vAlign w:val="top"/>
          </w:tcPr>
          <w:p>
            <w:pPr>
              <w:spacing w:before="20" w:after="20" w:line="240" w:lineRule="auto"/>
            </w:pPr>
            <w:r>
              <w:rPr>
                <w:sz w:val="18"/>
                <w:szCs w:val="18"/>
              </w:rPr>
              <w:t xml:space="preserve">Maduración con etiquetas ruidosas</w:t>
            </w:r>
          </w:p>
        </w:tc>
        <w:tc>
          <w:tcPr>
            <w:tcW w:w="2838" w:type="dxa"/>
            <w:vAlign w:val="top"/>
          </w:tcPr>
          <w:p>
            <w:pPr>
              <w:spacing w:before="20" w:after="20" w:line="240" w:lineRule="auto"/>
            </w:pPr>
            <w:r>
              <w:rPr>
                <w:sz w:val="18"/>
                <w:szCs w:val="18"/>
              </w:rPr>
              <w:t xml:space="preserve">Imágenes de microondas y fotográficas; función de pérdida híbrida</w:t>
            </w:r>
          </w:p>
        </w:tc>
        <w:tc>
          <w:tcPr>
            <w:tcW w:w="1700" w:type="dxa"/>
            <w:vAlign w:val="top"/>
          </w:tcPr>
          <w:p>
            <w:pPr>
              <w:spacing w:before="20" w:after="20" w:line="240" w:lineRule="auto"/>
            </w:pPr>
            <w:r>
              <w:rPr>
                <w:sz w:val="18"/>
                <w:szCs w:val="18"/>
              </w:rPr>
              <w:t xml:space="preserve">Mejora significativa frente a funciones de referencia</w:t>
            </w:r>
          </w:p>
        </w:tc>
      </w:tr>
      <w:tr>
        <w:trPr>
          <w:cantSplit/>
        </w:trPr>
        <w:tc>
          <w:tcPr>
            <w:tcW w:w="1700" w:type="dxa"/>
            <w:vAlign w:val="top"/>
          </w:tcPr>
          <w:p>
            <w:pPr>
              <w:spacing w:before="20" w:after="20" w:line="240" w:lineRule="auto"/>
            </w:pPr>
            <w:r>
              <w:rPr>
                <w:b/>
                <w:bCs/>
                <w:sz w:val="18"/>
                <w:szCs w:val="18"/>
              </w:rPr>
              <w:t xml:space="preserve">Vera et al. (2024)</w:t>
            </w:r>
          </w:p>
        </w:tc>
        <w:tc>
          <w:tcPr>
            <w:tcW w:w="900" w:type="dxa"/>
            <w:vAlign w:val="top"/>
          </w:tcPr>
          <w:p>
            <w:pPr>
              <w:spacing w:before="20" w:after="20" w:line="240" w:lineRule="auto"/>
            </w:pPr>
            <w:r>
              <w:rPr>
                <w:sz w:val="18"/>
                <w:szCs w:val="18"/>
              </w:rPr>
              <w:t xml:space="preserve">Fruto</w:t>
            </w:r>
          </w:p>
        </w:tc>
        <w:tc>
          <w:tcPr>
            <w:tcW w:w="1700" w:type="dxa"/>
            <w:vAlign w:val="top"/>
          </w:tcPr>
          <w:p>
            <w:pPr>
              <w:spacing w:before="20" w:after="20" w:line="240" w:lineRule="auto"/>
            </w:pPr>
            <w:r>
              <w:rPr>
                <w:sz w:val="18"/>
                <w:szCs w:val="18"/>
              </w:rPr>
              <w:t xml:space="preserve">Clasificación agroindustrial</w:t>
            </w:r>
          </w:p>
        </w:tc>
        <w:tc>
          <w:tcPr>
            <w:tcW w:w="2838" w:type="dxa"/>
            <w:vAlign w:val="top"/>
          </w:tcPr>
          <w:p>
            <w:pPr>
              <w:spacing w:before="20" w:after="20" w:line="240" w:lineRule="auto"/>
            </w:pPr>
            <w:r>
              <w:rPr>
                <w:sz w:val="18"/>
                <w:szCs w:val="18"/>
              </w:rPr>
              <w:t xml:space="preserve">346 imágenes de entrenamiento y 146 de prueba; DenseNet, ResNet50 y EfficientNet B4</w:t>
            </w:r>
          </w:p>
        </w:tc>
        <w:tc>
          <w:tcPr>
            <w:tcW w:w="1700" w:type="dxa"/>
            <w:vAlign w:val="top"/>
          </w:tcPr>
          <w:p>
            <w:pPr>
              <w:spacing w:before="20" w:after="20" w:line="240" w:lineRule="auto"/>
            </w:pPr>
            <w:r>
              <w:rPr>
                <w:sz w:val="18"/>
                <w:szCs w:val="18"/>
              </w:rPr>
              <w:t xml:space="preserve">F1 99,27 % (DenseNet)</w:t>
            </w:r>
          </w:p>
        </w:tc>
      </w:tr>
      <w:tr>
        <w:trPr>
          <w:cantSplit/>
        </w:trPr>
        <w:tc>
          <w:tcPr>
            <w:tcW w:w="1700" w:type="dxa"/>
            <w:vAlign w:val="top"/>
          </w:tcPr>
          <w:p>
            <w:pPr>
              <w:spacing w:before="20" w:after="20" w:line="240" w:lineRule="auto"/>
            </w:pPr>
            <w:r>
              <w:rPr>
                <w:b/>
                <w:bCs/>
                <w:sz w:val="18"/>
                <w:szCs w:val="18"/>
              </w:rPr>
              <w:t xml:space="preserve">Guelac-Santillan et al. (2026)</w:t>
            </w:r>
          </w:p>
        </w:tc>
        <w:tc>
          <w:tcPr>
            <w:tcW w:w="900" w:type="dxa"/>
            <w:vAlign w:val="top"/>
          </w:tcPr>
          <w:p>
            <w:pPr>
              <w:spacing w:before="20" w:after="20" w:line="240" w:lineRule="auto"/>
            </w:pPr>
            <w:r>
              <w:rPr>
                <w:sz w:val="18"/>
                <w:szCs w:val="18"/>
              </w:rPr>
              <w:t xml:space="preserve">Hoja (dosel)</w:t>
            </w:r>
          </w:p>
        </w:tc>
        <w:tc>
          <w:tcPr>
            <w:tcW w:w="1700" w:type="dxa"/>
            <w:vAlign w:val="top"/>
          </w:tcPr>
          <w:p>
            <w:pPr>
              <w:spacing w:before="20" w:after="20" w:line="240" w:lineRule="auto"/>
            </w:pPr>
            <w:r>
              <w:rPr>
                <w:sz w:val="18"/>
                <w:szCs w:val="18"/>
              </w:rPr>
              <w:t xml:space="preserve">Severidad de antracnosis</w:t>
            </w:r>
          </w:p>
        </w:tc>
        <w:tc>
          <w:tcPr>
            <w:tcW w:w="2838" w:type="dxa"/>
            <w:vAlign w:val="top"/>
          </w:tcPr>
          <w:p>
            <w:pPr>
              <w:spacing w:before="20" w:after="20" w:line="240" w:lineRule="auto"/>
            </w:pPr>
            <w:r>
              <w:rPr>
                <w:sz w:val="18"/>
                <w:szCs w:val="18"/>
              </w:rPr>
              <w:t xml:space="preserve">Índices de vegetación desde UAV, sin modelo de IA</w:t>
            </w:r>
          </w:p>
        </w:tc>
        <w:tc>
          <w:tcPr>
            <w:tcW w:w="1700" w:type="dxa"/>
            <w:vAlign w:val="top"/>
          </w:tcPr>
          <w:p>
            <w:pPr>
              <w:spacing w:before="20" w:after="20" w:line="240" w:lineRule="auto"/>
            </w:pPr>
            <w:r>
              <w:rPr>
                <w:sz w:val="18"/>
                <w:szCs w:val="18"/>
              </w:rPr>
              <w:t xml:space="preserve">Sin correlación significativa (p &gt; 0,05)</w:t>
            </w:r>
          </w:p>
        </w:tc>
      </w:tr>
    </w:tbl>
    <w:p>
      <w:pPr>
        <w:spacing w:before="40" w:after="200"/>
        <w:jc w:val="both"/>
      </w:pPr>
      <w:r>
        <w:rPr>
          <w:i/>
          <w:iCs/>
          <w:sz w:val="18"/>
          <w:szCs w:val="18"/>
        </w:rPr>
        <w:t xml:space="preserve">Nota.</w:t>
      </w:r>
      <w:r>
        <w:rPr>
          <w:sz w:val="18"/>
          <w:szCs w:val="18"/>
        </w:rPr>
        <w:t xml:space="preserve"> Elaboración propia a partir de los estudios citados. Ninguno de los trabajos recopilados aborda el tallo, las ramas o el tronco.</w:t>
      </w:r>
    </w:p>
    <w:p>
      <w:pPr>
        <w:keepNext/>
        <w:spacing w:before="200" w:after="100"/>
        <w:jc w:val="both"/>
      </w:pPr>
      <w:r>
        <w:rPr>
          <w:b/>
          <w:bCs/>
        </w:rPr>
        <w:t xml:space="preserve">2.5 Inteligencia artificial para la identificación de enfermedades vegetales</w:t>
      </w:r>
    </w:p>
    <w:p>
      <w:pPr>
        <w:keepNext/>
        <w:spacing w:before="160" w:after="80"/>
        <w:jc w:val="both"/>
      </w:pPr>
      <w:r>
        <w:rPr>
          <w:b/>
          <w:bCs/>
          <w:i/>
          <w:iCs/>
        </w:rPr>
        <w:t xml:space="preserve">2.5.1 Fundamentos: redes neuronales convolucionales y aprendizaje por transferencia</w:t>
      </w:r>
    </w:p>
    <w:p>
      <w:pPr>
        <w:jc w:val="both"/>
      </w:pPr>
      <w:r>
        <w:rPr/>
        <w:t xml:space="preserve">Las redes neuronales convolucionales (CNN) son el método de aprendizaje profundo más adoptado para detectar enfermedades de cultivos; procesan la imagen mediante capas convolucionales, de agrupamiento y totalmente conectadas, y entre las arquitecturas preentrenadas más usadas están VGG-Net, ResNet, MobileNet, Inception y DenseNet (Saini et al., 2026). En 150 estudios, Majdalawieh et al. (2025) contaron 49 que usaron CNN, 19 con aprendizaje automático clásico (SVM, KNN), 9 con Vision Transformers y 2 con modelos híbridos; los modelos profundos superaron a los clásicos porque estos dependen de descriptores diseñados a mano, y las CNN con aprendizaje por transferencia ofrecieron el mejor equilibrio entre desempeño y costo.</w:t>
      </w:r>
    </w:p>
    <w:p>
      <w:pPr>
        <w:ind w:firstLine="720"/>
        <w:jc w:val="both"/>
      </w:pPr>
      <w:r>
        <w:rPr/>
        <w:t xml:space="preserve">El aprendizaje por transferencia reutiliza modelos preentrenados para lograr una detección precisa con menos imágenes (Sajitha et al., 2024). El aumento de datos es casi una práctica estándar: 42 de los 72 estudios analizados por Odounfa et al. (2024) aplicaron transformaciones geométricas, de color o filtros. Los mismos autores observaron que no todos los modelos más usados son los de mejor desempeño, lo que aconseja comparar varias arquitecturas antes de elegir una.</w:t>
      </w:r>
    </w:p>
    <w:p>
      <w:pPr>
        <w:ind w:firstLine="720"/>
        <w:jc w:val="both"/>
      </w:pPr>
      <w:r>
        <w:rPr/>
        <w:t xml:space="preserve">La tarea también importa. La clasificación asigna una etiqueta a toda la imagen; la detección localiza los síntomas con cajas; y la segmentación delimita la lesión píxel a píxel. Odounfa et al. (2024) explican que, si una lesión está orientada en diagonal, la caja incluye áreas sanas, mientras que la segmentación se ajusta a su forma, aunque su anotación es más lenta y costosa. Esta observación es relevante para el tallo, donde las lesiones suelen ser alargadas.</w:t>
      </w:r>
    </w:p>
    <w:p>
      <w:pPr>
        <w:keepNext/>
        <w:spacing w:before="160" w:after="80"/>
        <w:jc w:val="both"/>
      </w:pPr>
      <w:r>
        <w:rPr>
          <w:b/>
          <w:bCs/>
          <w:i/>
          <w:iCs/>
        </w:rPr>
        <w:t xml:space="preserve">2.5.2 Conjuntos de datos y brecha entre laboratorio y campo</w:t>
      </w:r>
    </w:p>
    <w:p>
      <w:pPr>
        <w:jc w:val="both"/>
      </w:pPr>
      <w:r>
        <w:rPr/>
        <w:t xml:space="preserve">Los conjuntos de datos determinan el desempeño de los modelos. La Tabla 5 compara los conjuntos públicos más citados en las fuentes recopiladas.</w:t>
      </w:r>
    </w:p>
    <w:p>
      <w:pPr>
        <w:keepNext/>
        <w:spacing w:before="160" w:after="80"/>
      </w:pPr>
      <w:r>
        <w:rPr>
          <w:b/>
          <w:bCs/>
          <w:sz w:val="20"/>
          <w:szCs w:val="20"/>
        </w:rPr>
        <w:t xml:space="preserve">Tabla 5.</w:t>
      </w:r>
      <w:r>
        <w:rPr>
          <w:sz w:val="20"/>
          <w:szCs w:val="20"/>
        </w:rPr>
        <w:t xml:space="preserve"> </w:t>
      </w:r>
      <w:r>
        <w:rPr>
          <w:i/>
          <w:iCs/>
          <w:sz w:val="20"/>
          <w:szCs w:val="20"/>
        </w:rPr>
        <w:t xml:space="preserve">Conjuntos de datos de enfermedades vegetales citados en las revisiones recopiladas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700"/>
        <w:gridCol w:w="1000"/>
        <w:gridCol w:w="1300"/>
        <w:gridCol w:w="2000"/>
        <w:gridCol w:w="2838"/>
      </w:tblGrid>
      <w:tr>
        <w:trPr>
          <w:tblHeader/>
          <w:cantSplit/>
        </w:trPr>
        <w:tc>
          <w:tcPr>
            <w:tcW w:w="1700" w:type="dxa"/>
            <w:shd w:val="clear" w:color="auto" w:fill="D9E2F3"/>
            <w:vAlign w:val="center"/>
          </w:tcPr>
          <w:p>
            <w:pPr>
              <w:keepNext/>
              <w:spacing w:before="20" w:after="20" w:line="240" w:lineRule="auto"/>
              <w:jc w:val="center"/>
            </w:pPr>
            <w:r>
              <w:rPr>
                <w:b/>
                <w:bCs/>
                <w:sz w:val="18"/>
                <w:szCs w:val="18"/>
              </w:rPr>
              <w:t xml:space="preserve">Conjunto</w:t>
            </w:r>
          </w:p>
        </w:tc>
        <w:tc>
          <w:tcPr>
            <w:tcW w:w="1000" w:type="dxa"/>
            <w:shd w:val="clear" w:color="auto" w:fill="D9E2F3"/>
            <w:vAlign w:val="center"/>
          </w:tcPr>
          <w:p>
            <w:pPr>
              <w:keepNext/>
              <w:spacing w:before="20" w:after="20" w:line="240" w:lineRule="auto"/>
              <w:jc w:val="center"/>
            </w:pPr>
            <w:r>
              <w:rPr>
                <w:b/>
                <w:bCs/>
                <w:sz w:val="18"/>
                <w:szCs w:val="18"/>
              </w:rPr>
              <w:t xml:space="preserve">Imágenes</w:t>
            </w:r>
          </w:p>
        </w:tc>
        <w:tc>
          <w:tcPr>
            <w:tcW w:w="1300" w:type="dxa"/>
            <w:shd w:val="clear" w:color="auto" w:fill="D9E2F3"/>
            <w:vAlign w:val="center"/>
          </w:tcPr>
          <w:p>
            <w:pPr>
              <w:keepNext/>
              <w:spacing w:before="20" w:after="20" w:line="240" w:lineRule="auto"/>
              <w:jc w:val="center"/>
            </w:pPr>
            <w:r>
              <w:rPr>
                <w:b/>
                <w:bCs/>
                <w:sz w:val="18"/>
                <w:szCs w:val="18"/>
              </w:rPr>
              <w:t xml:space="preserve">Clases</w:t>
            </w:r>
          </w:p>
        </w:tc>
        <w:tc>
          <w:tcPr>
            <w:tcW w:w="2000" w:type="dxa"/>
            <w:shd w:val="clear" w:color="auto" w:fill="D9E2F3"/>
            <w:vAlign w:val="center"/>
          </w:tcPr>
          <w:p>
            <w:pPr>
              <w:keepNext/>
              <w:spacing w:before="20" w:after="20" w:line="240" w:lineRule="auto"/>
              <w:jc w:val="center"/>
            </w:pPr>
            <w:r>
              <w:rPr>
                <w:b/>
                <w:bCs/>
                <w:sz w:val="18"/>
                <w:szCs w:val="18"/>
              </w:rPr>
              <w:t xml:space="preserve">Condiciones de captura</w:t>
            </w:r>
          </w:p>
        </w:tc>
        <w:tc>
          <w:tcPr>
            <w:tcW w:w="2838" w:type="dxa"/>
            <w:shd w:val="clear" w:color="auto" w:fill="D9E2F3"/>
            <w:vAlign w:val="center"/>
          </w:tcPr>
          <w:p>
            <w:pPr>
              <w:keepNext/>
              <w:spacing w:before="20" w:after="20" w:line="240" w:lineRule="auto"/>
              <w:jc w:val="center"/>
            </w:pPr>
            <w:r>
              <w:rPr>
                <w:b/>
                <w:bCs/>
                <w:sz w:val="18"/>
                <w:szCs w:val="18"/>
              </w:rPr>
              <w:t xml:space="preserve">Observaciones</w:t>
            </w:r>
          </w:p>
        </w:tc>
      </w:tr>
      <w:tr>
        <w:trPr>
          <w:cantSplit/>
        </w:trPr>
        <w:tc>
          <w:tcPr>
            <w:tcW w:w="1700" w:type="dxa"/>
            <w:vAlign w:val="top"/>
          </w:tcPr>
          <w:p>
            <w:pPr>
              <w:spacing w:before="20" w:after="20" w:line="240" w:lineRule="auto"/>
            </w:pPr>
            <w:r>
              <w:rPr>
                <w:b/>
                <w:bCs/>
                <w:sz w:val="18"/>
                <w:szCs w:val="18"/>
              </w:rPr>
              <w:t xml:space="preserve">PlantVillage</w:t>
            </w:r>
          </w:p>
        </w:tc>
        <w:tc>
          <w:tcPr>
            <w:tcW w:w="1000" w:type="dxa"/>
            <w:vAlign w:val="top"/>
          </w:tcPr>
          <w:p>
            <w:pPr>
              <w:spacing w:before="20" w:after="20" w:line="240" w:lineRule="auto"/>
            </w:pPr>
            <w:r>
              <w:rPr>
                <w:sz w:val="18"/>
                <w:szCs w:val="18"/>
              </w:rPr>
              <w:t xml:space="preserve">54 309</w:t>
            </w:r>
          </w:p>
        </w:tc>
        <w:tc>
          <w:tcPr>
            <w:tcW w:w="1300" w:type="dxa"/>
            <w:vAlign w:val="top"/>
          </w:tcPr>
          <w:p>
            <w:pPr>
              <w:spacing w:before="20" w:after="20" w:line="240" w:lineRule="auto"/>
            </w:pPr>
            <w:r>
              <w:rPr>
                <w:sz w:val="18"/>
                <w:szCs w:val="18"/>
              </w:rPr>
              <w:t xml:space="preserve">38</w:t>
            </w:r>
          </w:p>
        </w:tc>
        <w:tc>
          <w:tcPr>
            <w:tcW w:w="2000" w:type="dxa"/>
            <w:vAlign w:val="top"/>
          </w:tcPr>
          <w:p>
            <w:pPr>
              <w:spacing w:before="20" w:after="20" w:line="240" w:lineRule="auto"/>
            </w:pPr>
            <w:r>
              <w:rPr>
                <w:sz w:val="18"/>
                <w:szCs w:val="18"/>
              </w:rPr>
              <w:t xml:space="preserve">Laboratorio, fondos uniformes</w:t>
            </w:r>
          </w:p>
        </w:tc>
        <w:tc>
          <w:tcPr>
            <w:tcW w:w="2838" w:type="dxa"/>
            <w:vAlign w:val="top"/>
          </w:tcPr>
          <w:p>
            <w:pPr>
              <w:spacing w:before="20" w:after="20" w:line="240" w:lineRule="auto"/>
            </w:pPr>
            <w:r>
              <w:rPr>
                <w:sz w:val="18"/>
                <w:szCs w:val="18"/>
              </w:rPr>
              <w:t xml:space="preserve">El más usado (36 de 150 estudios); riesgo de sobreajuste a condiciones controladas.</w:t>
            </w:r>
          </w:p>
        </w:tc>
      </w:tr>
      <w:tr>
        <w:trPr>
          <w:cantSplit/>
        </w:trPr>
        <w:tc>
          <w:tcPr>
            <w:tcW w:w="1700" w:type="dxa"/>
            <w:vAlign w:val="top"/>
          </w:tcPr>
          <w:p>
            <w:pPr>
              <w:spacing w:before="20" w:after="20" w:line="240" w:lineRule="auto"/>
            </w:pPr>
            <w:r>
              <w:rPr>
                <w:b/>
                <w:bCs/>
                <w:sz w:val="18"/>
                <w:szCs w:val="18"/>
              </w:rPr>
              <w:t xml:space="preserve">PlantDoc</w:t>
            </w:r>
          </w:p>
        </w:tc>
        <w:tc>
          <w:tcPr>
            <w:tcW w:w="1000" w:type="dxa"/>
            <w:vAlign w:val="top"/>
          </w:tcPr>
          <w:p>
            <w:pPr>
              <w:spacing w:before="20" w:after="20" w:line="240" w:lineRule="auto"/>
            </w:pPr>
            <w:r>
              <w:rPr>
                <w:sz w:val="18"/>
                <w:szCs w:val="18"/>
              </w:rPr>
              <w:t xml:space="preserve">2 598</w:t>
            </w:r>
          </w:p>
        </w:tc>
        <w:tc>
          <w:tcPr>
            <w:tcW w:w="1300" w:type="dxa"/>
            <w:vAlign w:val="top"/>
          </w:tcPr>
          <w:p>
            <w:pPr>
              <w:spacing w:before="20" w:after="20" w:line="240" w:lineRule="auto"/>
            </w:pPr>
            <w:r>
              <w:rPr>
                <w:sz w:val="18"/>
                <w:szCs w:val="18"/>
              </w:rPr>
              <w:t xml:space="preserve">17 (13 especies)</w:t>
            </w:r>
          </w:p>
        </w:tc>
        <w:tc>
          <w:tcPr>
            <w:tcW w:w="2000" w:type="dxa"/>
            <w:vAlign w:val="top"/>
          </w:tcPr>
          <w:p>
            <w:pPr>
              <w:spacing w:before="20" w:after="20" w:line="240" w:lineRule="auto"/>
            </w:pPr>
            <w:r>
              <w:rPr>
                <w:sz w:val="18"/>
                <w:szCs w:val="18"/>
              </w:rPr>
              <w:t xml:space="preserve">Entornos reales (imágenes reunidas de Internet)</w:t>
            </w:r>
          </w:p>
        </w:tc>
        <w:tc>
          <w:tcPr>
            <w:tcW w:w="2838" w:type="dxa"/>
            <w:vAlign w:val="top"/>
          </w:tcPr>
          <w:p>
            <w:pPr>
              <w:spacing w:before="20" w:after="20" w:line="240" w:lineRule="auto"/>
            </w:pPr>
            <w:r>
              <w:rPr>
                <w:sz w:val="18"/>
                <w:szCs w:val="18"/>
              </w:rPr>
              <w:t xml:space="preserve">Más diverso, pero con algunas enfermedades mal clasificadas.</w:t>
            </w:r>
          </w:p>
        </w:tc>
      </w:tr>
      <w:tr>
        <w:trPr>
          <w:cantSplit/>
        </w:trPr>
        <w:tc>
          <w:tcPr>
            <w:tcW w:w="1700" w:type="dxa"/>
            <w:vAlign w:val="top"/>
          </w:tcPr>
          <w:p>
            <w:pPr>
              <w:spacing w:before="20" w:after="20" w:line="240" w:lineRule="auto"/>
            </w:pPr>
            <w:r>
              <w:rPr>
                <w:b/>
                <w:bCs/>
                <w:sz w:val="18"/>
                <w:szCs w:val="18"/>
              </w:rPr>
              <w:t xml:space="preserve">PDD271</w:t>
            </w:r>
          </w:p>
        </w:tc>
        <w:tc>
          <w:tcPr>
            <w:tcW w:w="1000" w:type="dxa"/>
            <w:vAlign w:val="top"/>
          </w:tcPr>
          <w:p>
            <w:pPr>
              <w:spacing w:before="20" w:after="20" w:line="240" w:lineRule="auto"/>
            </w:pPr>
            <w:r>
              <w:rPr>
                <w:sz w:val="18"/>
                <w:szCs w:val="18"/>
              </w:rPr>
              <w:t xml:space="preserve">220 592</w:t>
            </w:r>
          </w:p>
        </w:tc>
        <w:tc>
          <w:tcPr>
            <w:tcW w:w="1300" w:type="dxa"/>
            <w:vAlign w:val="top"/>
          </w:tcPr>
          <w:p>
            <w:pPr>
              <w:spacing w:before="20" w:after="20" w:line="240" w:lineRule="auto"/>
            </w:pPr>
            <w:r>
              <w:rPr>
                <w:sz w:val="18"/>
                <w:szCs w:val="18"/>
              </w:rPr>
              <w:t xml:space="preserve">271</w:t>
            </w:r>
          </w:p>
        </w:tc>
        <w:tc>
          <w:tcPr>
            <w:tcW w:w="2000" w:type="dxa"/>
            <w:vAlign w:val="top"/>
          </w:tcPr>
          <w:p>
            <w:pPr>
              <w:spacing w:before="20" w:after="20" w:line="240" w:lineRule="auto"/>
            </w:pPr>
            <w:r>
              <w:rPr>
                <w:sz w:val="18"/>
                <w:szCs w:val="18"/>
              </w:rPr>
              <w:t xml:space="preserve">Campo (frutales, hortalizas y cultivos extensivos)</w:t>
            </w:r>
          </w:p>
        </w:tc>
        <w:tc>
          <w:tcPr>
            <w:tcW w:w="2838" w:type="dxa"/>
            <w:vAlign w:val="top"/>
          </w:tcPr>
          <w:p>
            <w:pPr>
              <w:spacing w:before="20" w:after="20" w:line="240" w:lineRule="auto"/>
            </w:pPr>
            <w:r>
              <w:rPr>
                <w:sz w:val="18"/>
                <w:szCs w:val="18"/>
              </w:rPr>
              <w:t xml:space="preserve">Desbalance: las 20 clases principales reúnen más del 50 % de las imágenes.</w:t>
            </w:r>
          </w:p>
        </w:tc>
      </w:tr>
      <w:tr>
        <w:trPr>
          <w:cantSplit/>
        </w:trPr>
        <w:tc>
          <w:tcPr>
            <w:tcW w:w="1700" w:type="dxa"/>
            <w:vAlign w:val="top"/>
          </w:tcPr>
          <w:p>
            <w:pPr>
              <w:spacing w:before="20" w:after="20" w:line="240" w:lineRule="auto"/>
            </w:pPr>
            <w:r>
              <w:rPr>
                <w:b/>
                <w:bCs/>
                <w:sz w:val="18"/>
                <w:szCs w:val="18"/>
              </w:rPr>
              <w:t xml:space="preserve">CCMT</w:t>
            </w:r>
          </w:p>
        </w:tc>
        <w:tc>
          <w:tcPr>
            <w:tcW w:w="1000" w:type="dxa"/>
            <w:vAlign w:val="top"/>
          </w:tcPr>
          <w:p>
            <w:pPr>
              <w:spacing w:before="20" w:after="20" w:line="240" w:lineRule="auto"/>
            </w:pPr>
            <w:r>
              <w:rPr>
                <w:sz w:val="18"/>
                <w:szCs w:val="18"/>
              </w:rPr>
              <w:t xml:space="preserve">102 976</w:t>
            </w:r>
          </w:p>
        </w:tc>
        <w:tc>
          <w:tcPr>
            <w:tcW w:w="1300" w:type="dxa"/>
            <w:vAlign w:val="top"/>
          </w:tcPr>
          <w:p>
            <w:pPr>
              <w:spacing w:before="20" w:after="20" w:line="240" w:lineRule="auto"/>
            </w:pPr>
            <w:r>
              <w:rPr>
                <w:sz w:val="18"/>
                <w:szCs w:val="18"/>
              </w:rPr>
              <w:t xml:space="preserve">22</w:t>
            </w:r>
          </w:p>
        </w:tc>
        <w:tc>
          <w:tcPr>
            <w:tcW w:w="2000" w:type="dxa"/>
            <w:vAlign w:val="top"/>
          </w:tcPr>
          <w:p>
            <w:pPr>
              <w:spacing w:before="20" w:after="20" w:line="240" w:lineRule="auto"/>
            </w:pPr>
            <w:r>
              <w:rPr>
                <w:sz w:val="18"/>
                <w:szCs w:val="18"/>
              </w:rPr>
              <w:t xml:space="preserve">Marañón, yuca, maíz y tomate</w:t>
            </w:r>
          </w:p>
        </w:tc>
        <w:tc>
          <w:tcPr>
            <w:tcW w:w="2838" w:type="dxa"/>
            <w:vAlign w:val="top"/>
          </w:tcPr>
          <w:p>
            <w:pPr>
              <w:spacing w:before="20" w:after="20" w:line="240" w:lineRule="auto"/>
            </w:pPr>
            <w:r>
              <w:rPr>
                <w:sz w:val="18"/>
                <w:szCs w:val="18"/>
              </w:rPr>
              <w:t xml:space="preserve">Orientado a aplicaciones de reconocimiento y detección.</w:t>
            </w:r>
          </w:p>
        </w:tc>
      </w:tr>
      <w:tr>
        <w:trPr>
          <w:cantSplit/>
        </w:trPr>
        <w:tc>
          <w:tcPr>
            <w:tcW w:w="1700" w:type="dxa"/>
            <w:vAlign w:val="top"/>
          </w:tcPr>
          <w:p>
            <w:pPr>
              <w:spacing w:before="20" w:after="20" w:line="240" w:lineRule="auto"/>
            </w:pPr>
            <w:r>
              <w:rPr>
                <w:b/>
                <w:bCs/>
                <w:sz w:val="18"/>
                <w:szCs w:val="18"/>
              </w:rPr>
              <w:t xml:space="preserve">Plant Pathology 2021-FGVC8</w:t>
            </w:r>
          </w:p>
        </w:tc>
        <w:tc>
          <w:tcPr>
            <w:tcW w:w="1000" w:type="dxa"/>
            <w:vAlign w:val="top"/>
          </w:tcPr>
          <w:p>
            <w:pPr>
              <w:spacing w:before="20" w:after="20" w:line="240" w:lineRule="auto"/>
            </w:pPr>
            <w:r>
              <w:rPr>
                <w:sz w:val="18"/>
                <w:szCs w:val="18"/>
              </w:rPr>
              <w:t xml:space="preserve">18 632</w:t>
            </w:r>
          </w:p>
        </w:tc>
        <w:tc>
          <w:tcPr>
            <w:tcW w:w="1300" w:type="dxa"/>
            <w:vAlign w:val="top"/>
          </w:tcPr>
          <w:p>
            <w:pPr>
              <w:spacing w:before="20" w:after="20" w:line="240" w:lineRule="auto"/>
            </w:pPr>
            <w:r>
              <w:rPr>
                <w:sz w:val="18"/>
                <w:szCs w:val="18"/>
              </w:rPr>
              <w:t xml:space="preserve">5 tipos de enfermedad</w:t>
            </w:r>
          </w:p>
        </w:tc>
        <w:tc>
          <w:tcPr>
            <w:tcW w:w="2000" w:type="dxa"/>
            <w:vAlign w:val="top"/>
          </w:tcPr>
          <w:p>
            <w:pPr>
              <w:spacing w:before="20" w:after="20" w:line="240" w:lineRule="auto"/>
            </w:pPr>
            <w:r>
              <w:rPr>
                <w:sz w:val="18"/>
                <w:szCs w:val="18"/>
              </w:rPr>
              <w:t xml:space="preserve">No se detalla</w:t>
            </w:r>
          </w:p>
        </w:tc>
        <w:tc>
          <w:tcPr>
            <w:tcW w:w="2838" w:type="dxa"/>
            <w:vAlign w:val="top"/>
          </w:tcPr>
          <w:p>
            <w:pPr>
              <w:spacing w:before="20" w:after="20" w:line="240" w:lineRule="auto"/>
            </w:pPr>
            <w:r>
              <w:rPr>
                <w:sz w:val="18"/>
                <w:szCs w:val="18"/>
              </w:rPr>
              <w:t xml:space="preserve">Listado entre los conjuntos públicos de la revisión sobre destilación.</w:t>
            </w:r>
          </w:p>
        </w:tc>
      </w:tr>
      <w:tr>
        <w:trPr>
          <w:cantSplit/>
        </w:trPr>
        <w:tc>
          <w:tcPr>
            <w:tcW w:w="1700" w:type="dxa"/>
            <w:vAlign w:val="top"/>
          </w:tcPr>
          <w:p>
            <w:pPr>
              <w:spacing w:before="20" w:after="20" w:line="240" w:lineRule="auto"/>
            </w:pPr>
            <w:r>
              <w:rPr>
                <w:b/>
                <w:bCs/>
                <w:sz w:val="18"/>
                <w:szCs w:val="18"/>
              </w:rPr>
              <w:t xml:space="preserve">Conjuntos propios de campo</w:t>
            </w:r>
          </w:p>
        </w:tc>
        <w:tc>
          <w:tcPr>
            <w:tcW w:w="1000" w:type="dxa"/>
            <w:vAlign w:val="top"/>
          </w:tcPr>
          <w:p>
            <w:pPr>
              <w:spacing w:before="20" w:after="20" w:line="240" w:lineRule="auto"/>
            </w:pPr>
            <w:r>
              <w:rPr>
                <w:sz w:val="18"/>
                <w:szCs w:val="18"/>
              </w:rPr>
              <w:t xml:space="preserve">Variable</w:t>
            </w:r>
          </w:p>
        </w:tc>
        <w:tc>
          <w:tcPr>
            <w:tcW w:w="1300" w:type="dxa"/>
            <w:vAlign w:val="top"/>
          </w:tcPr>
          <w:p>
            <w:pPr>
              <w:spacing w:before="20" w:after="20" w:line="240" w:lineRule="auto"/>
            </w:pPr>
            <w:r>
              <w:rPr>
                <w:sz w:val="18"/>
                <w:szCs w:val="18"/>
              </w:rPr>
              <w:t xml:space="preserve">Variable</w:t>
            </w:r>
          </w:p>
        </w:tc>
        <w:tc>
          <w:tcPr>
            <w:tcW w:w="2000" w:type="dxa"/>
            <w:vAlign w:val="top"/>
          </w:tcPr>
          <w:p>
            <w:pPr>
              <w:spacing w:before="20" w:after="20" w:line="240" w:lineRule="auto"/>
            </w:pPr>
            <w:r>
              <w:rPr>
                <w:sz w:val="18"/>
                <w:szCs w:val="18"/>
              </w:rPr>
              <w:t xml:space="preserve">Campo, protocolos propios</w:t>
            </w:r>
          </w:p>
        </w:tc>
        <w:tc>
          <w:tcPr>
            <w:tcW w:w="2838" w:type="dxa"/>
            <w:vAlign w:val="top"/>
          </w:tcPr>
          <w:p>
            <w:pPr>
              <w:spacing w:before="20" w:after="20" w:line="240" w:lineRule="auto"/>
            </w:pPr>
            <w:r>
              <w:rPr>
                <w:sz w:val="18"/>
                <w:szCs w:val="18"/>
              </w:rPr>
              <w:t xml:space="preserve">Predominan en los estudios recientes, pero su alcance limitado dificulta la reproducibilidad y la comparación.</w:t>
            </w:r>
          </w:p>
        </w:tc>
      </w:tr>
    </w:tbl>
    <w:p>
      <w:pPr>
        <w:spacing w:before="40" w:after="200"/>
        <w:jc w:val="both"/>
      </w:pPr>
      <w:r>
        <w:rPr>
          <w:i/>
          <w:iCs/>
          <w:sz w:val="18"/>
          <w:szCs w:val="18"/>
        </w:rPr>
        <w:t xml:space="preserve">Nota.</w:t>
      </w:r>
      <w:r>
        <w:rPr>
          <w:sz w:val="18"/>
          <w:szCs w:val="18"/>
        </w:rPr>
        <w:t xml:space="preserve"> Elaboración propia a partir de Lin et al. (2026), Majdalawieh et al. (2025), Odounfa et al. (2024), Saini et al. (2026) y Sajitha et al. (2024). Ninguno de los conjuntos incluye imágenes de tallos de aguacate.</w:t>
      </w:r>
    </w:p>
    <w:p>
      <w:pPr>
        <w:ind w:firstLine="720"/>
        <w:jc w:val="both"/>
      </w:pPr>
      <w:r>
        <w:rPr/>
        <w:t xml:space="preserve">El problema central es la brecha entre laboratorio y campo. Las CNN entrenadas con PlantVillage suelen superar el 98 % de exactitud en validación, pero bajan a 70–80 % con imágenes de campo por el fondo, los cambios de iluminación, la oclusión y el clima (Saini et al., 2026). En la destilación de conocimiento ocurre lo mismo: la clasificación en laboratorio está cerca de la saturación, pero la retención de desempeño cae, a menudo por debajo del 85 %, al pasar a datos de campo (Lin et al., 2026). Majdalawieh et al. (2025) añaden que el tamaño del conjunto no se correlaciona significativamente con la exactitud, porque la calidad, la anotación y la diversidad pesan tanto como la cantidad.</w:t>
      </w:r>
    </w:p>
    <w:p>
      <w:pPr>
        <w:ind w:firstLine="720"/>
        <w:jc w:val="both"/>
      </w:pPr>
      <w:r>
        <w:rPr/>
        <w:t xml:space="preserve">Las fuentes recopiladas describen además otros sesgos y problemas de los datos:</w:t>
      </w:r>
    </w:p>
    <w:p>
      <w:pPr>
        <w:pStyle w:val="Prrafodelista"/>
        <w:numPr>
          <w:ilvl w:val="0"/>
          <w:numId w:val="24"/>
        </w:numPr>
        <w:spacing w:after="60"/>
        <w:ind w:left="714" w:hanging="357"/>
        <w:contextualSpacing w:val="0"/>
        <w:jc w:val="both"/>
      </w:pPr>
      <w:r>
        <w:rPr>
          <w:b/>
          <w:bCs/>
        </w:rPr>
        <w:t xml:space="preserve">Sesgo geográfico y de cultivos.</w:t>
      </w:r>
      <w:r>
        <w:rPr/>
        <w:t xml:space="preserve"> India (30 estudios) y China (15) concentran el origen de los datos, y el tomate (31 estudios) y el arroz (18) dominan la investigación (Majdalawieh et al., 2025); en hortalizas, India y China suman el 27,27 % y el 19,70 % de los estudios (Odounfa et al., 2024).</w:t>
      </w:r>
    </w:p>
    <w:p>
      <w:pPr>
        <w:pStyle w:val="Prrafodelista"/>
        <w:numPr>
          <w:ilvl w:val="0"/>
          <w:numId w:val="24"/>
        </w:numPr>
        <w:spacing w:after="60"/>
        <w:ind w:left="714" w:hanging="357"/>
        <w:contextualSpacing w:val="0"/>
        <w:jc w:val="both"/>
      </w:pPr>
      <w:r>
        <w:rPr>
          <w:b/>
          <w:bCs/>
        </w:rPr>
        <w:t xml:space="preserve">Calidad de las etiquetas.</w:t>
      </w:r>
      <w:r>
        <w:rPr/>
        <w:t xml:space="preserve"> Un 5 % de imágenes mal etiquetadas puede reducir la exactitud entre 3 y 6 % y aumentar la confusión entre enfermedades parecidas (Saini et al., 2026).</w:t>
      </w:r>
    </w:p>
    <w:p>
      <w:pPr>
        <w:pStyle w:val="Prrafodelista"/>
        <w:numPr>
          <w:ilvl w:val="0"/>
          <w:numId w:val="24"/>
        </w:numPr>
        <w:spacing w:after="60"/>
        <w:ind w:left="714" w:hanging="357"/>
        <w:contextualSpacing w:val="0"/>
        <w:jc w:val="both"/>
      </w:pPr>
      <w:r>
        <w:rPr>
          <w:b/>
          <w:bCs/>
        </w:rPr>
        <w:t xml:space="preserve">Desbalance de clases.</w:t>
      </w:r>
      <w:r>
        <w:rPr/>
        <w:t xml:space="preserve"> Los modelos entrenados con clases desbalanceadas muestran diferencias de 8 a 15 puntos porcentuales de F1 entre las clases mayoritarias y las minoritarias (Saini et al., 2026).</w:t>
      </w:r>
    </w:p>
    <w:p>
      <w:pPr>
        <w:pStyle w:val="Prrafodelista"/>
        <w:numPr>
          <w:ilvl w:val="0"/>
          <w:numId w:val="24"/>
        </w:numPr>
        <w:spacing w:after="60"/>
        <w:ind w:left="714" w:hanging="357"/>
        <w:contextualSpacing w:val="0"/>
        <w:jc w:val="both"/>
      </w:pPr>
      <w:r>
        <w:rPr>
          <w:b/>
          <w:bCs/>
        </w:rPr>
        <w:t xml:space="preserve">Falta de metadatos.</w:t>
      </w:r>
      <w:r>
        <w:rPr/>
        <w:t xml:space="preserve"> Muchos conjuntos solo traen la etiqueta, sin variedad, etapa de la enfermedad, georreferencia ni condiciones ambientales (Saini et al., 2026).</w:t>
      </w:r>
    </w:p>
    <w:p>
      <w:pPr>
        <w:ind w:firstLine="720"/>
        <w:jc w:val="both"/>
      </w:pPr>
      <w:r>
        <w:rPr/>
        <w:t xml:space="preserve">Como respuesta, se recomienda combinar conjuntos públicos con imágenes propias de campo (Lin et al., 2026), ajustar el modelo con imágenes locales (Saini et al., 2026) y seguir protocolos de etiquetado claros, con consenso de varios expertos y un acuerdo entre anotadores medido con kappa de Cohen ≥ 0,80 (Majdalawieh et al., 2025).</w:t>
      </w:r>
    </w:p>
    <w:p>
      <w:pPr>
        <w:keepNext/>
        <w:spacing w:before="160" w:after="80"/>
        <w:jc w:val="both"/>
      </w:pPr>
      <w:r>
        <w:rPr>
          <w:b/>
          <w:bCs/>
          <w:i/>
          <w:iCs/>
        </w:rPr>
        <w:t xml:space="preserve">2.5.3 Evaluación de los modelos y métricas</w:t>
      </w:r>
    </w:p>
    <w:p>
      <w:pPr>
        <w:jc w:val="both"/>
      </w:pPr>
      <w:r>
        <w:rPr/>
        <w:t xml:space="preserve">La elección de la métrica depende de la tarea. La Tabla 6 resume las métricas descritas en las fuentes recopiladas. Entre 72 estudios, las más usadas fueron la exactitud (47 veces), la precisión (37), la exhaustividad (30) y F1 (26) (Odounfa et al., 2024).</w:t>
      </w:r>
    </w:p>
    <w:p>
      <w:pPr>
        <w:keepNext/>
        <w:spacing w:before="160" w:after="80"/>
      </w:pPr>
      <w:r>
        <w:rPr>
          <w:b/>
          <w:bCs/>
          <w:sz w:val="20"/>
          <w:szCs w:val="20"/>
        </w:rPr>
        <w:t xml:space="preserve">Tabla 6.</w:t>
      </w:r>
      <w:r>
        <w:rPr>
          <w:sz w:val="20"/>
          <w:szCs w:val="20"/>
        </w:rPr>
        <w:t xml:space="preserve"> </w:t>
      </w:r>
      <w:r>
        <w:rPr>
          <w:i/>
          <w:iCs/>
          <w:sz w:val="20"/>
          <w:szCs w:val="20"/>
        </w:rPr>
        <w:t xml:space="preserve">Métricas de evaluación de modelos de diagnóstico según la tarea</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600"/>
        <w:gridCol w:w="2900"/>
        <w:gridCol w:w="1500"/>
        <w:gridCol w:w="2838"/>
      </w:tblGrid>
      <w:tr>
        <w:trPr>
          <w:tblHeader/>
          <w:cantSplit/>
        </w:trPr>
        <w:tc>
          <w:tcPr>
            <w:tcW w:w="1600" w:type="dxa"/>
            <w:shd w:val="clear" w:color="auto" w:fill="D9E2F3"/>
            <w:vAlign w:val="center"/>
          </w:tcPr>
          <w:p>
            <w:pPr>
              <w:keepNext/>
              <w:spacing w:before="20" w:after="20" w:line="240" w:lineRule="auto"/>
              <w:jc w:val="center"/>
            </w:pPr>
            <w:r>
              <w:rPr>
                <w:b/>
                <w:bCs/>
                <w:sz w:val="18"/>
                <w:szCs w:val="18"/>
              </w:rPr>
              <w:t xml:space="preserve">Métrica</w:t>
            </w:r>
          </w:p>
        </w:tc>
        <w:tc>
          <w:tcPr>
            <w:tcW w:w="2900" w:type="dxa"/>
            <w:shd w:val="clear" w:color="auto" w:fill="D9E2F3"/>
            <w:vAlign w:val="center"/>
          </w:tcPr>
          <w:p>
            <w:pPr>
              <w:keepNext/>
              <w:spacing w:before="20" w:after="20" w:line="240" w:lineRule="auto"/>
              <w:jc w:val="center"/>
            </w:pPr>
            <w:r>
              <w:rPr>
                <w:b/>
                <w:bCs/>
                <w:sz w:val="18"/>
                <w:szCs w:val="18"/>
              </w:rPr>
              <w:t xml:space="preserve">Qué mide</w:t>
            </w:r>
          </w:p>
        </w:tc>
        <w:tc>
          <w:tcPr>
            <w:tcW w:w="1500" w:type="dxa"/>
            <w:shd w:val="clear" w:color="auto" w:fill="D9E2F3"/>
            <w:vAlign w:val="center"/>
          </w:tcPr>
          <w:p>
            <w:pPr>
              <w:keepNext/>
              <w:spacing w:before="20" w:after="20" w:line="240" w:lineRule="auto"/>
              <w:jc w:val="center"/>
            </w:pPr>
            <w:r>
              <w:rPr>
                <w:b/>
                <w:bCs/>
                <w:sz w:val="18"/>
                <w:szCs w:val="18"/>
              </w:rPr>
              <w:t xml:space="preserve">Tarea en que se usa</w:t>
            </w:r>
          </w:p>
        </w:tc>
        <w:tc>
          <w:tcPr>
            <w:tcW w:w="2838" w:type="dxa"/>
            <w:shd w:val="clear" w:color="auto" w:fill="D9E2F3"/>
            <w:vAlign w:val="center"/>
          </w:tcPr>
          <w:p>
            <w:pPr>
              <w:keepNext/>
              <w:spacing w:before="20" w:after="20" w:line="240" w:lineRule="auto"/>
              <w:jc w:val="center"/>
            </w:pPr>
            <w:r>
              <w:rPr>
                <w:b/>
                <w:bCs/>
                <w:sz w:val="18"/>
                <w:szCs w:val="18"/>
              </w:rPr>
              <w:t xml:space="preserve">Valores de referencia reportados</w:t>
            </w:r>
          </w:p>
        </w:tc>
      </w:tr>
      <w:tr>
        <w:trPr>
          <w:cantSplit/>
        </w:trPr>
        <w:tc>
          <w:tcPr>
            <w:tcW w:w="1600" w:type="dxa"/>
            <w:vAlign w:val="top"/>
          </w:tcPr>
          <w:p>
            <w:pPr>
              <w:spacing w:before="20" w:after="20" w:line="240" w:lineRule="auto"/>
            </w:pPr>
            <w:r>
              <w:rPr>
                <w:b/>
                <w:bCs/>
                <w:sz w:val="18"/>
                <w:szCs w:val="18"/>
              </w:rPr>
              <w:t xml:space="preserve">Exactitud (accuracy)</w:t>
            </w:r>
          </w:p>
        </w:tc>
        <w:tc>
          <w:tcPr>
            <w:tcW w:w="2900" w:type="dxa"/>
            <w:vAlign w:val="top"/>
          </w:tcPr>
          <w:p>
            <w:pPr>
              <w:spacing w:before="20" w:after="20" w:line="240" w:lineRule="auto"/>
            </w:pPr>
            <w:r>
              <w:rPr>
                <w:sz w:val="18"/>
                <w:szCs w:val="18"/>
              </w:rPr>
              <w:t xml:space="preserve">Proporción de predicciones correctas sobre el total.</w:t>
            </w:r>
          </w:p>
        </w:tc>
        <w:tc>
          <w:tcPr>
            <w:tcW w:w="1500" w:type="dxa"/>
            <w:vAlign w:val="top"/>
          </w:tcPr>
          <w:p>
            <w:pPr>
              <w:spacing w:before="20" w:after="20" w:line="240" w:lineRule="auto"/>
            </w:pPr>
            <w:r>
              <w:rPr>
                <w:sz w:val="18"/>
                <w:szCs w:val="18"/>
              </w:rPr>
              <w:t xml:space="preserve">Clasificación</w:t>
            </w:r>
          </w:p>
        </w:tc>
        <w:tc>
          <w:tcPr>
            <w:tcW w:w="2838" w:type="dxa"/>
            <w:vAlign w:val="top"/>
          </w:tcPr>
          <w:p>
            <w:pPr>
              <w:spacing w:before="20" w:after="20" w:line="240" w:lineRule="auto"/>
            </w:pPr>
            <w:r>
              <w:rPr>
                <w:sz w:val="18"/>
                <w:szCs w:val="18"/>
              </w:rPr>
              <w:t xml:space="preserve">CNN: 85–99 % en conjuntos limpios y bien etiquetados (Saini et al., 2026).</w:t>
            </w:r>
          </w:p>
        </w:tc>
      </w:tr>
      <w:tr>
        <w:trPr>
          <w:cantSplit/>
        </w:trPr>
        <w:tc>
          <w:tcPr>
            <w:tcW w:w="1600" w:type="dxa"/>
            <w:vAlign w:val="top"/>
          </w:tcPr>
          <w:p>
            <w:pPr>
              <w:spacing w:before="20" w:after="20" w:line="240" w:lineRule="auto"/>
            </w:pPr>
            <w:r>
              <w:rPr>
                <w:b/>
                <w:bCs/>
                <w:sz w:val="18"/>
                <w:szCs w:val="18"/>
              </w:rPr>
              <w:t xml:space="preserve">Precisión y exhaustividad (recall)</w:t>
            </w:r>
          </w:p>
        </w:tc>
        <w:tc>
          <w:tcPr>
            <w:tcW w:w="2900" w:type="dxa"/>
            <w:vAlign w:val="top"/>
          </w:tcPr>
          <w:p>
            <w:pPr>
              <w:spacing w:before="20" w:after="20" w:line="240" w:lineRule="auto"/>
            </w:pPr>
            <w:r>
              <w:rPr>
                <w:sz w:val="18"/>
                <w:szCs w:val="18"/>
              </w:rPr>
              <w:t xml:space="preserve">Precisión: aciertos entre los casos predichos como positivos. Exhaustividad: positivos reales que el modelo encuentra.</w:t>
            </w:r>
          </w:p>
        </w:tc>
        <w:tc>
          <w:tcPr>
            <w:tcW w:w="1500" w:type="dxa"/>
            <w:vAlign w:val="top"/>
          </w:tcPr>
          <w:p>
            <w:pPr>
              <w:spacing w:before="20" w:after="20" w:line="240" w:lineRule="auto"/>
            </w:pPr>
            <w:r>
              <w:rPr>
                <w:sz w:val="18"/>
                <w:szCs w:val="18"/>
              </w:rPr>
              <w:t xml:space="preserve">Clasificación y detección</w:t>
            </w:r>
          </w:p>
        </w:tc>
        <w:tc>
          <w:tcPr>
            <w:tcW w:w="2838" w:type="dxa"/>
            <w:vAlign w:val="top"/>
          </w:tcPr>
          <w:p>
            <w:pPr>
              <w:spacing w:before="20" w:after="20" w:line="240" w:lineRule="auto"/>
            </w:pPr>
            <w:r>
              <w:rPr>
                <w:sz w:val="18"/>
                <w:szCs w:val="18"/>
              </w:rPr>
              <w:t xml:space="preserve">Detección con YOLO o R-CNN: precisión y exhaustividad &gt; 0,80 (Odounfa et al., 2024).</w:t>
            </w:r>
          </w:p>
        </w:tc>
      </w:tr>
      <w:tr>
        <w:trPr>
          <w:cantSplit/>
        </w:trPr>
        <w:tc>
          <w:tcPr>
            <w:tcW w:w="1600" w:type="dxa"/>
            <w:vAlign w:val="top"/>
          </w:tcPr>
          <w:p>
            <w:pPr>
              <w:spacing w:before="20" w:after="20" w:line="240" w:lineRule="auto"/>
            </w:pPr>
            <w:r>
              <w:rPr>
                <w:b/>
                <w:bCs/>
                <w:sz w:val="18"/>
                <w:szCs w:val="18"/>
              </w:rPr>
              <w:t xml:space="preserve">F1</w:t>
            </w:r>
          </w:p>
        </w:tc>
        <w:tc>
          <w:tcPr>
            <w:tcW w:w="2900" w:type="dxa"/>
            <w:vAlign w:val="top"/>
          </w:tcPr>
          <w:p>
            <w:pPr>
              <w:spacing w:before="20" w:after="20" w:line="240" w:lineRule="auto"/>
            </w:pPr>
            <w:r>
              <w:rPr>
                <w:sz w:val="18"/>
                <w:szCs w:val="18"/>
              </w:rPr>
              <w:t xml:space="preserve">Media armónica de precisión y exhaustividad; útil cuando importan los falsos positivos y los falsos negativos.</w:t>
            </w:r>
          </w:p>
        </w:tc>
        <w:tc>
          <w:tcPr>
            <w:tcW w:w="1500" w:type="dxa"/>
            <w:vAlign w:val="top"/>
          </w:tcPr>
          <w:p>
            <w:pPr>
              <w:spacing w:before="20" w:after="20" w:line="240" w:lineRule="auto"/>
            </w:pPr>
            <w:r>
              <w:rPr>
                <w:sz w:val="18"/>
                <w:szCs w:val="18"/>
              </w:rPr>
              <w:t xml:space="preserve">Clasificación</w:t>
            </w:r>
          </w:p>
        </w:tc>
        <w:tc>
          <w:tcPr>
            <w:tcW w:w="2838" w:type="dxa"/>
            <w:vAlign w:val="top"/>
          </w:tcPr>
          <w:p>
            <w:pPr>
              <w:spacing w:before="20" w:after="20" w:line="240" w:lineRule="auto"/>
            </w:pPr>
            <w:r>
              <w:rPr>
                <w:sz w:val="18"/>
                <w:szCs w:val="18"/>
              </w:rPr>
              <w:t xml:space="preserve">CNN en hortalizas: 0,85–0,92 (Odounfa et al., 2024).</w:t>
            </w:r>
          </w:p>
        </w:tc>
      </w:tr>
      <w:tr>
        <w:trPr>
          <w:cantSplit/>
        </w:trPr>
        <w:tc>
          <w:tcPr>
            <w:tcW w:w="1600" w:type="dxa"/>
            <w:vAlign w:val="top"/>
          </w:tcPr>
          <w:p>
            <w:pPr>
              <w:spacing w:before="20" w:after="20" w:line="240" w:lineRule="auto"/>
            </w:pPr>
            <w:r>
              <w:rPr>
                <w:b/>
                <w:bCs/>
                <w:sz w:val="18"/>
                <w:szCs w:val="18"/>
              </w:rPr>
              <w:t xml:space="preserve">AUC-ROC</w:t>
            </w:r>
          </w:p>
        </w:tc>
        <w:tc>
          <w:tcPr>
            <w:tcW w:w="2900" w:type="dxa"/>
            <w:vAlign w:val="top"/>
          </w:tcPr>
          <w:p>
            <w:pPr>
              <w:spacing w:before="20" w:after="20" w:line="240" w:lineRule="auto"/>
            </w:pPr>
            <w:r>
              <w:rPr>
                <w:sz w:val="18"/>
                <w:szCs w:val="18"/>
              </w:rPr>
              <w:t xml:space="preserve">Área bajo la curva de tasa de verdaderos frente a falsos positivos.</w:t>
            </w:r>
          </w:p>
        </w:tc>
        <w:tc>
          <w:tcPr>
            <w:tcW w:w="1500" w:type="dxa"/>
            <w:vAlign w:val="top"/>
          </w:tcPr>
          <w:p>
            <w:pPr>
              <w:spacing w:before="20" w:after="20" w:line="240" w:lineRule="auto"/>
            </w:pPr>
            <w:r>
              <w:rPr>
                <w:sz w:val="18"/>
                <w:szCs w:val="18"/>
              </w:rPr>
              <w:t xml:space="preserve">Clasificación</w:t>
            </w:r>
          </w:p>
        </w:tc>
        <w:tc>
          <w:tcPr>
            <w:tcW w:w="2838" w:type="dxa"/>
            <w:vAlign w:val="top"/>
          </w:tcPr>
          <w:p>
            <w:pPr>
              <w:spacing w:before="20" w:after="20" w:line="240" w:lineRule="auto"/>
            </w:pPr>
            <w:r>
              <w:rPr>
                <w:sz w:val="18"/>
                <w:szCs w:val="18"/>
              </w:rPr>
              <w:t xml:space="preserve">Reportada en algunos estudios (Saini et al., 2026).</w:t>
            </w:r>
          </w:p>
        </w:tc>
      </w:tr>
      <w:tr>
        <w:trPr>
          <w:cantSplit/>
        </w:trPr>
        <w:tc>
          <w:tcPr>
            <w:tcW w:w="1600" w:type="dxa"/>
            <w:vAlign w:val="top"/>
          </w:tcPr>
          <w:p>
            <w:pPr>
              <w:spacing w:before="20" w:after="20" w:line="240" w:lineRule="auto"/>
            </w:pPr>
            <w:r>
              <w:rPr>
                <w:b/>
                <w:bCs/>
                <w:sz w:val="18"/>
                <w:szCs w:val="18"/>
              </w:rPr>
              <w:t xml:space="preserve">mAP</w:t>
            </w:r>
          </w:p>
        </w:tc>
        <w:tc>
          <w:tcPr>
            <w:tcW w:w="2900" w:type="dxa"/>
            <w:vAlign w:val="top"/>
          </w:tcPr>
          <w:p>
            <w:pPr>
              <w:spacing w:before="20" w:after="20" w:line="240" w:lineRule="auto"/>
            </w:pPr>
            <w:r>
              <w:rPr>
                <w:sz w:val="18"/>
                <w:szCs w:val="18"/>
              </w:rPr>
              <w:t xml:space="preserve">Precisión media de la detección con cajas.</w:t>
            </w:r>
          </w:p>
        </w:tc>
        <w:tc>
          <w:tcPr>
            <w:tcW w:w="1500" w:type="dxa"/>
            <w:vAlign w:val="top"/>
          </w:tcPr>
          <w:p>
            <w:pPr>
              <w:spacing w:before="20" w:after="20" w:line="240" w:lineRule="auto"/>
            </w:pPr>
            <w:r>
              <w:rPr>
                <w:sz w:val="18"/>
                <w:szCs w:val="18"/>
              </w:rPr>
              <w:t xml:space="preserve">Detección</w:t>
            </w:r>
          </w:p>
        </w:tc>
        <w:tc>
          <w:tcPr>
            <w:tcW w:w="2838" w:type="dxa"/>
            <w:vAlign w:val="top"/>
          </w:tcPr>
          <w:p>
            <w:pPr>
              <w:spacing w:before="20" w:after="20" w:line="240" w:lineRule="auto"/>
            </w:pPr>
            <w:r>
              <w:rPr>
                <w:sz w:val="18"/>
                <w:szCs w:val="18"/>
              </w:rPr>
              <w:t xml:space="preserve">mAP50 70,2 % en una app de campo (Christakakis et al., 2024).</w:t>
            </w:r>
          </w:p>
        </w:tc>
      </w:tr>
      <w:tr>
        <w:trPr>
          <w:cantSplit/>
        </w:trPr>
        <w:tc>
          <w:tcPr>
            <w:tcW w:w="1600" w:type="dxa"/>
            <w:vAlign w:val="top"/>
          </w:tcPr>
          <w:p>
            <w:pPr>
              <w:spacing w:before="20" w:after="20" w:line="240" w:lineRule="auto"/>
            </w:pPr>
            <w:r>
              <w:rPr>
                <w:b/>
                <w:bCs/>
                <w:sz w:val="18"/>
                <w:szCs w:val="18"/>
              </w:rPr>
              <w:t xml:space="preserve">IoU / mIoU</w:t>
            </w:r>
          </w:p>
        </w:tc>
        <w:tc>
          <w:tcPr>
            <w:tcW w:w="2900" w:type="dxa"/>
            <w:vAlign w:val="top"/>
          </w:tcPr>
          <w:p>
            <w:pPr>
              <w:spacing w:before="20" w:after="20" w:line="240" w:lineRule="auto"/>
            </w:pPr>
            <w:r>
              <w:rPr>
                <w:sz w:val="18"/>
                <w:szCs w:val="18"/>
              </w:rPr>
              <w:t xml:space="preserve">Superposición entre la región predicha y la real.</w:t>
            </w:r>
          </w:p>
        </w:tc>
        <w:tc>
          <w:tcPr>
            <w:tcW w:w="1500" w:type="dxa"/>
            <w:vAlign w:val="top"/>
          </w:tcPr>
          <w:p>
            <w:pPr>
              <w:spacing w:before="20" w:after="20" w:line="240" w:lineRule="auto"/>
            </w:pPr>
            <w:r>
              <w:rPr>
                <w:sz w:val="18"/>
                <w:szCs w:val="18"/>
              </w:rPr>
              <w:t xml:space="preserve">Segmentación y severidad</w:t>
            </w:r>
          </w:p>
        </w:tc>
        <w:tc>
          <w:tcPr>
            <w:tcW w:w="2838" w:type="dxa"/>
            <w:vAlign w:val="top"/>
          </w:tcPr>
          <w:p>
            <w:pPr>
              <w:spacing w:before="20" w:after="20" w:line="240" w:lineRule="auto"/>
            </w:pPr>
            <w:r>
              <w:rPr>
                <w:sz w:val="18"/>
                <w:szCs w:val="18"/>
              </w:rPr>
              <w:t xml:space="preserve">IoU 0,75–0,85 (Odounfa et al., 2024).</w:t>
            </w:r>
          </w:p>
        </w:tc>
      </w:tr>
    </w:tbl>
    <w:p>
      <w:pPr>
        <w:spacing w:before="40" w:after="200"/>
        <w:jc w:val="both"/>
      </w:pPr>
      <w:r>
        <w:rPr>
          <w:i/>
          <w:iCs/>
          <w:sz w:val="18"/>
          <w:szCs w:val="18"/>
        </w:rPr>
        <w:t xml:space="preserve">Nota.</w:t>
      </w:r>
      <w:r>
        <w:rPr>
          <w:sz w:val="18"/>
          <w:szCs w:val="18"/>
        </w:rPr>
        <w:t xml:space="preserve"> Elaboración propia a partir de Christakakis et al. (2024), Odounfa et al. (2024) y Saini et al. (2026).</w:t>
      </w:r>
    </w:p>
    <w:p>
      <w:pPr>
        <w:ind w:firstLine="720"/>
        <w:jc w:val="both"/>
      </w:pPr>
      <w:r>
        <w:rPr/>
        <w:t xml:space="preserve">Tres hallazgos matizan los valores altos de exactitud. Primero, en 150 estudios la exactitud media para enfermedades fúngicas (88,85 %, DE 22,92) fue menor que para las bacterianas (91,39 %) y las virales (94,16 %) (Majdalawieh et al., 2025), y las enfermedades del tallo del aguacate son causadas sobre todo por hongos y oomicetos. Segundo, la confianza media del modelo ante síntomas tempranos (0,52–0,68) es menor que ante síntomas maduros (≥ 0,85) (Saini et al., 2026). Tercero, la exactitud obtenida sobre un conjunto curado es una prueba de concepto y debe validarse con imágenes de campo recogidas de forma prospectiva (Moreano et al., 2026). Por ello, la evaluación del modelo del proyecto deberá reportar varias métricas por clase y probarse con imágenes de campo nuevas (Actividades 15 y 22).</w:t>
      </w:r>
    </w:p>
    <w:p>
      <w:pPr>
        <w:keepNext/>
        <w:spacing w:before="160" w:after="80"/>
        <w:jc w:val="both"/>
      </w:pPr>
      <w:r>
        <w:rPr>
          <w:b/>
          <w:bCs/>
          <w:i/>
          <w:iCs/>
        </w:rPr>
        <w:t xml:space="preserve">2.5.4 Sistemas móviles de diagnóstico</w:t>
      </w:r>
    </w:p>
    <w:p>
      <w:pPr>
        <w:jc w:val="both"/>
      </w:pPr>
      <w:r>
        <w:rPr/>
        <w:t xml:space="preserve">La Tabla 7 compara los sistemas de diagnóstico con aplicación, o que proponen una, recopilados para la revisión.</w:t>
      </w:r>
    </w:p>
    <w:p>
      <w:pPr>
        <w:keepNext/>
        <w:spacing w:before="160" w:after="80"/>
      </w:pPr>
      <w:r>
        <w:rPr>
          <w:b/>
          <w:bCs/>
          <w:sz w:val="20"/>
          <w:szCs w:val="20"/>
        </w:rPr>
        <w:t xml:space="preserve">Tabla 7.</w:t>
      </w:r>
      <w:r>
        <w:rPr>
          <w:sz w:val="20"/>
          <w:szCs w:val="20"/>
        </w:rPr>
        <w:t xml:space="preserve"> </w:t>
      </w:r>
      <w:r>
        <w:rPr>
          <w:i/>
          <w:iCs/>
          <w:sz w:val="20"/>
          <w:szCs w:val="20"/>
        </w:rPr>
        <w:t xml:space="preserve">Sistemas de diagnóstico de enfermedades con aplicación en el material recopilado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500"/>
        <w:gridCol w:w="1700"/>
        <w:gridCol w:w="2000"/>
        <w:gridCol w:w="1900"/>
        <w:gridCol w:w="1738"/>
      </w:tblGrid>
      <w:tr>
        <w:trPr>
          <w:tblHeader/>
          <w:cantSplit/>
        </w:trPr>
        <w:tc>
          <w:tcPr>
            <w:tcW w:w="1500" w:type="dxa"/>
            <w:shd w:val="clear" w:color="auto" w:fill="D9E2F3"/>
            <w:vAlign w:val="center"/>
          </w:tcPr>
          <w:p>
            <w:pPr>
              <w:keepNext/>
              <w:spacing w:before="20" w:after="20" w:line="240" w:lineRule="auto"/>
              <w:jc w:val="center"/>
            </w:pPr>
            <w:r>
              <w:rPr>
                <w:b/>
                <w:bCs/>
                <w:sz w:val="18"/>
                <w:szCs w:val="18"/>
              </w:rPr>
              <w:t xml:space="preserve">Sistema</w:t>
            </w:r>
          </w:p>
        </w:tc>
        <w:tc>
          <w:tcPr>
            <w:tcW w:w="1700" w:type="dxa"/>
            <w:shd w:val="clear" w:color="auto" w:fill="D9E2F3"/>
            <w:vAlign w:val="center"/>
          </w:tcPr>
          <w:p>
            <w:pPr>
              <w:keepNext/>
              <w:spacing w:before="20" w:after="20" w:line="240" w:lineRule="auto"/>
              <w:jc w:val="center"/>
            </w:pPr>
            <w:r>
              <w:rPr>
                <w:b/>
                <w:bCs/>
                <w:sz w:val="18"/>
                <w:szCs w:val="18"/>
              </w:rPr>
              <w:t xml:space="preserve">Cultivo y órgano</w:t>
            </w:r>
          </w:p>
        </w:tc>
        <w:tc>
          <w:tcPr>
            <w:tcW w:w="2000" w:type="dxa"/>
            <w:shd w:val="clear" w:color="auto" w:fill="D9E2F3"/>
            <w:vAlign w:val="center"/>
          </w:tcPr>
          <w:p>
            <w:pPr>
              <w:keepNext/>
              <w:spacing w:before="20" w:after="20" w:line="240" w:lineRule="auto"/>
              <w:jc w:val="center"/>
            </w:pPr>
            <w:r>
              <w:rPr>
                <w:b/>
                <w:bCs/>
                <w:sz w:val="18"/>
                <w:szCs w:val="18"/>
              </w:rPr>
              <w:t xml:space="preserve">Datos y modelo</w:t>
            </w:r>
          </w:p>
        </w:tc>
        <w:tc>
          <w:tcPr>
            <w:tcW w:w="1900" w:type="dxa"/>
            <w:shd w:val="clear" w:color="auto" w:fill="D9E2F3"/>
            <w:vAlign w:val="center"/>
          </w:tcPr>
          <w:p>
            <w:pPr>
              <w:keepNext/>
              <w:spacing w:before="20" w:after="20" w:line="240" w:lineRule="auto"/>
              <w:jc w:val="center"/>
            </w:pPr>
            <w:r>
              <w:rPr>
                <w:b/>
                <w:bCs/>
                <w:sz w:val="18"/>
                <w:szCs w:val="18"/>
              </w:rPr>
              <w:t xml:space="preserve">Plataforma e inferencia</w:t>
            </w:r>
          </w:p>
        </w:tc>
        <w:tc>
          <w:tcPr>
            <w:tcW w:w="1738" w:type="dxa"/>
            <w:shd w:val="clear" w:color="auto" w:fill="D9E2F3"/>
            <w:vAlign w:val="center"/>
          </w:tcPr>
          <w:p>
            <w:pPr>
              <w:keepNext/>
              <w:spacing w:before="20" w:after="20" w:line="240" w:lineRule="auto"/>
              <w:jc w:val="center"/>
            </w:pPr>
            <w:r>
              <w:rPr>
                <w:b/>
                <w:bCs/>
                <w:sz w:val="18"/>
                <w:szCs w:val="18"/>
              </w:rPr>
              <w:t xml:space="preserve">Resultado reportado</w:t>
            </w:r>
          </w:p>
        </w:tc>
      </w:tr>
      <w:tr>
        <w:trPr>
          <w:cantSplit/>
        </w:trPr>
        <w:tc>
          <w:tcPr>
            <w:tcW w:w="1500" w:type="dxa"/>
            <w:vAlign w:val="top"/>
          </w:tcPr>
          <w:p>
            <w:pPr>
              <w:spacing w:before="20" w:after="20" w:line="240" w:lineRule="auto"/>
            </w:pPr>
            <w:r>
              <w:rPr>
                <w:b/>
                <w:bCs/>
                <w:sz w:val="18"/>
                <w:szCs w:val="18"/>
              </w:rPr>
              <w:t xml:space="preserve">Moreano et al. (2026)</w:t>
            </w:r>
          </w:p>
        </w:tc>
        <w:tc>
          <w:tcPr>
            <w:tcW w:w="1700" w:type="dxa"/>
            <w:vAlign w:val="top"/>
          </w:tcPr>
          <w:p>
            <w:pPr>
              <w:spacing w:before="20" w:after="20" w:line="240" w:lineRule="auto"/>
            </w:pPr>
            <w:r>
              <w:rPr>
                <w:sz w:val="18"/>
                <w:szCs w:val="18"/>
              </w:rPr>
              <w:t xml:space="preserve">Aguacate; fruto (antracnosis y roña)</w:t>
            </w:r>
          </w:p>
        </w:tc>
        <w:tc>
          <w:tcPr>
            <w:tcW w:w="2000" w:type="dxa"/>
            <w:vAlign w:val="top"/>
          </w:tcPr>
          <w:p>
            <w:pPr>
              <w:spacing w:before="20" w:after="20" w:line="240" w:lineRule="auto"/>
            </w:pPr>
            <w:r>
              <w:rPr>
                <w:sz w:val="18"/>
                <w:szCs w:val="18"/>
              </w:rPr>
              <w:t xml:space="preserve">674 imágenes; ensamble de cinco modelos en dos etapas</w:t>
            </w:r>
          </w:p>
        </w:tc>
        <w:tc>
          <w:tcPr>
            <w:tcW w:w="1900" w:type="dxa"/>
            <w:vAlign w:val="top"/>
          </w:tcPr>
          <w:p>
            <w:pPr>
              <w:spacing w:before="20" w:after="20" w:line="240" w:lineRule="auto"/>
            </w:pPr>
            <w:r>
              <w:rPr>
                <w:sz w:val="18"/>
                <w:szCs w:val="18"/>
              </w:rPr>
              <w:t xml:space="preserve">Web para móvil y escritorio; servidor</w:t>
            </w:r>
          </w:p>
        </w:tc>
        <w:tc>
          <w:tcPr>
            <w:tcW w:w="1738" w:type="dxa"/>
            <w:vAlign w:val="top"/>
          </w:tcPr>
          <w:p>
            <w:pPr>
              <w:spacing w:before="20" w:after="20" w:line="240" w:lineRule="auto"/>
            </w:pPr>
            <w:r>
              <w:rPr>
                <w:sz w:val="18"/>
                <w:szCs w:val="18"/>
              </w:rPr>
              <w:t xml:space="preserve">Exactitud 99,03 %</w:t>
            </w:r>
          </w:p>
        </w:tc>
      </w:tr>
      <w:tr>
        <w:trPr>
          <w:cantSplit/>
        </w:trPr>
        <w:tc>
          <w:tcPr>
            <w:tcW w:w="1500" w:type="dxa"/>
            <w:vAlign w:val="top"/>
          </w:tcPr>
          <w:p>
            <w:pPr>
              <w:spacing w:before="20" w:after="20" w:line="240" w:lineRule="auto"/>
            </w:pPr>
            <w:r>
              <w:rPr>
                <w:b/>
                <w:bCs/>
                <w:sz w:val="18"/>
                <w:szCs w:val="18"/>
              </w:rPr>
              <w:t xml:space="preserve">Ramana Reddy et al. (2025)</w:t>
            </w:r>
          </w:p>
        </w:tc>
        <w:tc>
          <w:tcPr>
            <w:tcW w:w="1700" w:type="dxa"/>
            <w:vAlign w:val="top"/>
          </w:tcPr>
          <w:p>
            <w:pPr>
              <w:spacing w:before="20" w:after="20" w:line="240" w:lineRule="auto"/>
            </w:pPr>
            <w:r>
              <w:rPr>
                <w:sz w:val="18"/>
                <w:szCs w:val="18"/>
              </w:rPr>
              <w:t xml:space="preserve">Varios cultivos; hoja</w:t>
            </w:r>
          </w:p>
        </w:tc>
        <w:tc>
          <w:tcPr>
            <w:tcW w:w="2000" w:type="dxa"/>
            <w:vAlign w:val="top"/>
          </w:tcPr>
          <w:p>
            <w:pPr>
              <w:spacing w:before="20" w:after="20" w:line="240" w:lineRule="auto"/>
            </w:pPr>
            <w:r>
              <w:rPr>
                <w:sz w:val="18"/>
                <w:szCs w:val="18"/>
              </w:rPr>
              <w:t xml:space="preserve">PlantVillage; CNN propia y severidad con OpenCV</w:t>
            </w:r>
          </w:p>
        </w:tc>
        <w:tc>
          <w:tcPr>
            <w:tcW w:w="1900" w:type="dxa"/>
            <w:vAlign w:val="top"/>
          </w:tcPr>
          <w:p>
            <w:pPr>
              <w:spacing w:before="20" w:after="20" w:line="240" w:lineRule="auto"/>
            </w:pPr>
            <w:r>
              <w:rPr>
                <w:sz w:val="18"/>
                <w:szCs w:val="18"/>
              </w:rPr>
              <w:t xml:space="preserve">React Native; servidor Flask; ~2 s por imagen</w:t>
            </w:r>
          </w:p>
        </w:tc>
        <w:tc>
          <w:tcPr>
            <w:tcW w:w="1738" w:type="dxa"/>
            <w:vAlign w:val="top"/>
          </w:tcPr>
          <w:p>
            <w:pPr>
              <w:spacing w:before="20" w:after="20" w:line="240" w:lineRule="auto"/>
            </w:pPr>
            <w:r>
              <w:rPr>
                <w:sz w:val="18"/>
                <w:szCs w:val="18"/>
              </w:rPr>
              <w:t xml:space="preserve">Exactitud 92,06 %</w:t>
            </w:r>
          </w:p>
        </w:tc>
      </w:tr>
      <w:tr>
        <w:trPr>
          <w:cantSplit/>
        </w:trPr>
        <w:tc>
          <w:tcPr>
            <w:tcW w:w="1500" w:type="dxa"/>
            <w:vAlign w:val="top"/>
          </w:tcPr>
          <w:p>
            <w:pPr>
              <w:spacing w:before="20" w:after="20" w:line="240" w:lineRule="auto"/>
            </w:pPr>
            <w:r>
              <w:rPr>
                <w:b/>
                <w:bCs/>
                <w:sz w:val="18"/>
                <w:szCs w:val="18"/>
              </w:rPr>
              <w:t xml:space="preserve">Christakakis et al. (2024)</w:t>
            </w:r>
          </w:p>
        </w:tc>
        <w:tc>
          <w:tcPr>
            <w:tcW w:w="1700" w:type="dxa"/>
            <w:vAlign w:val="top"/>
          </w:tcPr>
          <w:p>
            <w:pPr>
              <w:spacing w:before="20" w:after="20" w:line="240" w:lineRule="auto"/>
            </w:pPr>
            <w:r>
              <w:rPr>
                <w:sz w:val="18"/>
                <w:szCs w:val="18"/>
              </w:rPr>
              <w:t xml:space="preserve">Tomate; hoja (plaga </w:t>
            </w:r>
            <w:r>
              <w:rPr>
                <w:i/>
                <w:iCs/>
                <w:sz w:val="18"/>
                <w:szCs w:val="18"/>
              </w:rPr>
              <w:t xml:space="preserve">Tuta absoluta</w:t>
            </w:r>
            <w:r>
              <w:rPr>
                <w:sz w:val="18"/>
                <w:szCs w:val="18"/>
              </w:rPr>
              <w:t xml:space="preserve">)</w:t>
            </w:r>
          </w:p>
        </w:tc>
        <w:tc>
          <w:tcPr>
            <w:tcW w:w="2000" w:type="dxa"/>
            <w:vAlign w:val="top"/>
          </w:tcPr>
          <w:p>
            <w:pPr>
              <w:spacing w:before="20" w:after="20" w:line="240" w:lineRule="auto"/>
            </w:pPr>
            <w:r>
              <w:rPr>
                <w:sz w:val="18"/>
                <w:szCs w:val="18"/>
              </w:rPr>
              <w:t xml:space="preserve">Imágenes de enfermedades e insectos; YOLOv8</w:t>
            </w:r>
          </w:p>
        </w:tc>
        <w:tc>
          <w:tcPr>
            <w:tcW w:w="1900" w:type="dxa"/>
            <w:vAlign w:val="top"/>
          </w:tcPr>
          <w:p>
            <w:pPr>
              <w:spacing w:before="20" w:after="20" w:line="240" w:lineRule="auto"/>
            </w:pPr>
            <w:r>
              <w:rPr>
                <w:sz w:val="18"/>
                <w:szCs w:val="18"/>
              </w:rPr>
              <w:t xml:space="preserve">iOS y Android; sistema de apoyo en servidor</w:t>
            </w:r>
          </w:p>
        </w:tc>
        <w:tc>
          <w:tcPr>
            <w:tcW w:w="1738" w:type="dxa"/>
            <w:vAlign w:val="top"/>
          </w:tcPr>
          <w:p>
            <w:pPr>
              <w:spacing w:before="20" w:after="20" w:line="240" w:lineRule="auto"/>
            </w:pPr>
            <w:r>
              <w:rPr>
                <w:sz w:val="18"/>
                <w:szCs w:val="18"/>
              </w:rPr>
              <w:t xml:space="preserve">mAP50 70,2 %</w:t>
            </w:r>
          </w:p>
        </w:tc>
      </w:tr>
      <w:tr>
        <w:trPr>
          <w:cantSplit/>
        </w:trPr>
        <w:tc>
          <w:tcPr>
            <w:tcW w:w="1500" w:type="dxa"/>
            <w:vAlign w:val="top"/>
          </w:tcPr>
          <w:p>
            <w:pPr>
              <w:spacing w:before="20" w:after="20" w:line="240" w:lineRule="auto"/>
            </w:pPr>
            <w:r>
              <w:rPr>
                <w:b/>
                <w:bCs/>
                <w:sz w:val="18"/>
                <w:szCs w:val="18"/>
              </w:rPr>
              <w:t xml:space="preserve">Kochhar et al. (2026)</w:t>
            </w:r>
          </w:p>
        </w:tc>
        <w:tc>
          <w:tcPr>
            <w:tcW w:w="1700" w:type="dxa"/>
            <w:vAlign w:val="top"/>
          </w:tcPr>
          <w:p>
            <w:pPr>
              <w:spacing w:before="20" w:after="20" w:line="240" w:lineRule="auto"/>
            </w:pPr>
            <w:r>
              <w:rPr>
                <w:sz w:val="18"/>
                <w:szCs w:val="18"/>
              </w:rPr>
              <w:t xml:space="preserve">Trigo, arroz, forraje, maíz y caña; hoja (19 enfermedades)</w:t>
            </w:r>
          </w:p>
        </w:tc>
        <w:tc>
          <w:tcPr>
            <w:tcW w:w="2000" w:type="dxa"/>
            <w:vAlign w:val="top"/>
          </w:tcPr>
          <w:p>
            <w:pPr>
              <w:spacing w:before="20" w:after="20" w:line="240" w:lineRule="auto"/>
            </w:pPr>
            <w:r>
              <w:rPr>
                <w:sz w:val="18"/>
                <w:szCs w:val="18"/>
              </w:rPr>
              <w:t xml:space="preserve">Imágenes de campo y públicas; CNN y VGG-16</w:t>
            </w:r>
          </w:p>
        </w:tc>
        <w:tc>
          <w:tcPr>
            <w:tcW w:w="1900" w:type="dxa"/>
            <w:vAlign w:val="top"/>
          </w:tcPr>
          <w:p>
            <w:pPr>
              <w:spacing w:before="20" w:after="20" w:line="240" w:lineRule="auto"/>
            </w:pPr>
            <w:r>
              <w:rPr>
                <w:sz w:val="18"/>
                <w:szCs w:val="18"/>
              </w:rPr>
              <w:t xml:space="preserve">Android de tres capas; servidor</w:t>
            </w:r>
          </w:p>
        </w:tc>
        <w:tc>
          <w:tcPr>
            <w:tcW w:w="1738" w:type="dxa"/>
            <w:vAlign w:val="top"/>
          </w:tcPr>
          <w:p>
            <w:pPr>
              <w:spacing w:before="20" w:after="20" w:line="240" w:lineRule="auto"/>
            </w:pPr>
            <w:r>
              <w:rPr>
                <w:sz w:val="18"/>
                <w:szCs w:val="18"/>
              </w:rPr>
              <w:t xml:space="preserve">Exactitud de 44,15 % (arroz) a 95,23 % (maíz)</w:t>
            </w:r>
          </w:p>
        </w:tc>
      </w:tr>
      <w:tr>
        <w:trPr>
          <w:cantSplit/>
        </w:trPr>
        <w:tc>
          <w:tcPr>
            <w:tcW w:w="1500" w:type="dxa"/>
            <w:vAlign w:val="top"/>
          </w:tcPr>
          <w:p>
            <w:pPr>
              <w:spacing w:before="20" w:after="20" w:line="240" w:lineRule="auto"/>
            </w:pPr>
            <w:r>
              <w:rPr>
                <w:b/>
                <w:bCs/>
                <w:sz w:val="18"/>
                <w:szCs w:val="18"/>
              </w:rPr>
              <w:t xml:space="preserve">Iqbal et al. (2026)</w:t>
            </w:r>
          </w:p>
        </w:tc>
        <w:tc>
          <w:tcPr>
            <w:tcW w:w="1700" w:type="dxa"/>
            <w:vAlign w:val="top"/>
          </w:tcPr>
          <w:p>
            <w:pPr>
              <w:spacing w:before="20" w:after="20" w:line="240" w:lineRule="auto"/>
            </w:pPr>
            <w:r>
              <w:rPr>
                <w:sz w:val="18"/>
                <w:szCs w:val="18"/>
              </w:rPr>
              <w:t xml:space="preserve">Trigo y guisante; hoja</w:t>
            </w:r>
          </w:p>
        </w:tc>
        <w:tc>
          <w:tcPr>
            <w:tcW w:w="2000" w:type="dxa"/>
            <w:vAlign w:val="top"/>
          </w:tcPr>
          <w:p>
            <w:pPr>
              <w:spacing w:before="20" w:after="20" w:line="240" w:lineRule="auto"/>
            </w:pPr>
            <w:r>
              <w:rPr>
                <w:sz w:val="18"/>
                <w:szCs w:val="18"/>
              </w:rPr>
              <w:t xml:space="preserve">Conjunto propio de campos de Pakistán; VGG16, DETR, CNN, YOLO y RF</w:t>
            </w:r>
          </w:p>
        </w:tc>
        <w:tc>
          <w:tcPr>
            <w:tcW w:w="1900" w:type="dxa"/>
            <w:vAlign w:val="top"/>
          </w:tcPr>
          <w:p>
            <w:pPr>
              <w:spacing w:before="20" w:after="20" w:line="240" w:lineRule="auto"/>
            </w:pPr>
            <w:r>
              <w:rPr>
                <w:sz w:val="18"/>
                <w:szCs w:val="18"/>
              </w:rPr>
              <w:t xml:space="preserve">Propone una app móvil; YOLO y DETR para tiempo real</w:t>
            </w:r>
          </w:p>
        </w:tc>
        <w:tc>
          <w:tcPr>
            <w:tcW w:w="1738" w:type="dxa"/>
            <w:vAlign w:val="top"/>
          </w:tcPr>
          <w:p>
            <w:pPr>
              <w:spacing w:before="20" w:after="20" w:line="240" w:lineRule="auto"/>
            </w:pPr>
            <w:r>
              <w:rPr>
                <w:sz w:val="18"/>
                <w:szCs w:val="18"/>
              </w:rPr>
              <w:t xml:space="preserve">Exactitud 98 % (VGG16) frente a 80–96 % de los demás</w:t>
            </w:r>
          </w:p>
        </w:tc>
      </w:tr>
    </w:tbl>
    <w:p>
      <w:pPr>
        <w:spacing w:before="40" w:after="200"/>
        <w:jc w:val="both"/>
      </w:pPr>
      <w:r>
        <w:rPr>
          <w:i/>
          <w:iCs/>
          <w:sz w:val="18"/>
          <w:szCs w:val="18"/>
        </w:rPr>
        <w:t xml:space="preserve">Nota.</w:t>
      </w:r>
      <w:r>
        <w:rPr>
          <w:sz w:val="18"/>
          <w:szCs w:val="18"/>
        </w:rPr>
        <w:t xml:space="preserve"> Elaboración propia a partir de los estudios citados. El primer autor de Iqbal et al. (2026) es Iqbal, aunque Scopus lo registra como Ahmed.</w:t>
      </w:r>
    </w:p>
    <w:p>
      <w:pPr>
        <w:ind w:firstLine="720"/>
        <w:jc w:val="both"/>
      </w:pPr>
      <w:r>
        <w:rPr/>
        <w:t xml:space="preserve">Los sistemas recopilados comparten tres rasgos: trabajan con hojas o frutos, los que tienen aplicación procesan la imagen en un servidor y se evaluaron sobre todo con métricas del modelo. La amplitud de resultados de Kochhar et al. (2026), de 44 a 95 % según el cultivo, muestra que el mismo enfoque puede rendir muy distinto en otro conjunto de datos, algo que debe considerarse al trasladarlo a un órgano nuevo como el tallo.</w:t>
      </w:r>
    </w:p>
    <w:p>
      <w:pPr>
        <w:keepNext/>
        <w:spacing w:before="200" w:after="100"/>
        <w:jc w:val="both"/>
      </w:pPr>
      <w:r>
        <w:rPr>
          <w:b/>
          <w:bCs/>
        </w:rPr>
        <w:t xml:space="preserve">2.6 Enfermedades y alteraciones en el aguacate</w:t>
      </w:r>
    </w:p>
    <w:p>
      <w:pPr>
        <w:keepNext/>
        <w:spacing w:before="160" w:after="80"/>
        <w:jc w:val="both"/>
      </w:pPr>
      <w:r>
        <w:rPr>
          <w:b/>
          <w:bCs/>
          <w:i/>
          <w:iCs/>
        </w:rPr>
        <w:t xml:space="preserve">2.6.1 Hojas, frutos y raíz (contexto)</w:t>
      </w:r>
    </w:p>
    <w:p>
      <w:pPr>
        <w:jc w:val="both"/>
      </w:pPr>
      <w:r>
        <w:rPr/>
        <w:t xml:space="preserve">Estos órganos se describen solo para delimitar el alcance, ya que corresponden a otros proyectos. En el </w:t>
      </w:r>
      <w:r>
        <w:rPr>
          <w:b/>
          <w:bCs/>
        </w:rPr>
        <w:t xml:space="preserve">fruto</w:t>
      </w:r>
      <w:r>
        <w:rPr/>
        <w:t xml:space="preserve">, la antracnosis causada por especies de </w:t>
      </w:r>
      <w:r>
        <w:rPr>
          <w:i/>
          <w:iCs/>
        </w:rPr>
        <w:t xml:space="preserve">Colletotrichum</w:t>
      </w:r>
      <w:r>
        <w:rPr/>
        <w:t xml:space="preserve"> es una de las principales enfermedades de poscosecha: en México se obtuvieron 232 aislamientos en seis regiones productoras y </w:t>
      </w:r>
      <w:r>
        <w:rPr>
          <w:i/>
          <w:iCs/>
        </w:rPr>
        <w:t xml:space="preserve">C. siamense</w:t>
      </w:r>
      <w:r>
        <w:rPr/>
        <w:t xml:space="preserve"> fue la especie más frecuente (Fuentes-Aragón et al., 2020); en el sureste de Brasil, </w:t>
      </w:r>
      <w:r>
        <w:rPr>
          <w:i/>
          <w:iCs/>
        </w:rPr>
        <w:t xml:space="preserve">C. siamense</w:t>
      </w:r>
      <w:r>
        <w:rPr/>
        <w:t xml:space="preserve"> es también el agente principal (Soares et al., 2021), y en Chile se registró por primera vez </w:t>
      </w:r>
      <w:r>
        <w:rPr>
          <w:i/>
          <w:iCs/>
        </w:rPr>
        <w:t xml:space="preserve">C. anthrisci</w:t>
      </w:r>
      <w:r>
        <w:rPr/>
        <w:t xml:space="preserve"> (Bustamante et al., 2022). La pudrición peduncular (</w:t>
      </w:r>
      <w:r>
        <w:rPr>
          <w:i/>
          <w:iCs/>
        </w:rPr>
        <w:t xml:space="preserve">stem-end rot</w:t>
      </w:r>
      <w:r>
        <w:rPr/>
        <w:t xml:space="preserve">) es una enfermedad del </w:t>
      </w:r>
      <w:r>
        <w:rPr>
          <w:b/>
          <w:bCs/>
        </w:rPr>
        <w:t xml:space="preserve">fruto</w:t>
      </w:r>
      <w:r>
        <w:rPr/>
        <w:t xml:space="preserve"> que comienza en la inserción del pedúnculo (Möller et al., 2025); en huertos de Chile, los picos de esporas se asociaron a las lluvias y la alta humedad, y la pudrición peduncular alcanzó una incidencia del 44 % en el huerto más afectado (Tapia et al., 2025). Además, en cultivares de piel oscura como Hass es difícil detectar los síntomas del fruto (Vecchio, Martino, et al., 2026).</w:t>
      </w:r>
    </w:p>
    <w:p>
      <w:pPr>
        <w:ind w:firstLine="720"/>
        <w:jc w:val="both"/>
      </w:pPr>
      <w:r>
        <w:rPr/>
        <w:t xml:space="preserve">En las </w:t>
      </w:r>
      <w:r>
        <w:rPr>
          <w:b/>
          <w:bCs/>
        </w:rPr>
        <w:t xml:space="preserve">hojas</w:t>
      </w:r>
      <w:r>
        <w:rPr/>
        <w:t xml:space="preserve"> se describen necrosis pardas que avanzan desde el margen del ápice y manchas de antracnosis (Linaldeddu et al., 2026), así como defoliación por </w:t>
      </w:r>
      <w:r>
        <w:rPr>
          <w:i/>
          <w:iCs/>
        </w:rPr>
        <w:t xml:space="preserve">Neofusicoccum parvum</w:t>
      </w:r>
      <w:r>
        <w:rPr/>
        <w:t xml:space="preserve">, </w:t>
      </w:r>
      <w:r>
        <w:rPr>
          <w:i/>
          <w:iCs/>
        </w:rPr>
        <w:t xml:space="preserve">C. gloeosporioides</w:t>
      </w:r>
      <w:r>
        <w:rPr/>
        <w:t xml:space="preserve"> y </w:t>
      </w:r>
      <w:r>
        <w:rPr>
          <w:i/>
          <w:iCs/>
        </w:rPr>
        <w:t xml:space="preserve">Neopestalotiopsis rosae</w:t>
      </w:r>
      <w:r>
        <w:rPr/>
        <w:t xml:space="preserve"> en inoculaciones (Çalış et al., 2024). En la </w:t>
      </w:r>
      <w:r>
        <w:rPr>
          <w:b/>
          <w:bCs/>
        </w:rPr>
        <w:t xml:space="preserve">raíz</w:t>
      </w:r>
      <w:r>
        <w:rPr/>
        <w:t xml:space="preserve">, la pudrición por </w:t>
      </w:r>
      <w:r>
        <w:rPr>
          <w:i/>
          <w:iCs/>
        </w:rPr>
        <w:t xml:space="preserve">Phytophthora cinnamomi</w:t>
      </w:r>
      <w:r>
        <w:rPr/>
        <w:t xml:space="preserve"> ataca las raíces absorbentes y conduce a la muerte descendente y a la muerte del árbol, y el encharcamiento la agrava (Reeksting et al., 2014); la raíz afectada muestra una necrosis oscura en forma de "cola de rata", y la copa, síntomas inespecíficos como clorosis, enanismo o muerte súbita (Linaldeddu et al., 2026).</w:t>
      </w:r>
    </w:p>
    <w:p>
      <w:pPr>
        <w:keepNext/>
        <w:spacing w:before="160" w:after="80"/>
        <w:jc w:val="both"/>
      </w:pPr>
      <w:r>
        <w:rPr>
          <w:b/>
          <w:bCs/>
          <w:i/>
          <w:iCs/>
        </w:rPr>
        <w:t xml:space="preserve">2.6.2 Tallos, ramas y tronco (núcleo del proyecto)</w:t>
      </w:r>
    </w:p>
    <w:p>
      <w:pPr>
        <w:jc w:val="both"/>
      </w:pPr>
      <w:r>
        <w:rPr/>
        <w:t xml:space="preserve">Las enfermedades de la madera del aguacate forman un complejo con varios agentes. El grupo más estudiado es la familia Botryosphaeriaceae, con más de 220 especies en 24 géneros, de los cuales </w:t>
      </w:r>
      <w:r>
        <w:rPr>
          <w:i/>
          <w:iCs/>
        </w:rPr>
        <w:t xml:space="preserve">Neofusicoccum</w:t>
      </w:r>
      <w:r>
        <w:rPr/>
        <w:t xml:space="preserve"> es el más frecuente y diverso en el aguacate (Möller et al., 2025). Estos hongos pueden vivir como endófitos sin causar síntomas y volverse patógenos cuando el árbol sufre estrés por sequía, deficiencia de nutrientes o heridas (Möller et al., 2025), y es común aislar varias especies a la vez del mismo tejido (Linaldeddu et al., 2026; Möller et al., 2025).</w:t>
      </w:r>
    </w:p>
    <w:p>
      <w:pPr>
        <w:ind w:firstLine="720"/>
        <w:jc w:val="both"/>
      </w:pPr>
      <w:r>
        <w:rPr/>
        <w:t xml:space="preserve">Los reportes regionales muestran la magnitud del problema:</w:t>
      </w:r>
    </w:p>
    <w:p>
      <w:pPr>
        <w:pStyle w:val="Prrafodelista"/>
        <w:numPr>
          <w:ilvl w:val="0"/>
          <w:numId w:val="24"/>
        </w:numPr>
        <w:spacing w:after="60"/>
        <w:ind w:left="714" w:hanging="357"/>
        <w:contextualSpacing w:val="0"/>
        <w:jc w:val="both"/>
      </w:pPr>
      <w:r>
        <w:rPr>
          <w:b/>
          <w:bCs/>
        </w:rPr>
        <w:t xml:space="preserve">España.</w:t>
      </w:r>
      <w:r>
        <w:rPr/>
        <w:t xml:space="preserve"> En Málaga, en 2014, </w:t>
      </w:r>
      <w:r>
        <w:rPr>
          <w:i/>
          <w:iCs/>
        </w:rPr>
        <w:t xml:space="preserve">N. parvum</w:t>
      </w:r>
      <w:r>
        <w:rPr/>
        <w:t xml:space="preserve"> representó el 50 % de 68 aislamientos de ramas con muerte descendente, seguido de </w:t>
      </w:r>
      <w:r>
        <w:rPr>
          <w:i/>
          <w:iCs/>
        </w:rPr>
        <w:t xml:space="preserve">C. gloeosporioides</w:t>
      </w:r>
      <w:r>
        <w:rPr/>
        <w:t xml:space="preserve"> (17,6 %) (Arjona-Girona et al., 2019). Entre 2019 y 2022 se obtuvieron 252 aislamientos en Andalucía, con predominio de </w:t>
      </w:r>
      <w:r>
        <w:rPr>
          <w:i/>
          <w:iCs/>
        </w:rPr>
        <w:t xml:space="preserve">Neofusicoccum</w:t>
      </w:r>
      <w:r>
        <w:rPr/>
        <w:t xml:space="preserve"> (110), y el aumento de la enfermedad se relacionó con la escasez de agua de riego (Crespo et al., 2026). En condiciones mediterráneas, el estrés hídrico produjo la mayor severidad y los árboles de 1 a 2 años fueron los más susceptibles (Guirado-Manzano et al., 2026).</w:t>
      </w:r>
    </w:p>
    <w:p>
      <w:pPr>
        <w:pStyle w:val="Prrafodelista"/>
        <w:numPr>
          <w:ilvl w:val="0"/>
          <w:numId w:val="24"/>
        </w:numPr>
        <w:spacing w:after="60"/>
        <w:ind w:left="714" w:hanging="357"/>
        <w:contextualSpacing w:val="0"/>
        <w:jc w:val="both"/>
      </w:pPr>
      <w:r>
        <w:rPr>
          <w:b/>
          <w:bCs/>
        </w:rPr>
        <w:t xml:space="preserve">Islas Canarias.</w:t>
      </w:r>
      <w:r>
        <w:rPr/>
        <w:t xml:space="preserve"> En Tenerife, la necrosis de ramas (sobre todo muerte descendente) apareció en el 90 % de 40 huertos, y los cancros en ramas y tronco, en el 7,5 % (Hernández et al., 2023).</w:t>
      </w:r>
    </w:p>
    <w:p>
      <w:pPr>
        <w:pStyle w:val="Prrafodelista"/>
        <w:numPr>
          <w:ilvl w:val="0"/>
          <w:numId w:val="24"/>
        </w:numPr>
        <w:spacing w:after="60"/>
        <w:ind w:left="714" w:hanging="357"/>
        <w:contextualSpacing w:val="0"/>
        <w:jc w:val="both"/>
      </w:pPr>
      <w:r>
        <w:rPr>
          <w:b/>
          <w:bCs/>
        </w:rPr>
        <w:t xml:space="preserve">Italia.</w:t>
      </w:r>
      <w:r>
        <w:rPr/>
        <w:t xml:space="preserve"> En Cerdeña y Sicilia, a partir de 430 muestras de 115 plantas se identificaron 22 especies, y los cancros en brotes, ramas y tallo se observaron en el 86 % de los árboles monitoreados (Linaldeddu et al., 2026). En un vivero de Sicilia, </w:t>
      </w:r>
      <w:r>
        <w:rPr>
          <w:i/>
          <w:iCs/>
        </w:rPr>
        <w:t xml:space="preserve">C. perseae</w:t>
      </w:r>
      <w:r>
        <w:rPr/>
        <w:t xml:space="preserve"> y </w:t>
      </w:r>
      <w:r>
        <w:rPr>
          <w:i/>
          <w:iCs/>
        </w:rPr>
        <w:t xml:space="preserve">C. gloeosporioides</w:t>
      </w:r>
      <w:r>
        <w:rPr/>
        <w:t xml:space="preserve"> causaron lesiones en el tallo y muerte descendente, a menudo desde el injerto, con una incidencia superior al 45 % en unas 20 000 plantas (Vecchio, Martino, et al., 2026).</w:t>
      </w:r>
    </w:p>
    <w:p>
      <w:pPr>
        <w:pStyle w:val="Prrafodelista"/>
        <w:numPr>
          <w:ilvl w:val="0"/>
          <w:numId w:val="24"/>
        </w:numPr>
        <w:spacing w:after="60"/>
        <w:ind w:left="714" w:hanging="357"/>
        <w:contextualSpacing w:val="0"/>
        <w:jc w:val="both"/>
      </w:pPr>
      <w:r>
        <w:rPr>
          <w:b/>
          <w:bCs/>
        </w:rPr>
        <w:t xml:space="preserve">Turquía.</w:t>
      </w:r>
      <w:r>
        <w:rPr/>
        <w:t xml:space="preserve"> En 2 537 árboles de 11 regiones de Antalya, la incidencia de enfermedades fue de 33,89 %, y en inoculaciones </w:t>
      </w:r>
      <w:r>
        <w:rPr>
          <w:i/>
          <w:iCs/>
        </w:rPr>
        <w:t xml:space="preserve">P. cinnamomi</w:t>
      </w:r>
      <w:r>
        <w:rPr/>
        <w:t xml:space="preserve">, </w:t>
      </w:r>
      <w:r>
        <w:rPr>
          <w:i/>
          <w:iCs/>
        </w:rPr>
        <w:t xml:space="preserve">Fusarium solani</w:t>
      </w:r>
      <w:r>
        <w:rPr/>
        <w:t xml:space="preserve"> y </w:t>
      </w:r>
      <w:r>
        <w:rPr>
          <w:i/>
          <w:iCs/>
        </w:rPr>
        <w:t xml:space="preserve">F. oxysporum</w:t>
      </w:r>
      <w:r>
        <w:rPr/>
        <w:t xml:space="preserve"> causaron cancros severos en ramas (Çalış et al., 2024).</w:t>
      </w:r>
    </w:p>
    <w:p>
      <w:pPr>
        <w:pStyle w:val="Prrafodelista"/>
        <w:numPr>
          <w:ilvl w:val="0"/>
          <w:numId w:val="24"/>
        </w:numPr>
        <w:spacing w:after="60"/>
        <w:ind w:left="714" w:hanging="357"/>
        <w:contextualSpacing w:val="0"/>
        <w:jc w:val="both"/>
      </w:pPr>
      <w:r>
        <w:rPr>
          <w:b/>
          <w:bCs/>
        </w:rPr>
        <w:t xml:space="preserve">Sudamérica.</w:t>
      </w:r>
      <w:r>
        <w:rPr/>
        <w:t xml:space="preserve"> En Brasil se reportaron por primera vez cuatro hongos causantes de muerte descendente (Silva et al., 2025); en Perú, en </w:t>
      </w:r>
      <w:r>
        <w:rPr>
          <w:i/>
          <w:iCs/>
        </w:rPr>
        <w:t xml:space="preserve">Lasiodiplodia theobromae</w:t>
      </w:r>
      <w:r>
        <w:rPr/>
        <w:t xml:space="preserve"> la necrosis interna avanzó antes que la externa (Rodríguez-Gálvez et al., 2025); en Chile, la incidencia de cancro y muerte descendente fue de 31 a 100 % en 9 de 16 huertos y se asoció a la edad, el volumen de copa y el diámetro del tronco, con heladas y exceso de riego como factores secundarios (Valencia et al., 2022); y en Colombia se secuenció el genoma de </w:t>
      </w:r>
      <w:r>
        <w:rPr>
          <w:i/>
          <w:iCs/>
        </w:rPr>
        <w:t xml:space="preserve">Rugonectria rugulosa</w:t>
      </w:r>
      <w:r>
        <w:rPr/>
        <w:t xml:space="preserve">, aislado de cancros del tronco (Rincón López et al., 2026).</w:t>
      </w:r>
    </w:p>
    <w:p>
      <w:pPr>
        <w:ind w:firstLine="720"/>
        <w:jc w:val="both"/>
      </w:pPr>
      <w:r>
        <w:rPr/>
        <w:t xml:space="preserve">La Tabla 8 relaciona cada grupo de agentes con sus síntomas, separando lo que se ve desde fuera de lo que solo aparece al cortar el tejido.</w:t>
      </w:r>
    </w:p>
    <w:p>
      <w:pPr>
        <w:keepNext/>
        <w:spacing w:before="160" w:after="80"/>
      </w:pPr>
      <w:r>
        <w:rPr>
          <w:b/>
          <w:bCs/>
          <w:sz w:val="20"/>
          <w:szCs w:val="20"/>
        </w:rPr>
        <w:t xml:space="preserve">Tabla 8.</w:t>
      </w:r>
      <w:r>
        <w:rPr>
          <w:sz w:val="20"/>
          <w:szCs w:val="20"/>
        </w:rPr>
        <w:t xml:space="preserve"> </w:t>
      </w:r>
      <w:r>
        <w:rPr>
          <w:i/>
          <w:iCs/>
          <w:sz w:val="20"/>
          <w:szCs w:val="20"/>
        </w:rPr>
        <w:t xml:space="preserve">Agentes causales y síntomas en el tallo, las ramas y el tronco del aguacate</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650"/>
        <w:gridCol w:w="1350"/>
        <w:gridCol w:w="2338"/>
        <w:gridCol w:w="1700"/>
        <w:gridCol w:w="1800"/>
      </w:tblGrid>
      <w:tr>
        <w:trPr>
          <w:tblHeader/>
          <w:cantSplit/>
        </w:trPr>
        <w:tc>
          <w:tcPr>
            <w:tcW w:w="1650" w:type="dxa"/>
            <w:shd w:val="clear" w:color="auto" w:fill="D9E2F3"/>
            <w:vAlign w:val="center"/>
          </w:tcPr>
          <w:p>
            <w:pPr>
              <w:keepNext/>
              <w:spacing w:before="20" w:after="20" w:line="240" w:lineRule="auto"/>
              <w:jc w:val="center"/>
            </w:pPr>
            <w:r>
              <w:rPr>
                <w:b/>
                <w:bCs/>
                <w:sz w:val="18"/>
                <w:szCs w:val="18"/>
              </w:rPr>
              <w:t xml:space="preserve">Agente causal</w:t>
            </w:r>
          </w:p>
        </w:tc>
        <w:tc>
          <w:tcPr>
            <w:tcW w:w="1350" w:type="dxa"/>
            <w:shd w:val="clear" w:color="auto" w:fill="D9E2F3"/>
            <w:vAlign w:val="center"/>
          </w:tcPr>
          <w:p>
            <w:pPr>
              <w:keepNext/>
              <w:spacing w:before="20" w:after="20" w:line="240" w:lineRule="auto"/>
              <w:jc w:val="center"/>
            </w:pPr>
            <w:r>
              <w:rPr>
                <w:b/>
                <w:bCs/>
                <w:sz w:val="18"/>
                <w:szCs w:val="18"/>
              </w:rPr>
              <w:t xml:space="preserve">Enfermedad o alteración</w:t>
            </w:r>
          </w:p>
        </w:tc>
        <w:tc>
          <w:tcPr>
            <w:tcW w:w="2338" w:type="dxa"/>
            <w:shd w:val="clear" w:color="auto" w:fill="D9E2F3"/>
            <w:vAlign w:val="center"/>
          </w:tcPr>
          <w:p>
            <w:pPr>
              <w:keepNext/>
              <w:spacing w:before="20" w:after="20" w:line="240" w:lineRule="auto"/>
              <w:jc w:val="center"/>
            </w:pPr>
            <w:r>
              <w:rPr>
                <w:b/>
                <w:bCs/>
                <w:sz w:val="18"/>
                <w:szCs w:val="18"/>
              </w:rPr>
              <w:t xml:space="preserve">Síntomas externos (visibles en el árbol)</w:t>
            </w:r>
          </w:p>
        </w:tc>
        <w:tc>
          <w:tcPr>
            <w:tcW w:w="1700" w:type="dxa"/>
            <w:shd w:val="clear" w:color="auto" w:fill="D9E2F3"/>
            <w:vAlign w:val="center"/>
          </w:tcPr>
          <w:p>
            <w:pPr>
              <w:keepNext/>
              <w:spacing w:before="20" w:after="20" w:line="240" w:lineRule="auto"/>
              <w:jc w:val="center"/>
            </w:pPr>
            <w:r>
              <w:rPr>
                <w:b/>
                <w:bCs/>
                <w:sz w:val="18"/>
                <w:szCs w:val="18"/>
              </w:rPr>
              <w:t xml:space="preserve">Síntomas internos (requieren corte)</w:t>
            </w:r>
          </w:p>
        </w:tc>
        <w:tc>
          <w:tcPr>
            <w:tcW w:w="1800" w:type="dxa"/>
            <w:shd w:val="clear" w:color="auto" w:fill="D9E2F3"/>
            <w:vAlign w:val="center"/>
          </w:tcPr>
          <w:p>
            <w:pPr>
              <w:keepNext/>
              <w:spacing w:before="20" w:after="20" w:line="240" w:lineRule="auto"/>
              <w:jc w:val="center"/>
            </w:pPr>
            <w:r>
              <w:rPr>
                <w:b/>
                <w:bCs/>
                <w:sz w:val="18"/>
                <w:szCs w:val="18"/>
              </w:rPr>
              <w:t xml:space="preserve">Países y fuentes</w:t>
            </w:r>
          </w:p>
        </w:tc>
      </w:tr>
      <w:tr>
        <w:trPr>
          <w:cantSplit/>
        </w:trPr>
        <w:tc>
          <w:tcPr>
            <w:tcW w:w="1650" w:type="dxa"/>
            <w:vAlign w:val="top"/>
          </w:tcPr>
          <w:p>
            <w:pPr>
              <w:spacing w:before="20" w:after="20" w:line="240" w:lineRule="auto"/>
            </w:pPr>
            <w:r>
              <w:rPr>
                <w:sz w:val="18"/>
                <w:szCs w:val="18"/>
              </w:rPr>
              <w:t xml:space="preserve">Botryosphaeriaceae (</w:t>
            </w:r>
            <w:r>
              <w:rPr>
                <w:i/>
                <w:iCs/>
                <w:sz w:val="18"/>
                <w:szCs w:val="18"/>
              </w:rPr>
              <w:t xml:space="preserve">Neofusicoccum</w:t>
            </w:r>
            <w:r>
              <w:rPr>
                <w:sz w:val="18"/>
                <w:szCs w:val="18"/>
              </w:rPr>
              <w:t xml:space="preserve">, </w:t>
            </w:r>
            <w:r>
              <w:rPr>
                <w:i/>
                <w:iCs/>
                <w:sz w:val="18"/>
                <w:szCs w:val="18"/>
              </w:rPr>
              <w:t xml:space="preserve">Lasiodiplodia</w:t>
            </w:r>
            <w:r>
              <w:rPr>
                <w:sz w:val="18"/>
                <w:szCs w:val="18"/>
              </w:rPr>
              <w:t xml:space="preserve">, </w:t>
            </w:r>
            <w:r>
              <w:rPr>
                <w:i/>
                <w:iCs/>
                <w:sz w:val="18"/>
                <w:szCs w:val="18"/>
              </w:rPr>
              <w:t xml:space="preserve">Diplodia</w:t>
            </w:r>
            <w:r>
              <w:rPr>
                <w:sz w:val="18"/>
                <w:szCs w:val="18"/>
              </w:rPr>
              <w:t xml:space="preserve">, </w:t>
            </w:r>
            <w:r>
              <w:rPr>
                <w:i/>
                <w:iCs/>
                <w:sz w:val="18"/>
                <w:szCs w:val="18"/>
              </w:rPr>
              <w:t xml:space="preserve">Dothiorella</w:t>
            </w:r>
            <w:r>
              <w:rPr>
                <w:sz w:val="18"/>
                <w:szCs w:val="18"/>
              </w:rPr>
              <w:t xml:space="preserve">)</w:t>
            </w:r>
          </w:p>
        </w:tc>
        <w:tc>
          <w:tcPr>
            <w:tcW w:w="1350" w:type="dxa"/>
            <w:vAlign w:val="top"/>
          </w:tcPr>
          <w:p>
            <w:pPr>
              <w:spacing w:before="20" w:after="20" w:line="240" w:lineRule="auto"/>
            </w:pPr>
            <w:r>
              <w:rPr>
                <w:sz w:val="18"/>
                <w:szCs w:val="18"/>
              </w:rPr>
              <w:t xml:space="preserve">Cancro de rama y tronco; muerte descendente</w:t>
            </w:r>
          </w:p>
        </w:tc>
        <w:tc>
          <w:tcPr>
            <w:tcW w:w="2338" w:type="dxa"/>
            <w:vAlign w:val="top"/>
          </w:tcPr>
          <w:p>
            <w:pPr>
              <w:pStyle w:val="Prrafodelista"/>
              <w:numPr>
                <w:ilvl w:val="0"/>
                <w:numId w:val="10"/>
              </w:numPr>
              <w:spacing w:after="20" w:line="240" w:lineRule="auto"/>
              <w:ind w:left="227" w:hanging="227"/>
              <w:contextualSpacing w:val="0"/>
            </w:pPr>
            <w:r>
              <w:rPr>
                <w:sz w:val="18"/>
                <w:szCs w:val="18"/>
              </w:rPr>
              <w:t xml:space="preserve">Cancros hundidos en ramillas, ramas y tronco.</w:t>
            </w:r>
          </w:p>
          <w:p>
            <w:pPr>
              <w:pStyle w:val="Prrafodelista"/>
              <w:numPr>
                <w:ilvl w:val="0"/>
                <w:numId w:val="10"/>
              </w:numPr>
              <w:spacing w:after="20" w:line="240" w:lineRule="auto"/>
              <w:ind w:left="227" w:hanging="227"/>
              <w:contextualSpacing w:val="0"/>
            </w:pPr>
            <w:r>
              <w:rPr>
                <w:sz w:val="18"/>
                <w:szCs w:val="18"/>
              </w:rPr>
              <w:t xml:space="preserve">Exudado rojizo que seca en polvo blanco o blanco-amarillento.</w:t>
            </w:r>
          </w:p>
          <w:p>
            <w:pPr>
              <w:pStyle w:val="Prrafodelista"/>
              <w:numPr>
                <w:ilvl w:val="0"/>
                <w:numId w:val="10"/>
              </w:numPr>
              <w:spacing w:after="20" w:line="240" w:lineRule="auto"/>
              <w:ind w:left="227" w:hanging="227"/>
              <w:contextualSpacing w:val="0"/>
            </w:pPr>
            <w:r>
              <w:rPr>
                <w:sz w:val="18"/>
                <w:szCs w:val="18"/>
              </w:rPr>
              <w:t xml:space="preserve">Corteza oscura, agrietada y quebradiza; protuberancias rugosas.</w:t>
            </w:r>
          </w:p>
          <w:p>
            <w:pPr>
              <w:pStyle w:val="Prrafodelista"/>
              <w:numPr>
                <w:ilvl w:val="0"/>
                <w:numId w:val="10"/>
              </w:numPr>
              <w:spacing w:after="20" w:line="240" w:lineRule="auto"/>
              <w:ind w:left="227" w:hanging="227"/>
              <w:contextualSpacing w:val="0"/>
            </w:pPr>
            <w:r>
              <w:rPr>
                <w:sz w:val="18"/>
                <w:szCs w:val="18"/>
              </w:rPr>
              <w:t xml:space="preserve">Ramas secas con hojas pardas adheridas y frutos negros momificados.</w:t>
            </w:r>
          </w:p>
        </w:tc>
        <w:tc>
          <w:tcPr>
            <w:tcW w:w="1700" w:type="dxa"/>
            <w:vAlign w:val="top"/>
          </w:tcPr>
          <w:p>
            <w:pPr>
              <w:pStyle w:val="Prrafodelista"/>
              <w:numPr>
                <w:ilvl w:val="0"/>
                <w:numId w:val="10"/>
              </w:numPr>
              <w:spacing w:after="20" w:line="240" w:lineRule="auto"/>
              <w:ind w:left="227" w:hanging="227"/>
              <w:contextualSpacing w:val="0"/>
            </w:pPr>
            <w:r>
              <w:rPr>
                <w:sz w:val="18"/>
                <w:szCs w:val="18"/>
              </w:rPr>
              <w:t xml:space="preserve">Necrosis en forma de cuña o V hacia el xilema.</w:t>
            </w:r>
          </w:p>
          <w:p>
            <w:pPr>
              <w:pStyle w:val="Prrafodelista"/>
              <w:numPr>
                <w:ilvl w:val="0"/>
                <w:numId w:val="10"/>
              </w:numPr>
              <w:spacing w:after="20" w:line="240" w:lineRule="auto"/>
              <w:ind w:left="227" w:hanging="227"/>
              <w:contextualSpacing w:val="0"/>
            </w:pPr>
            <w:r>
              <w:rPr>
                <w:sz w:val="18"/>
                <w:szCs w:val="18"/>
              </w:rPr>
              <w:t xml:space="preserve">Madera parda o rojiza; haces vasculares rojizos.</w:t>
            </w:r>
          </w:p>
        </w:tc>
        <w:tc>
          <w:tcPr>
            <w:tcW w:w="1800" w:type="dxa"/>
            <w:vAlign w:val="top"/>
          </w:tcPr>
          <w:p>
            <w:pPr>
              <w:spacing w:before="20" w:after="20" w:line="240" w:lineRule="auto"/>
            </w:pPr>
            <w:r>
              <w:rPr>
                <w:sz w:val="18"/>
                <w:szCs w:val="18"/>
              </w:rPr>
              <w:t xml:space="preserve">España, Canarias, Italia, Chile, Turquía y Perú (Arjona-Girona et al., 2019; Çalış et al., 2024; Crespo et al., 2026; Hernández et al., 2023; Linaldeddu et al., 2026; Möller et al., 2025; Rodríguez-Gálvez et al., 2025; Valencia et al., 2022)</w:t>
            </w:r>
          </w:p>
        </w:tc>
      </w:tr>
      <w:tr>
        <w:trPr>
          <w:cantSplit/>
        </w:trPr>
        <w:tc>
          <w:tcPr>
            <w:tcW w:w="1650" w:type="dxa"/>
            <w:vAlign w:val="top"/>
          </w:tcPr>
          <w:p>
            <w:pPr>
              <w:spacing w:before="20" w:after="20" w:line="240" w:lineRule="auto"/>
            </w:pPr>
            <w:r>
              <w:rPr>
                <w:i/>
                <w:iCs/>
                <w:sz w:val="18"/>
                <w:szCs w:val="18"/>
              </w:rPr>
              <w:t xml:space="preserve">Colletotrichum perseae</w:t>
            </w:r>
            <w:r>
              <w:rPr>
                <w:sz w:val="18"/>
                <w:szCs w:val="18"/>
              </w:rPr>
              <w:t xml:space="preserve"> y </w:t>
            </w:r>
            <w:r>
              <w:rPr>
                <w:i/>
                <w:iCs/>
                <w:sz w:val="18"/>
                <w:szCs w:val="18"/>
              </w:rPr>
              <w:t xml:space="preserve">C. gloeosporioides</w:t>
            </w:r>
          </w:p>
        </w:tc>
        <w:tc>
          <w:tcPr>
            <w:tcW w:w="1350" w:type="dxa"/>
            <w:vAlign w:val="top"/>
          </w:tcPr>
          <w:p>
            <w:pPr>
              <w:spacing w:before="20" w:after="20" w:line="240" w:lineRule="auto"/>
            </w:pPr>
            <w:r>
              <w:rPr>
                <w:sz w:val="18"/>
                <w:szCs w:val="18"/>
              </w:rPr>
              <w:t xml:space="preserve">Lesión del tallo y muerte descendente (vivero, tras el injerto)</w:t>
            </w:r>
          </w:p>
        </w:tc>
        <w:tc>
          <w:tcPr>
            <w:tcW w:w="2338" w:type="dxa"/>
            <w:vAlign w:val="top"/>
          </w:tcPr>
          <w:p>
            <w:pPr>
              <w:pStyle w:val="Prrafodelista"/>
              <w:numPr>
                <w:ilvl w:val="0"/>
                <w:numId w:val="10"/>
              </w:numPr>
              <w:spacing w:after="20" w:line="240" w:lineRule="auto"/>
              <w:ind w:left="227" w:hanging="227"/>
              <w:contextualSpacing w:val="0"/>
            </w:pPr>
            <w:r>
              <w:rPr>
                <w:sz w:val="18"/>
                <w:szCs w:val="18"/>
              </w:rPr>
              <w:t xml:space="preserve">Lesiones necróticas oscuras en brotes y tallos.</w:t>
            </w:r>
          </w:p>
          <w:p>
            <w:pPr>
              <w:pStyle w:val="Prrafodelista"/>
              <w:numPr>
                <w:ilvl w:val="0"/>
                <w:numId w:val="10"/>
              </w:numPr>
              <w:spacing w:after="20" w:line="240" w:lineRule="auto"/>
              <w:ind w:left="227" w:hanging="227"/>
              <w:contextualSpacing w:val="0"/>
            </w:pPr>
            <w:r>
              <w:rPr>
                <w:sz w:val="18"/>
                <w:szCs w:val="18"/>
              </w:rPr>
              <w:t xml:space="preserve">Muerte descendente que suele iniciar en el punto de injerto.</w:t>
            </w:r>
          </w:p>
        </w:tc>
        <w:tc>
          <w:tcPr>
            <w:tcW w:w="1700" w:type="dxa"/>
            <w:vAlign w:val="top"/>
          </w:tcPr>
          <w:p>
            <w:pPr>
              <w:pStyle w:val="Prrafodelista"/>
              <w:numPr>
                <w:ilvl w:val="0"/>
                <w:numId w:val="10"/>
              </w:numPr>
              <w:spacing w:after="20" w:line="240" w:lineRule="auto"/>
              <w:ind w:left="227" w:hanging="227"/>
              <w:contextualSpacing w:val="0"/>
            </w:pPr>
            <w:r>
              <w:rPr>
                <w:sz w:val="18"/>
                <w:szCs w:val="18"/>
              </w:rPr>
              <w:t xml:space="preserve">Decoloración de la madera y estrías pardo-rojizas que se extienden más allá de la lesión externa.</w:t>
            </w:r>
          </w:p>
        </w:tc>
        <w:tc>
          <w:tcPr>
            <w:tcW w:w="1800" w:type="dxa"/>
            <w:vAlign w:val="top"/>
          </w:tcPr>
          <w:p>
            <w:pPr>
              <w:spacing w:before="20" w:after="20" w:line="240" w:lineRule="auto"/>
            </w:pPr>
            <w:r>
              <w:rPr>
                <w:sz w:val="18"/>
                <w:szCs w:val="18"/>
              </w:rPr>
              <w:t xml:space="preserve">Italia y España (Arjona-Girona et al., 2019; Vecchio, Arrebola, et al., 2026; Vecchio, Martino, et al., 2026)</w:t>
            </w:r>
          </w:p>
        </w:tc>
      </w:tr>
      <w:tr>
        <w:trPr>
          <w:cantSplit/>
        </w:trPr>
        <w:tc>
          <w:tcPr>
            <w:tcW w:w="1650" w:type="dxa"/>
            <w:vAlign w:val="top"/>
          </w:tcPr>
          <w:p>
            <w:pPr>
              <w:spacing w:before="20" w:after="20" w:line="240" w:lineRule="auto"/>
            </w:pPr>
            <w:r>
              <w:rPr>
                <w:i/>
                <w:iCs/>
                <w:sz w:val="18"/>
                <w:szCs w:val="18"/>
              </w:rPr>
              <w:t xml:space="preserve">Phytophthora</w:t>
            </w:r>
            <w:r>
              <w:rPr>
                <w:sz w:val="18"/>
                <w:szCs w:val="18"/>
              </w:rPr>
              <w:t xml:space="preserve"> (</w:t>
            </w:r>
            <w:r>
              <w:rPr>
                <w:i/>
                <w:iCs/>
                <w:sz w:val="18"/>
                <w:szCs w:val="18"/>
              </w:rPr>
              <w:t xml:space="preserve">P. citrophthora</w:t>
            </w:r>
            <w:r>
              <w:rPr>
                <w:sz w:val="18"/>
                <w:szCs w:val="18"/>
              </w:rPr>
              <w:t xml:space="preserve">, </w:t>
            </w:r>
            <w:r>
              <w:rPr>
                <w:i/>
                <w:iCs/>
                <w:sz w:val="18"/>
                <w:szCs w:val="18"/>
              </w:rPr>
              <w:t xml:space="preserve">P. palmivora</w:t>
            </w:r>
            <w:r>
              <w:rPr>
                <w:sz w:val="18"/>
                <w:szCs w:val="18"/>
              </w:rPr>
              <w:t xml:space="preserve">, </w:t>
            </w:r>
            <w:r>
              <w:rPr>
                <w:i/>
                <w:iCs/>
                <w:sz w:val="18"/>
                <w:szCs w:val="18"/>
              </w:rPr>
              <w:t xml:space="preserve">P. cinnamomi</w:t>
            </w:r>
            <w:r>
              <w:rPr>
                <w:sz w:val="18"/>
                <w:szCs w:val="18"/>
              </w:rPr>
              <w:t xml:space="preserve">)</w:t>
            </w:r>
          </w:p>
        </w:tc>
        <w:tc>
          <w:tcPr>
            <w:tcW w:w="1350" w:type="dxa"/>
            <w:vAlign w:val="top"/>
          </w:tcPr>
          <w:p>
            <w:pPr>
              <w:spacing w:before="20" w:after="20" w:line="240" w:lineRule="auto"/>
            </w:pPr>
            <w:r>
              <w:rPr>
                <w:sz w:val="18"/>
                <w:szCs w:val="18"/>
              </w:rPr>
              <w:t xml:space="preserve">Necrosis de corteza (cancro sangrante); pudrición del cuello y la raíz</w:t>
            </w:r>
          </w:p>
        </w:tc>
        <w:tc>
          <w:tcPr>
            <w:tcW w:w="2338" w:type="dxa"/>
            <w:vAlign w:val="top"/>
          </w:tcPr>
          <w:p>
            <w:pPr>
              <w:pStyle w:val="Prrafodelista"/>
              <w:numPr>
                <w:ilvl w:val="0"/>
                <w:numId w:val="10"/>
              </w:numPr>
              <w:spacing w:after="20" w:line="240" w:lineRule="auto"/>
              <w:ind w:left="227" w:hanging="227"/>
              <w:contextualSpacing w:val="0"/>
            </w:pPr>
            <w:r>
              <w:rPr>
                <w:sz w:val="18"/>
                <w:szCs w:val="18"/>
              </w:rPr>
              <w:t xml:space="preserve">Necrosis oscura de la corteza con exudados negruzcos, sin aspecto hundido.</w:t>
            </w:r>
          </w:p>
          <w:p>
            <w:pPr>
              <w:pStyle w:val="Prrafodelista"/>
              <w:numPr>
                <w:ilvl w:val="0"/>
                <w:numId w:val="10"/>
              </w:numPr>
              <w:spacing w:after="20" w:line="240" w:lineRule="auto"/>
              <w:ind w:left="227" w:hanging="227"/>
              <w:contextualSpacing w:val="0"/>
            </w:pPr>
            <w:r>
              <w:rPr>
                <w:sz w:val="18"/>
                <w:szCs w:val="18"/>
              </w:rPr>
              <w:t xml:space="preserve">Agrietamiento de la corteza en la base del tallo.</w:t>
            </w:r>
          </w:p>
          <w:p>
            <w:pPr>
              <w:pStyle w:val="Prrafodelista"/>
              <w:numPr>
                <w:ilvl w:val="0"/>
                <w:numId w:val="10"/>
              </w:numPr>
              <w:spacing w:after="20" w:line="240" w:lineRule="auto"/>
              <w:ind w:left="227" w:hanging="227"/>
              <w:contextualSpacing w:val="0"/>
            </w:pPr>
            <w:r>
              <w:rPr>
                <w:sz w:val="18"/>
                <w:szCs w:val="18"/>
              </w:rPr>
              <w:t xml:space="preserve">Síntomas de copa inespecíficos.</w:t>
            </w:r>
          </w:p>
        </w:tc>
        <w:tc>
          <w:tcPr>
            <w:tcW w:w="1700" w:type="dxa"/>
            <w:vAlign w:val="top"/>
          </w:tcPr>
          <w:p>
            <w:pPr>
              <w:pStyle w:val="Prrafodelista"/>
              <w:numPr>
                <w:ilvl w:val="0"/>
                <w:numId w:val="10"/>
              </w:numPr>
              <w:spacing w:after="20" w:line="240" w:lineRule="auto"/>
              <w:ind w:left="227" w:hanging="227"/>
              <w:contextualSpacing w:val="0"/>
            </w:pPr>
            <w:r>
              <w:rPr>
                <w:sz w:val="18"/>
                <w:szCs w:val="18"/>
              </w:rPr>
              <w:t xml:space="preserve">Necrosis limitada a la corteza interna.</w:t>
            </w:r>
          </w:p>
        </w:tc>
        <w:tc>
          <w:tcPr>
            <w:tcW w:w="1800" w:type="dxa"/>
            <w:vAlign w:val="top"/>
          </w:tcPr>
          <w:p>
            <w:pPr>
              <w:spacing w:before="20" w:after="20" w:line="240" w:lineRule="auto"/>
            </w:pPr>
            <w:r>
              <w:rPr>
                <w:sz w:val="18"/>
                <w:szCs w:val="18"/>
              </w:rPr>
              <w:t xml:space="preserve">Italia y Turquía (Çalış et al., 2024; Linaldeddu et al., 2026)</w:t>
            </w:r>
          </w:p>
        </w:tc>
      </w:tr>
      <w:tr>
        <w:trPr>
          <w:cantSplit/>
        </w:trPr>
        <w:tc>
          <w:tcPr>
            <w:tcW w:w="1650" w:type="dxa"/>
            <w:vAlign w:val="top"/>
          </w:tcPr>
          <w:p>
            <w:pPr>
              <w:spacing w:before="20" w:after="20" w:line="240" w:lineRule="auto"/>
            </w:pPr>
            <w:r>
              <w:rPr>
                <w:i/>
                <w:iCs/>
                <w:sz w:val="18"/>
                <w:szCs w:val="18"/>
              </w:rPr>
              <w:t xml:space="preserve">Fusarium solani</w:t>
            </w:r>
            <w:r>
              <w:rPr>
                <w:sz w:val="18"/>
                <w:szCs w:val="18"/>
              </w:rPr>
              <w:t xml:space="preserve"> y </w:t>
            </w:r>
            <w:r>
              <w:rPr>
                <w:i/>
                <w:iCs/>
                <w:sz w:val="18"/>
                <w:szCs w:val="18"/>
              </w:rPr>
              <w:t xml:space="preserve">F. oxysporum</w:t>
            </w:r>
          </w:p>
        </w:tc>
        <w:tc>
          <w:tcPr>
            <w:tcW w:w="1350" w:type="dxa"/>
            <w:vAlign w:val="top"/>
          </w:tcPr>
          <w:p>
            <w:pPr>
              <w:spacing w:before="20" w:after="20" w:line="240" w:lineRule="auto"/>
            </w:pPr>
            <w:r>
              <w:rPr>
                <w:sz w:val="18"/>
                <w:szCs w:val="18"/>
              </w:rPr>
              <w:t xml:space="preserve">Cancro de rama (inoculación)</w:t>
            </w:r>
          </w:p>
        </w:tc>
        <w:tc>
          <w:tcPr>
            <w:tcW w:w="2338" w:type="dxa"/>
            <w:vAlign w:val="top"/>
          </w:tcPr>
          <w:p>
            <w:pPr>
              <w:pStyle w:val="Prrafodelista"/>
              <w:numPr>
                <w:ilvl w:val="0"/>
                <w:numId w:val="10"/>
              </w:numPr>
              <w:spacing w:after="20" w:line="240" w:lineRule="auto"/>
              <w:ind w:left="227" w:hanging="227"/>
              <w:contextualSpacing w:val="0"/>
            </w:pPr>
            <w:r>
              <w:rPr>
                <w:sz w:val="18"/>
                <w:szCs w:val="18"/>
              </w:rPr>
              <w:t xml:space="preserve">Lesiones de gran área en ramas inoculadas.</w:t>
            </w:r>
          </w:p>
        </w:tc>
        <w:tc>
          <w:tcPr>
            <w:tcW w:w="1700" w:type="dxa"/>
            <w:vAlign w:val="top"/>
          </w:tcPr>
          <w:p>
            <w:pPr>
              <w:pStyle w:val="Prrafodelista"/>
              <w:numPr>
                <w:ilvl w:val="0"/>
                <w:numId w:val="10"/>
              </w:numPr>
              <w:spacing w:after="20" w:line="240" w:lineRule="auto"/>
              <w:ind w:left="227" w:hanging="227"/>
              <w:contextualSpacing w:val="0"/>
            </w:pPr>
            <w:r>
              <w:rPr>
                <w:sz w:val="18"/>
                <w:szCs w:val="18"/>
              </w:rPr>
              <w:t xml:space="preserve">No se describen.</w:t>
            </w:r>
          </w:p>
        </w:tc>
        <w:tc>
          <w:tcPr>
            <w:tcW w:w="1800" w:type="dxa"/>
            <w:vAlign w:val="top"/>
          </w:tcPr>
          <w:p>
            <w:pPr>
              <w:spacing w:before="20" w:after="20" w:line="240" w:lineRule="auto"/>
            </w:pPr>
            <w:r>
              <w:rPr>
                <w:sz w:val="18"/>
                <w:szCs w:val="18"/>
              </w:rPr>
              <w:t xml:space="preserve">Turquía (Çalış et al., 2024)</w:t>
            </w:r>
          </w:p>
        </w:tc>
      </w:tr>
      <w:tr>
        <w:trPr>
          <w:cantSplit/>
        </w:trPr>
        <w:tc>
          <w:tcPr>
            <w:tcW w:w="1650" w:type="dxa"/>
            <w:vAlign w:val="top"/>
          </w:tcPr>
          <w:p>
            <w:pPr>
              <w:spacing w:before="20" w:after="20" w:line="240" w:lineRule="auto"/>
            </w:pPr>
            <w:r>
              <w:rPr>
                <w:sz w:val="18"/>
                <w:szCs w:val="18"/>
              </w:rPr>
              <w:t xml:space="preserve">Nectriaceae y otros (</w:t>
            </w:r>
            <w:r>
              <w:rPr>
                <w:i/>
                <w:iCs/>
                <w:sz w:val="18"/>
                <w:szCs w:val="18"/>
              </w:rPr>
              <w:t xml:space="preserve">Nectria pseudotrichia</w:t>
            </w:r>
            <w:r>
              <w:rPr>
                <w:sz w:val="18"/>
                <w:szCs w:val="18"/>
              </w:rPr>
              <w:t xml:space="preserve">, </w:t>
            </w:r>
            <w:r>
              <w:rPr>
                <w:i/>
                <w:iCs/>
                <w:sz w:val="18"/>
                <w:szCs w:val="18"/>
              </w:rPr>
              <w:t xml:space="preserve">Neocosmospora bostrycoides</w:t>
            </w:r>
            <w:r>
              <w:rPr>
                <w:sz w:val="18"/>
                <w:szCs w:val="18"/>
              </w:rPr>
              <w:t xml:space="preserve">, </w:t>
            </w:r>
            <w:r>
              <w:rPr>
                <w:i/>
                <w:iCs/>
                <w:sz w:val="18"/>
                <w:szCs w:val="18"/>
              </w:rPr>
              <w:t xml:space="preserve">Cytospora viridistroma</w:t>
            </w:r>
            <w:r>
              <w:rPr>
                <w:sz w:val="18"/>
                <w:szCs w:val="18"/>
              </w:rPr>
              <w:t xml:space="preserve">, </w:t>
            </w:r>
            <w:r>
              <w:rPr>
                <w:i/>
                <w:iCs/>
                <w:sz w:val="18"/>
                <w:szCs w:val="18"/>
              </w:rPr>
              <w:t xml:space="preserve">Neopestalotiopsis arecacearum</w:t>
            </w:r>
            <w:r>
              <w:rPr>
                <w:sz w:val="18"/>
                <w:szCs w:val="18"/>
              </w:rPr>
              <w:t xml:space="preserve">, </w:t>
            </w:r>
            <w:r>
              <w:rPr>
                <w:i/>
                <w:iCs/>
                <w:sz w:val="18"/>
                <w:szCs w:val="18"/>
              </w:rPr>
              <w:t xml:space="preserve">Rugonectria rugulosa</w:t>
            </w:r>
            <w:r>
              <w:rPr>
                <w:sz w:val="18"/>
                <w:szCs w:val="18"/>
              </w:rPr>
              <w:t xml:space="preserve">, </w:t>
            </w:r>
            <w:r>
              <w:rPr>
                <w:i/>
                <w:iCs/>
                <w:sz w:val="18"/>
                <w:szCs w:val="18"/>
              </w:rPr>
              <w:t xml:space="preserve">Diaporthe foeniculina</w:t>
            </w:r>
            <w:r>
              <w:rPr>
                <w:sz w:val="18"/>
                <w:szCs w:val="18"/>
              </w:rPr>
              <w:t xml:space="preserve">)</w:t>
            </w:r>
          </w:p>
        </w:tc>
        <w:tc>
          <w:tcPr>
            <w:tcW w:w="1350" w:type="dxa"/>
            <w:vAlign w:val="top"/>
          </w:tcPr>
          <w:p>
            <w:pPr>
              <w:spacing w:before="20" w:after="20" w:line="240" w:lineRule="auto"/>
            </w:pPr>
            <w:r>
              <w:rPr>
                <w:sz w:val="18"/>
                <w:szCs w:val="18"/>
              </w:rPr>
              <w:t xml:space="preserve">Muerte descendente; cancro del tronco</w:t>
            </w:r>
          </w:p>
        </w:tc>
        <w:tc>
          <w:tcPr>
            <w:tcW w:w="2338" w:type="dxa"/>
            <w:vAlign w:val="top"/>
          </w:tcPr>
          <w:p>
            <w:pPr>
              <w:pStyle w:val="Prrafodelista"/>
              <w:numPr>
                <w:ilvl w:val="0"/>
                <w:numId w:val="10"/>
              </w:numPr>
              <w:spacing w:after="20" w:line="240" w:lineRule="auto"/>
              <w:ind w:left="227" w:hanging="227"/>
              <w:contextualSpacing w:val="0"/>
            </w:pPr>
            <w:r>
              <w:rPr>
                <w:sz w:val="18"/>
                <w:szCs w:val="18"/>
              </w:rPr>
              <w:t xml:space="preserve">Marchitez, caída intensa de hojas y muerte descendente.</w:t>
            </w:r>
          </w:p>
          <w:p>
            <w:pPr>
              <w:pStyle w:val="Prrafodelista"/>
              <w:numPr>
                <w:ilvl w:val="0"/>
                <w:numId w:val="10"/>
              </w:numPr>
              <w:spacing w:after="20" w:line="240" w:lineRule="auto"/>
              <w:ind w:left="227" w:hanging="227"/>
              <w:contextualSpacing w:val="0"/>
            </w:pPr>
            <w:r>
              <w:rPr>
                <w:sz w:val="18"/>
                <w:szCs w:val="18"/>
              </w:rPr>
              <w:t xml:space="preserve">Cancro activo en el tronco.</w:t>
            </w:r>
          </w:p>
        </w:tc>
        <w:tc>
          <w:tcPr>
            <w:tcW w:w="1700" w:type="dxa"/>
            <w:vAlign w:val="top"/>
          </w:tcPr>
          <w:p>
            <w:pPr>
              <w:pStyle w:val="Prrafodelista"/>
              <w:numPr>
                <w:ilvl w:val="0"/>
                <w:numId w:val="10"/>
              </w:numPr>
              <w:spacing w:after="20" w:line="240" w:lineRule="auto"/>
              <w:ind w:left="227" w:hanging="227"/>
              <w:contextualSpacing w:val="0"/>
            </w:pPr>
            <w:r>
              <w:rPr>
                <w:sz w:val="18"/>
                <w:szCs w:val="18"/>
              </w:rPr>
              <w:t xml:space="preserve">Tejidos internos necróticos y oscurecimiento vascular.</w:t>
            </w:r>
          </w:p>
        </w:tc>
        <w:tc>
          <w:tcPr>
            <w:tcW w:w="1800" w:type="dxa"/>
            <w:vAlign w:val="top"/>
          </w:tcPr>
          <w:p>
            <w:pPr>
              <w:spacing w:before="20" w:after="20" w:line="240" w:lineRule="auto"/>
            </w:pPr>
            <w:r>
              <w:rPr>
                <w:sz w:val="18"/>
                <w:szCs w:val="18"/>
              </w:rPr>
              <w:t xml:space="preserve">Brasil, Colombia y España (Crespo et al., 2026; Rincón López et al., 2026; Silva et al., 2025)</w:t>
            </w:r>
          </w:p>
        </w:tc>
      </w:tr>
    </w:tbl>
    <w:p>
      <w:pPr>
        <w:spacing w:before="40" w:after="200"/>
        <w:jc w:val="both"/>
      </w:pPr>
      <w:r>
        <w:rPr>
          <w:i/>
          <w:iCs/>
          <w:sz w:val="18"/>
          <w:szCs w:val="18"/>
        </w:rPr>
        <w:t xml:space="preserve">Nota.</w:t>
      </w:r>
      <w:r>
        <w:rPr>
          <w:sz w:val="18"/>
          <w:szCs w:val="18"/>
        </w:rPr>
        <w:t xml:space="preserve"> Elaboración propia a partir de los estudios citados. Los síntomas no son exclusivos de cada agente: varios patógenos producen cuadros parecidos y pueden aparecer juntos.</w:t>
      </w:r>
    </w:p>
    <w:p>
      <w:pPr>
        <w:ind w:firstLine="720"/>
        <w:jc w:val="both"/>
      </w:pPr>
      <w:r>
        <w:rPr/>
        <w:t xml:space="preserve">En cuanto a la severidad, Guirado-Manzano et al. (2026) evaluaron la muerte descendente con una escala visual de cuatro categorías (0: sin síntomas; 1: ≤ 15 % de la planta afectada; 2: 15–50 %; 3: &gt; 50 %), y en el manejo, los bioformulados redujeron entre 37 y 91 % las lesiones por </w:t>
      </w:r>
      <w:r>
        <w:rPr>
          <w:i/>
          <w:iCs/>
        </w:rPr>
        <w:t xml:space="preserve">C. perseae</w:t>
      </w:r>
      <w:r>
        <w:rPr/>
        <w:t xml:space="preserve"> en ramillas (Vecchio, Arrebola, et al., 2026). Que la severidad se estime a simple vista indica que existe una base visual sobre la cual se podría construir un etiquetado de imágenes.</w:t>
      </w:r>
    </w:p>
    <w:p>
      <w:pPr>
        <w:keepNext/>
        <w:spacing w:before="160" w:after="80"/>
        <w:jc w:val="both"/>
      </w:pPr>
      <w:r>
        <w:rPr>
          <w:b/>
          <w:bCs/>
          <w:i/>
          <w:iCs/>
        </w:rPr>
        <w:t xml:space="preserve">2.6.3 Implicaciones para el diagnóstico por imagen</w:t>
      </w:r>
    </w:p>
    <w:p>
      <w:pPr>
        <w:jc w:val="both"/>
      </w:pPr>
      <w:r>
        <w:rPr/>
        <w:t xml:space="preserve">La evidencia anterior permite distinguir qué puede captar una fotografía del tallo y qué no (Tabla 9). El hallazgo más importante es que los síntomas no identifican a la especie: cada patógeno de Botryosphaeriaceae puede causar varios síntomas y estos se superponen (Möller et al., 2025); especies de </w:t>
      </w:r>
      <w:r>
        <w:rPr>
          <w:i/>
          <w:iCs/>
        </w:rPr>
        <w:t xml:space="preserve">Colletotrichum</w:t>
      </w:r>
      <w:r>
        <w:rPr/>
        <w:t xml:space="preserve"> y </w:t>
      </w:r>
      <w:r>
        <w:rPr>
          <w:i/>
          <w:iCs/>
        </w:rPr>
        <w:t xml:space="preserve">Alternaria</w:t>
      </w:r>
      <w:r>
        <w:rPr/>
        <w:t xml:space="preserve"> causan síntomas similares que pueden atribuirse por error a Botryosphaeriaceae (Hernández et al., 2023); y, vistos desde fuera, los síntomas de </w:t>
      </w:r>
      <w:r>
        <w:rPr>
          <w:i/>
          <w:iCs/>
        </w:rPr>
        <w:t xml:space="preserve">Phytophthora</w:t>
      </w:r>
      <w:r>
        <w:rPr/>
        <w:t xml:space="preserve"> en el tronco pueden parecer idénticos a los de Botryosphaeriaceae, lo que para Linaldeddu et al. (2026) plantea un límite al diagnóstico automático de enfermedades a partir de imágenes con IA.</w:t>
      </w:r>
    </w:p>
    <w:p>
      <w:pPr>
        <w:keepNext/>
        <w:spacing w:before="160" w:after="80"/>
      </w:pPr>
      <w:r>
        <w:rPr>
          <w:b/>
          <w:bCs/>
          <w:sz w:val="20"/>
          <w:szCs w:val="20"/>
        </w:rPr>
        <w:t xml:space="preserve">Tabla 9.</w:t>
      </w:r>
      <w:r>
        <w:rPr>
          <w:sz w:val="20"/>
          <w:szCs w:val="20"/>
        </w:rPr>
        <w:t xml:space="preserve"> </w:t>
      </w:r>
      <w:r>
        <w:rPr>
          <w:i/>
          <w:iCs/>
          <w:sz w:val="20"/>
          <w:szCs w:val="20"/>
        </w:rPr>
        <w:t xml:space="preserve">Qué puede y qué no puede captar una fotografía del tallo del aguacate</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000"/>
        <w:gridCol w:w="1700"/>
        <w:gridCol w:w="2538"/>
        <w:gridCol w:w="2600"/>
      </w:tblGrid>
      <w:tr>
        <w:trPr>
          <w:tblHeader/>
          <w:cantSplit/>
        </w:trPr>
        <w:tc>
          <w:tcPr>
            <w:tcW w:w="2000" w:type="dxa"/>
            <w:shd w:val="clear" w:color="auto" w:fill="D9E2F3"/>
            <w:vAlign w:val="center"/>
          </w:tcPr>
          <w:p>
            <w:pPr>
              <w:keepNext/>
              <w:spacing w:before="20" w:after="20" w:line="240" w:lineRule="auto"/>
              <w:jc w:val="center"/>
            </w:pPr>
            <w:r>
              <w:rPr>
                <w:b/>
                <w:bCs/>
                <w:sz w:val="18"/>
                <w:szCs w:val="18"/>
              </w:rPr>
              <w:t xml:space="preserve">Aspecto</w:t>
            </w:r>
          </w:p>
        </w:tc>
        <w:tc>
          <w:tcPr>
            <w:tcW w:w="1700" w:type="dxa"/>
            <w:shd w:val="clear" w:color="auto" w:fill="D9E2F3"/>
            <w:vAlign w:val="center"/>
          </w:tcPr>
          <w:p>
            <w:pPr>
              <w:keepNext/>
              <w:spacing w:before="20" w:after="20" w:line="240" w:lineRule="auto"/>
              <w:jc w:val="center"/>
            </w:pPr>
            <w:r>
              <w:rPr>
                <w:b/>
                <w:bCs/>
                <w:sz w:val="18"/>
                <w:szCs w:val="18"/>
              </w:rPr>
              <w:t xml:space="preserve">¿Visible en una foto externa?</w:t>
            </w:r>
          </w:p>
        </w:tc>
        <w:tc>
          <w:tcPr>
            <w:tcW w:w="2538" w:type="dxa"/>
            <w:shd w:val="clear" w:color="auto" w:fill="D9E2F3"/>
            <w:vAlign w:val="center"/>
          </w:tcPr>
          <w:p>
            <w:pPr>
              <w:keepNext/>
              <w:spacing w:before="20" w:after="20" w:line="240" w:lineRule="auto"/>
              <w:jc w:val="center"/>
            </w:pPr>
            <w:r>
              <w:rPr>
                <w:b/>
                <w:bCs/>
                <w:sz w:val="18"/>
                <w:szCs w:val="18"/>
              </w:rPr>
              <w:t xml:space="preserve">Evidencia</w:t>
            </w:r>
          </w:p>
        </w:tc>
        <w:tc>
          <w:tcPr>
            <w:tcW w:w="2600" w:type="dxa"/>
            <w:shd w:val="clear" w:color="auto" w:fill="D9E2F3"/>
            <w:vAlign w:val="center"/>
          </w:tcPr>
          <w:p>
            <w:pPr>
              <w:keepNext/>
              <w:spacing w:before="20" w:after="20" w:line="240" w:lineRule="auto"/>
              <w:jc w:val="center"/>
            </w:pPr>
            <w:r>
              <w:rPr>
                <w:b/>
                <w:bCs/>
                <w:sz w:val="18"/>
                <w:szCs w:val="18"/>
              </w:rPr>
              <w:t xml:space="preserve">Implicación para la aplicación</w:t>
            </w:r>
          </w:p>
        </w:tc>
      </w:tr>
      <w:tr>
        <w:trPr>
          <w:cantSplit/>
        </w:trPr>
        <w:tc>
          <w:tcPr>
            <w:tcW w:w="2000" w:type="dxa"/>
            <w:vAlign w:val="top"/>
          </w:tcPr>
          <w:p>
            <w:pPr>
              <w:spacing w:before="20" w:after="20" w:line="240" w:lineRule="auto"/>
            </w:pPr>
            <w:r>
              <w:rPr>
                <w:b/>
                <w:bCs/>
                <w:sz w:val="18"/>
                <w:szCs w:val="18"/>
              </w:rPr>
              <w:t xml:space="preserve">Cancro, exudado, corteza oscura o agrietada</w:t>
            </w:r>
          </w:p>
        </w:tc>
        <w:tc>
          <w:tcPr>
            <w:tcW w:w="1700" w:type="dxa"/>
            <w:vAlign w:val="top"/>
          </w:tcPr>
          <w:p>
            <w:pPr>
              <w:spacing w:before="20" w:after="20" w:line="240" w:lineRule="auto"/>
            </w:pPr>
            <w:r>
              <w:rPr>
                <w:sz w:val="18"/>
                <w:szCs w:val="18"/>
              </w:rPr>
              <w:t xml:space="preserve">Sí</w:t>
            </w:r>
          </w:p>
        </w:tc>
        <w:tc>
          <w:tcPr>
            <w:tcW w:w="2538" w:type="dxa"/>
            <w:vAlign w:val="top"/>
          </w:tcPr>
          <w:p>
            <w:pPr>
              <w:spacing w:before="20" w:after="20" w:line="240" w:lineRule="auto"/>
            </w:pPr>
            <w:r>
              <w:rPr>
                <w:sz w:val="18"/>
                <w:szCs w:val="18"/>
              </w:rPr>
              <w:t xml:space="preserve">Hernández et al. (2023); Linaldeddu et al. (2026); Möller et al. (2025)</w:t>
            </w:r>
          </w:p>
        </w:tc>
        <w:tc>
          <w:tcPr>
            <w:tcW w:w="2600" w:type="dxa"/>
            <w:vAlign w:val="top"/>
          </w:tcPr>
          <w:p>
            <w:pPr>
              <w:spacing w:before="20" w:after="20" w:line="240" w:lineRule="auto"/>
            </w:pPr>
            <w:r>
              <w:rPr>
                <w:sz w:val="18"/>
                <w:szCs w:val="18"/>
              </w:rPr>
              <w:t xml:space="preserve">Base de las clases de síntoma; guiar la captura de cerca.</w:t>
            </w:r>
          </w:p>
        </w:tc>
      </w:tr>
      <w:tr>
        <w:trPr>
          <w:cantSplit/>
        </w:trPr>
        <w:tc>
          <w:tcPr>
            <w:tcW w:w="2000" w:type="dxa"/>
            <w:vAlign w:val="top"/>
          </w:tcPr>
          <w:p>
            <w:pPr>
              <w:spacing w:before="20" w:after="20" w:line="240" w:lineRule="auto"/>
            </w:pPr>
            <w:r>
              <w:rPr>
                <w:b/>
                <w:bCs/>
                <w:sz w:val="18"/>
                <w:szCs w:val="18"/>
              </w:rPr>
              <w:t xml:space="preserve">Muerte descendente de ramillas</w:t>
            </w:r>
          </w:p>
        </w:tc>
        <w:tc>
          <w:tcPr>
            <w:tcW w:w="1700" w:type="dxa"/>
            <w:vAlign w:val="top"/>
          </w:tcPr>
          <w:p>
            <w:pPr>
              <w:spacing w:before="20" w:after="20" w:line="240" w:lineRule="auto"/>
            </w:pPr>
            <w:r>
              <w:rPr>
                <w:sz w:val="18"/>
                <w:szCs w:val="18"/>
              </w:rPr>
              <w:t xml:space="preserve">Sí, a distancia</w:t>
            </w:r>
          </w:p>
        </w:tc>
        <w:tc>
          <w:tcPr>
            <w:tcW w:w="2538" w:type="dxa"/>
            <w:vAlign w:val="top"/>
          </w:tcPr>
          <w:p>
            <w:pPr>
              <w:spacing w:before="20" w:after="20" w:line="240" w:lineRule="auto"/>
            </w:pPr>
            <w:r>
              <w:rPr>
                <w:sz w:val="18"/>
                <w:szCs w:val="18"/>
              </w:rPr>
              <w:t xml:space="preserve">Crespo et al. (2026); Valencia et al. (2022)</w:t>
            </w:r>
          </w:p>
        </w:tc>
        <w:tc>
          <w:tcPr>
            <w:tcW w:w="2600" w:type="dxa"/>
            <w:vAlign w:val="top"/>
          </w:tcPr>
          <w:p>
            <w:pPr>
              <w:spacing w:before="20" w:after="20" w:line="240" w:lineRule="auto"/>
            </w:pPr>
            <w:r>
              <w:rPr>
                <w:sz w:val="18"/>
                <w:szCs w:val="18"/>
              </w:rPr>
              <w:t xml:space="preserve">Requiere una toma de la rama o la copa, además del primer plano.</w:t>
            </w:r>
          </w:p>
        </w:tc>
      </w:tr>
      <w:tr>
        <w:trPr>
          <w:cantSplit/>
        </w:trPr>
        <w:tc>
          <w:tcPr>
            <w:tcW w:w="2000" w:type="dxa"/>
            <w:vAlign w:val="top"/>
          </w:tcPr>
          <w:p>
            <w:pPr>
              <w:spacing w:before="20" w:after="20" w:line="240" w:lineRule="auto"/>
            </w:pPr>
            <w:r>
              <w:rPr>
                <w:b/>
                <w:bCs/>
                <w:sz w:val="18"/>
                <w:szCs w:val="18"/>
              </w:rPr>
              <w:t xml:space="preserve">Aspecto hundido frente a no hundido</w:t>
            </w:r>
          </w:p>
        </w:tc>
        <w:tc>
          <w:tcPr>
            <w:tcW w:w="1700" w:type="dxa"/>
            <w:vAlign w:val="top"/>
          </w:tcPr>
          <w:p>
            <w:pPr>
              <w:spacing w:before="20" w:after="20" w:line="240" w:lineRule="auto"/>
            </w:pPr>
            <w:r>
              <w:rPr>
                <w:sz w:val="18"/>
                <w:szCs w:val="18"/>
              </w:rPr>
              <w:t xml:space="preserve">Parcialmente; menos claro en el tronco principal</w:t>
            </w:r>
          </w:p>
        </w:tc>
        <w:tc>
          <w:tcPr>
            <w:tcW w:w="2538" w:type="dxa"/>
            <w:vAlign w:val="top"/>
          </w:tcPr>
          <w:p>
            <w:pPr>
              <w:spacing w:before="20" w:after="20" w:line="240" w:lineRule="auto"/>
            </w:pPr>
            <w:r>
              <w:rPr>
                <w:sz w:val="18"/>
                <w:szCs w:val="18"/>
              </w:rPr>
              <w:t xml:space="preserve">Linaldeddu et al. (2026)</w:t>
            </w:r>
          </w:p>
        </w:tc>
        <w:tc>
          <w:tcPr>
            <w:tcW w:w="2600" w:type="dxa"/>
            <w:vAlign w:val="top"/>
          </w:tcPr>
          <w:p>
            <w:pPr>
              <w:spacing w:before="20" w:after="20" w:line="240" w:lineRule="auto"/>
            </w:pPr>
            <w:r>
              <w:rPr>
                <w:sz w:val="18"/>
                <w:szCs w:val="18"/>
              </w:rPr>
              <w:t xml:space="preserve">Ayuda a diferenciar síntomas, pero no confirma el agente.</w:t>
            </w:r>
          </w:p>
        </w:tc>
      </w:tr>
      <w:tr>
        <w:trPr>
          <w:cantSplit/>
        </w:trPr>
        <w:tc>
          <w:tcPr>
            <w:tcW w:w="2000" w:type="dxa"/>
            <w:vAlign w:val="top"/>
          </w:tcPr>
          <w:p>
            <w:pPr>
              <w:spacing w:before="20" w:after="20" w:line="240" w:lineRule="auto"/>
            </w:pPr>
            <w:r>
              <w:rPr>
                <w:b/>
                <w:bCs/>
                <w:sz w:val="18"/>
                <w:szCs w:val="18"/>
              </w:rPr>
              <w:t xml:space="preserve">Necrosis interna en cuña y haces vasculares rojizos</w:t>
            </w:r>
          </w:p>
        </w:tc>
        <w:tc>
          <w:tcPr>
            <w:tcW w:w="1700" w:type="dxa"/>
            <w:vAlign w:val="top"/>
          </w:tcPr>
          <w:p>
            <w:pPr>
              <w:spacing w:before="20" w:after="20" w:line="240" w:lineRule="auto"/>
            </w:pPr>
            <w:r>
              <w:rPr>
                <w:sz w:val="18"/>
                <w:szCs w:val="18"/>
              </w:rPr>
              <w:t xml:space="preserve">No; solo con un corte</w:t>
            </w:r>
          </w:p>
        </w:tc>
        <w:tc>
          <w:tcPr>
            <w:tcW w:w="2538" w:type="dxa"/>
            <w:vAlign w:val="top"/>
          </w:tcPr>
          <w:p>
            <w:pPr>
              <w:spacing w:before="20" w:after="20" w:line="240" w:lineRule="auto"/>
            </w:pPr>
            <w:r>
              <w:rPr>
                <w:sz w:val="18"/>
                <w:szCs w:val="18"/>
              </w:rPr>
              <w:t xml:space="preserve">Crespo et al. (2026); Hernández et al. (2023); Möller et al. (2025)</w:t>
            </w:r>
          </w:p>
        </w:tc>
        <w:tc>
          <w:tcPr>
            <w:tcW w:w="2600" w:type="dxa"/>
            <w:vAlign w:val="top"/>
          </w:tcPr>
          <w:p>
            <w:pPr>
              <w:spacing w:before="20" w:after="20" w:line="240" w:lineRule="auto"/>
            </w:pPr>
            <w:r>
              <w:rPr>
                <w:sz w:val="18"/>
                <w:szCs w:val="18"/>
              </w:rPr>
              <w:t xml:space="preserve">Posible clase opcional con foto de un corte de poda (validar con la tutora).</w:t>
            </w:r>
          </w:p>
        </w:tc>
      </w:tr>
      <w:tr>
        <w:trPr>
          <w:cantSplit/>
        </w:trPr>
        <w:tc>
          <w:tcPr>
            <w:tcW w:w="2000" w:type="dxa"/>
            <w:vAlign w:val="top"/>
          </w:tcPr>
          <w:p>
            <w:pPr>
              <w:spacing w:before="20" w:after="20" w:line="240" w:lineRule="auto"/>
            </w:pPr>
            <w:r>
              <w:rPr>
                <w:b/>
                <w:bCs/>
                <w:sz w:val="18"/>
                <w:szCs w:val="18"/>
              </w:rPr>
              <w:t xml:space="preserve">Avance interno de la infección</w:t>
            </w:r>
          </w:p>
        </w:tc>
        <w:tc>
          <w:tcPr>
            <w:tcW w:w="1700" w:type="dxa"/>
            <w:vAlign w:val="top"/>
          </w:tcPr>
          <w:p>
            <w:pPr>
              <w:spacing w:before="20" w:after="20" w:line="240" w:lineRule="auto"/>
            </w:pPr>
            <w:r>
              <w:rPr>
                <w:sz w:val="18"/>
                <w:szCs w:val="18"/>
              </w:rPr>
              <w:t xml:space="preserve">No; la necrosis interna precede a la externa</w:t>
            </w:r>
          </w:p>
        </w:tc>
        <w:tc>
          <w:tcPr>
            <w:tcW w:w="2538" w:type="dxa"/>
            <w:vAlign w:val="top"/>
          </w:tcPr>
          <w:p>
            <w:pPr>
              <w:spacing w:before="20" w:after="20" w:line="240" w:lineRule="auto"/>
            </w:pPr>
            <w:r>
              <w:rPr>
                <w:sz w:val="18"/>
                <w:szCs w:val="18"/>
              </w:rPr>
              <w:t xml:space="preserve">Rodríguez-Gálvez et al. (2025); Vecchio, Martino, et al. (2026)</w:t>
            </w:r>
          </w:p>
        </w:tc>
        <w:tc>
          <w:tcPr>
            <w:tcW w:w="2600" w:type="dxa"/>
            <w:vAlign w:val="top"/>
          </w:tcPr>
          <w:p>
            <w:pPr>
              <w:spacing w:before="20" w:after="20" w:line="240" w:lineRule="auto"/>
            </w:pPr>
            <w:r>
              <w:rPr>
                <w:sz w:val="18"/>
                <w:szCs w:val="18"/>
              </w:rPr>
              <w:t xml:space="preserve">La foto subestima el daño; advertirlo en el resultado.</w:t>
            </w:r>
          </w:p>
        </w:tc>
      </w:tr>
      <w:tr>
        <w:trPr>
          <w:cantSplit/>
        </w:trPr>
        <w:tc>
          <w:tcPr>
            <w:tcW w:w="2000" w:type="dxa"/>
            <w:vAlign w:val="top"/>
          </w:tcPr>
          <w:p>
            <w:pPr>
              <w:spacing w:before="20" w:after="20" w:line="240" w:lineRule="auto"/>
            </w:pPr>
            <w:r>
              <w:rPr>
                <w:b/>
                <w:bCs/>
                <w:sz w:val="18"/>
                <w:szCs w:val="18"/>
              </w:rPr>
              <w:t xml:space="preserve">Infección latente (endófita)</w:t>
            </w:r>
          </w:p>
        </w:tc>
        <w:tc>
          <w:tcPr>
            <w:tcW w:w="1700" w:type="dxa"/>
            <w:vAlign w:val="top"/>
          </w:tcPr>
          <w:p>
            <w:pPr>
              <w:spacing w:before="20" w:after="20" w:line="240" w:lineRule="auto"/>
            </w:pPr>
            <w:r>
              <w:rPr>
                <w:sz w:val="18"/>
                <w:szCs w:val="18"/>
              </w:rPr>
              <w:t xml:space="preserve">No</w:t>
            </w:r>
          </w:p>
        </w:tc>
        <w:tc>
          <w:tcPr>
            <w:tcW w:w="2538" w:type="dxa"/>
            <w:vAlign w:val="top"/>
          </w:tcPr>
          <w:p>
            <w:pPr>
              <w:spacing w:before="20" w:after="20" w:line="240" w:lineRule="auto"/>
            </w:pPr>
            <w:r>
              <w:rPr>
                <w:sz w:val="18"/>
                <w:szCs w:val="18"/>
              </w:rPr>
              <w:t xml:space="preserve">Möller et al. (2025); Valencia et al. (2022)</w:t>
            </w:r>
          </w:p>
        </w:tc>
        <w:tc>
          <w:tcPr>
            <w:tcW w:w="2600" w:type="dxa"/>
            <w:vAlign w:val="top"/>
          </w:tcPr>
          <w:p>
            <w:pPr>
              <w:spacing w:before="20" w:after="20" w:line="240" w:lineRule="auto"/>
            </w:pPr>
            <w:r>
              <w:rPr>
                <w:sz w:val="18"/>
                <w:szCs w:val="18"/>
              </w:rPr>
              <w:t xml:space="preserve">La app no puede descartar la infección en un tallo sano.</w:t>
            </w:r>
          </w:p>
        </w:tc>
      </w:tr>
      <w:tr>
        <w:trPr>
          <w:cantSplit/>
        </w:trPr>
        <w:tc>
          <w:tcPr>
            <w:tcW w:w="2000" w:type="dxa"/>
            <w:vAlign w:val="top"/>
          </w:tcPr>
          <w:p>
            <w:pPr>
              <w:spacing w:before="20" w:after="20" w:line="240" w:lineRule="auto"/>
            </w:pPr>
            <w:r>
              <w:rPr>
                <w:b/>
                <w:bCs/>
                <w:sz w:val="18"/>
                <w:szCs w:val="18"/>
              </w:rPr>
              <w:t xml:space="preserve">Especie del patógeno</w:t>
            </w:r>
          </w:p>
        </w:tc>
        <w:tc>
          <w:tcPr>
            <w:tcW w:w="1700" w:type="dxa"/>
            <w:vAlign w:val="top"/>
          </w:tcPr>
          <w:p>
            <w:pPr>
              <w:spacing w:before="20" w:after="20" w:line="240" w:lineRule="auto"/>
            </w:pPr>
            <w:r>
              <w:rPr>
                <w:sz w:val="18"/>
                <w:szCs w:val="18"/>
              </w:rPr>
              <w:t xml:space="preserve">No; los síntomas se superponen</w:t>
            </w:r>
          </w:p>
        </w:tc>
        <w:tc>
          <w:tcPr>
            <w:tcW w:w="2538" w:type="dxa"/>
            <w:vAlign w:val="top"/>
          </w:tcPr>
          <w:p>
            <w:pPr>
              <w:spacing w:before="20" w:after="20" w:line="240" w:lineRule="auto"/>
            </w:pPr>
            <w:r>
              <w:rPr>
                <w:sz w:val="18"/>
                <w:szCs w:val="18"/>
              </w:rPr>
              <w:t xml:space="preserve">Hernández et al. (2023); Linaldeddu et al. (2026); Silva et al. (2025)</w:t>
            </w:r>
          </w:p>
        </w:tc>
        <w:tc>
          <w:tcPr>
            <w:tcW w:w="2600" w:type="dxa"/>
            <w:vAlign w:val="top"/>
          </w:tcPr>
          <w:p>
            <w:pPr>
              <w:spacing w:before="20" w:after="20" w:line="240" w:lineRule="auto"/>
            </w:pPr>
            <w:r>
              <w:rPr>
                <w:sz w:val="18"/>
                <w:szCs w:val="18"/>
              </w:rPr>
              <w:t xml:space="preserve">Diagnóstico por tipo de síntoma; confirmar la especie en laboratorio.</w:t>
            </w:r>
          </w:p>
        </w:tc>
      </w:tr>
    </w:tbl>
    <w:p>
      <w:pPr>
        <w:spacing w:before="40" w:after="200"/>
        <w:jc w:val="both"/>
      </w:pPr>
      <w:r>
        <w:rPr>
          <w:i/>
          <w:iCs/>
          <w:sz w:val="18"/>
          <w:szCs w:val="18"/>
        </w:rPr>
        <w:t xml:space="preserve">Nota.</w:t>
      </w:r>
      <w:r>
        <w:rPr>
          <w:sz w:val="18"/>
          <w:szCs w:val="18"/>
        </w:rPr>
        <w:t xml:space="preserve"> Elaboración propia a partir de los estudios citados.</w:t>
      </w:r>
    </w:p>
    <w:p>
      <w:pPr>
        <w:ind w:firstLine="720"/>
        <w:jc w:val="both"/>
      </w:pPr>
      <w:r>
        <w:rPr/>
        <w:t xml:space="preserve">De ello se desprende que la aplicación debería clasificar </w:t>
      </w:r>
      <w:r>
        <w:rPr>
          <w:b/>
          <w:bCs/>
        </w:rPr>
        <w:t xml:space="preserve">tipos de síntoma</w:t>
      </w:r>
      <w:r>
        <w:rPr/>
        <w:t xml:space="preserve"> y no especies, y recomendar la confirmación en laboratorio, que combina el aislamiento con marcadores moleculares como ITS, EF1-α y β-tubulina (Möller et al., 2025). Con esa lógica, la Tabla 10 propone clases candidatas </w:t>
      </w:r>
      <w:r>
        <w:rPr>
          <w:b/>
          <w:bCs/>
        </w:rPr>
        <w:t xml:space="preserve">preliminares</w:t>
      </w:r>
      <w:r>
        <w:rPr/>
        <w:t xml:space="preserve">, que deberán validarse con la tutora y, de ser posible, con un fitopatólogo en la Actividad 10 (tarea T30), y ajustarse con los resultados de la revisión sistemática.</w:t>
      </w:r>
    </w:p>
    <w:p>
      <w:pPr>
        <w:keepNext/>
        <w:spacing w:before="160" w:after="80"/>
      </w:pPr>
      <w:r>
        <w:rPr>
          <w:b/>
          <w:bCs/>
          <w:sz w:val="20"/>
          <w:szCs w:val="20"/>
        </w:rPr>
        <w:t xml:space="preserve">Tabla 10.</w:t>
      </w:r>
      <w:r>
        <w:rPr>
          <w:sz w:val="20"/>
          <w:szCs w:val="20"/>
        </w:rPr>
        <w:t xml:space="preserve"> </w:t>
      </w:r>
      <w:r>
        <w:rPr>
          <w:i/>
          <w:iCs/>
          <w:sz w:val="20"/>
          <w:szCs w:val="20"/>
        </w:rPr>
        <w:t xml:space="preserve">Clases candidatas preliminares para el dataset de tallos de aguacate</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000"/>
        <w:gridCol w:w="2500"/>
        <w:gridCol w:w="2000"/>
        <w:gridCol w:w="2338"/>
      </w:tblGrid>
      <w:tr>
        <w:trPr>
          <w:tblHeader/>
          <w:cantSplit/>
        </w:trPr>
        <w:tc>
          <w:tcPr>
            <w:tcW w:w="2000" w:type="dxa"/>
            <w:shd w:val="clear" w:color="auto" w:fill="D9E2F3"/>
            <w:vAlign w:val="center"/>
          </w:tcPr>
          <w:p>
            <w:pPr>
              <w:keepNext/>
              <w:spacing w:before="20" w:after="20" w:line="240" w:lineRule="auto"/>
              <w:jc w:val="center"/>
            </w:pPr>
            <w:r>
              <w:rPr>
                <w:b/>
                <w:bCs/>
                <w:sz w:val="18"/>
                <w:szCs w:val="18"/>
              </w:rPr>
              <w:t xml:space="preserve">Clase candidata</w:t>
            </w:r>
          </w:p>
        </w:tc>
        <w:tc>
          <w:tcPr>
            <w:tcW w:w="2500" w:type="dxa"/>
            <w:shd w:val="clear" w:color="auto" w:fill="D9E2F3"/>
            <w:vAlign w:val="center"/>
          </w:tcPr>
          <w:p>
            <w:pPr>
              <w:keepNext/>
              <w:spacing w:before="20" w:after="20" w:line="240" w:lineRule="auto"/>
              <w:jc w:val="center"/>
            </w:pPr>
            <w:r>
              <w:rPr>
                <w:b/>
                <w:bCs/>
                <w:sz w:val="18"/>
                <w:szCs w:val="18"/>
              </w:rPr>
              <w:t xml:space="preserve">Descripción visual</w:t>
            </w:r>
          </w:p>
        </w:tc>
        <w:tc>
          <w:tcPr>
            <w:tcW w:w="2000" w:type="dxa"/>
            <w:shd w:val="clear" w:color="auto" w:fill="D9E2F3"/>
            <w:vAlign w:val="center"/>
          </w:tcPr>
          <w:p>
            <w:pPr>
              <w:keepNext/>
              <w:spacing w:before="20" w:after="20" w:line="240" w:lineRule="auto"/>
              <w:jc w:val="center"/>
            </w:pPr>
            <w:r>
              <w:rPr>
                <w:b/>
                <w:bCs/>
                <w:sz w:val="18"/>
                <w:szCs w:val="18"/>
              </w:rPr>
              <w:t xml:space="preserve">Agentes asociados (no exclusivos)</w:t>
            </w:r>
          </w:p>
        </w:tc>
        <w:tc>
          <w:tcPr>
            <w:tcW w:w="2338" w:type="dxa"/>
            <w:shd w:val="clear" w:color="auto" w:fill="D9E2F3"/>
            <w:vAlign w:val="center"/>
          </w:tcPr>
          <w:p>
            <w:pPr>
              <w:keepNext/>
              <w:spacing w:before="20" w:after="20" w:line="240" w:lineRule="auto"/>
              <w:jc w:val="center"/>
            </w:pPr>
            <w:r>
              <w:rPr>
                <w:b/>
                <w:bCs/>
                <w:sz w:val="18"/>
                <w:szCs w:val="18"/>
              </w:rPr>
              <w:t xml:space="preserve">Observación</w:t>
            </w:r>
          </w:p>
        </w:tc>
      </w:tr>
      <w:tr>
        <w:trPr>
          <w:cantSplit/>
        </w:trPr>
        <w:tc>
          <w:tcPr>
            <w:tcW w:w="2000" w:type="dxa"/>
            <w:vAlign w:val="top"/>
          </w:tcPr>
          <w:p>
            <w:pPr>
              <w:spacing w:before="20" w:after="20" w:line="240" w:lineRule="auto"/>
            </w:pPr>
            <w:r>
              <w:rPr>
                <w:b/>
                <w:bCs/>
                <w:sz w:val="18"/>
                <w:szCs w:val="18"/>
              </w:rPr>
              <w:t xml:space="preserve">C0. Tallo o rama sanos</w:t>
            </w:r>
          </w:p>
        </w:tc>
        <w:tc>
          <w:tcPr>
            <w:tcW w:w="2500" w:type="dxa"/>
            <w:vAlign w:val="top"/>
          </w:tcPr>
          <w:p>
            <w:pPr>
              <w:spacing w:before="20" w:after="20" w:line="240" w:lineRule="auto"/>
            </w:pPr>
            <w:r>
              <w:rPr>
                <w:sz w:val="18"/>
                <w:szCs w:val="18"/>
              </w:rPr>
              <w:t xml:space="preserve">Corteza sin lesiones, exudados ni grietas.</w:t>
            </w:r>
          </w:p>
        </w:tc>
        <w:tc>
          <w:tcPr>
            <w:tcW w:w="2000" w:type="dxa"/>
            <w:vAlign w:val="top"/>
          </w:tcPr>
          <w:p>
            <w:pPr>
              <w:spacing w:before="20" w:after="20" w:line="240" w:lineRule="auto"/>
            </w:pPr>
            <w:r>
              <w:rPr>
                <w:sz w:val="18"/>
                <w:szCs w:val="18"/>
              </w:rPr>
              <w:t xml:space="preserve">—</w:t>
            </w:r>
          </w:p>
        </w:tc>
        <w:tc>
          <w:tcPr>
            <w:tcW w:w="2338" w:type="dxa"/>
            <w:vAlign w:val="top"/>
          </w:tcPr>
          <w:p>
            <w:pPr>
              <w:spacing w:before="20" w:after="20" w:line="240" w:lineRule="auto"/>
            </w:pPr>
            <w:r>
              <w:rPr>
                <w:sz w:val="18"/>
                <w:szCs w:val="18"/>
              </w:rPr>
              <w:t xml:space="preserve">Clase de referencia necesaria para el modelo.</w:t>
            </w:r>
          </w:p>
        </w:tc>
      </w:tr>
      <w:tr>
        <w:trPr>
          <w:cantSplit/>
        </w:trPr>
        <w:tc>
          <w:tcPr>
            <w:tcW w:w="2000" w:type="dxa"/>
            <w:vAlign w:val="top"/>
          </w:tcPr>
          <w:p>
            <w:pPr>
              <w:spacing w:before="20" w:after="20" w:line="240" w:lineRule="auto"/>
            </w:pPr>
            <w:r>
              <w:rPr>
                <w:b/>
                <w:bCs/>
                <w:sz w:val="18"/>
                <w:szCs w:val="18"/>
              </w:rPr>
              <w:t xml:space="preserve">C1. Cancro con exudado blanquecino</w:t>
            </w:r>
          </w:p>
        </w:tc>
        <w:tc>
          <w:tcPr>
            <w:tcW w:w="2500" w:type="dxa"/>
            <w:vAlign w:val="top"/>
          </w:tcPr>
          <w:p>
            <w:pPr>
              <w:spacing w:before="20" w:after="20" w:line="240" w:lineRule="auto"/>
            </w:pPr>
            <w:r>
              <w:rPr>
                <w:sz w:val="18"/>
                <w:szCs w:val="18"/>
              </w:rPr>
              <w:t xml:space="preserve">Lesión, a veces hundida, con exudado rojizo que seca en polvo blanco.</w:t>
            </w:r>
          </w:p>
        </w:tc>
        <w:tc>
          <w:tcPr>
            <w:tcW w:w="2000" w:type="dxa"/>
            <w:vAlign w:val="top"/>
          </w:tcPr>
          <w:p>
            <w:pPr>
              <w:spacing w:before="20" w:after="20" w:line="240" w:lineRule="auto"/>
            </w:pPr>
            <w:r>
              <w:rPr>
                <w:sz w:val="18"/>
                <w:szCs w:val="18"/>
              </w:rPr>
              <w:t xml:space="preserve">Botryosphaeriaceae</w:t>
            </w:r>
          </w:p>
        </w:tc>
        <w:tc>
          <w:tcPr>
            <w:tcW w:w="2338" w:type="dxa"/>
            <w:vAlign w:val="top"/>
          </w:tcPr>
          <w:p>
            <w:pPr>
              <w:spacing w:before="20" w:after="20" w:line="240" w:lineRule="auto"/>
            </w:pPr>
            <w:r>
              <w:rPr>
                <w:sz w:val="18"/>
                <w:szCs w:val="18"/>
              </w:rPr>
              <w:t xml:space="preserve">El árbol puede exudar por otras causas (Hernández et al., 2023).</w:t>
            </w:r>
          </w:p>
        </w:tc>
      </w:tr>
      <w:tr>
        <w:trPr>
          <w:cantSplit/>
        </w:trPr>
        <w:tc>
          <w:tcPr>
            <w:tcW w:w="2000" w:type="dxa"/>
            <w:vAlign w:val="top"/>
          </w:tcPr>
          <w:p>
            <w:pPr>
              <w:spacing w:before="20" w:after="20" w:line="240" w:lineRule="auto"/>
            </w:pPr>
            <w:r>
              <w:rPr>
                <w:b/>
                <w:bCs/>
                <w:sz w:val="18"/>
                <w:szCs w:val="18"/>
              </w:rPr>
              <w:t xml:space="preserve">C2. Necrosis oscura con exudado negruzco</w:t>
            </w:r>
          </w:p>
        </w:tc>
        <w:tc>
          <w:tcPr>
            <w:tcW w:w="2500" w:type="dxa"/>
            <w:vAlign w:val="top"/>
          </w:tcPr>
          <w:p>
            <w:pPr>
              <w:spacing w:before="20" w:after="20" w:line="240" w:lineRule="auto"/>
            </w:pPr>
            <w:r>
              <w:rPr>
                <w:sz w:val="18"/>
                <w:szCs w:val="18"/>
              </w:rPr>
              <w:t xml:space="preserve">Corteza oscura con exudado negro, sin hundimiento.</w:t>
            </w:r>
          </w:p>
        </w:tc>
        <w:tc>
          <w:tcPr>
            <w:tcW w:w="2000" w:type="dxa"/>
            <w:vAlign w:val="top"/>
          </w:tcPr>
          <w:p>
            <w:pPr>
              <w:spacing w:before="20" w:after="20" w:line="240" w:lineRule="auto"/>
            </w:pPr>
            <w:r>
              <w:rPr>
                <w:i/>
                <w:iCs/>
                <w:sz w:val="18"/>
                <w:szCs w:val="18"/>
              </w:rPr>
              <w:t xml:space="preserve">Phytophthora</w:t>
            </w:r>
          </w:p>
        </w:tc>
        <w:tc>
          <w:tcPr>
            <w:tcW w:w="2338" w:type="dxa"/>
            <w:vAlign w:val="top"/>
          </w:tcPr>
          <w:p>
            <w:pPr>
              <w:spacing w:before="20" w:after="20" w:line="240" w:lineRule="auto"/>
            </w:pPr>
            <w:r>
              <w:rPr>
                <w:sz w:val="18"/>
                <w:szCs w:val="18"/>
              </w:rPr>
              <w:t xml:space="preserve">Puede confundirse con C1 y C3 (Linaldeddu et al., 2026).</w:t>
            </w:r>
          </w:p>
        </w:tc>
      </w:tr>
      <w:tr>
        <w:trPr>
          <w:cantSplit/>
        </w:trPr>
        <w:tc>
          <w:tcPr>
            <w:tcW w:w="2000" w:type="dxa"/>
            <w:vAlign w:val="top"/>
          </w:tcPr>
          <w:p>
            <w:pPr>
              <w:spacing w:before="20" w:after="20" w:line="240" w:lineRule="auto"/>
            </w:pPr>
            <w:r>
              <w:rPr>
                <w:b/>
                <w:bCs/>
                <w:sz w:val="18"/>
                <w:szCs w:val="18"/>
              </w:rPr>
              <w:t xml:space="preserve">C3. Cancro hundido o corteza agrietada sin exudado</w:t>
            </w:r>
          </w:p>
        </w:tc>
        <w:tc>
          <w:tcPr>
            <w:tcW w:w="2500" w:type="dxa"/>
            <w:vAlign w:val="top"/>
          </w:tcPr>
          <w:p>
            <w:pPr>
              <w:spacing w:before="20" w:after="20" w:line="240" w:lineRule="auto"/>
            </w:pPr>
            <w:r>
              <w:rPr>
                <w:sz w:val="18"/>
                <w:szCs w:val="18"/>
              </w:rPr>
              <w:t xml:space="preserve">Corteza oscura, hundida o quebradiza.</w:t>
            </w:r>
          </w:p>
        </w:tc>
        <w:tc>
          <w:tcPr>
            <w:tcW w:w="2000" w:type="dxa"/>
            <w:vAlign w:val="top"/>
          </w:tcPr>
          <w:p>
            <w:pPr>
              <w:spacing w:before="20" w:after="20" w:line="240" w:lineRule="auto"/>
            </w:pPr>
            <w:r>
              <w:rPr>
                <w:sz w:val="18"/>
                <w:szCs w:val="18"/>
              </w:rPr>
              <w:t xml:space="preserve">Botryosphaeriaceae y otros</w:t>
            </w:r>
          </w:p>
        </w:tc>
        <w:tc>
          <w:tcPr>
            <w:tcW w:w="2338" w:type="dxa"/>
            <w:vAlign w:val="top"/>
          </w:tcPr>
          <w:p>
            <w:pPr>
              <w:spacing w:before="20" w:after="20" w:line="240" w:lineRule="auto"/>
            </w:pPr>
            <w:r>
              <w:rPr>
                <w:sz w:val="18"/>
                <w:szCs w:val="18"/>
              </w:rPr>
              <w:t xml:space="preserve">Revisar si se fusiona con C1 según el número de imágenes.</w:t>
            </w:r>
          </w:p>
        </w:tc>
      </w:tr>
      <w:tr>
        <w:trPr>
          <w:cantSplit/>
        </w:trPr>
        <w:tc>
          <w:tcPr>
            <w:tcW w:w="2000" w:type="dxa"/>
            <w:vAlign w:val="top"/>
          </w:tcPr>
          <w:p>
            <w:pPr>
              <w:spacing w:before="20" w:after="20" w:line="240" w:lineRule="auto"/>
            </w:pPr>
            <w:r>
              <w:rPr>
                <w:b/>
                <w:bCs/>
                <w:sz w:val="18"/>
                <w:szCs w:val="18"/>
              </w:rPr>
              <w:t xml:space="preserve">C4. Muerte descendente</w:t>
            </w:r>
          </w:p>
        </w:tc>
        <w:tc>
          <w:tcPr>
            <w:tcW w:w="2500" w:type="dxa"/>
            <w:vAlign w:val="top"/>
          </w:tcPr>
          <w:p>
            <w:pPr>
              <w:spacing w:before="20" w:after="20" w:line="240" w:lineRule="auto"/>
            </w:pPr>
            <w:r>
              <w:rPr>
                <w:sz w:val="18"/>
                <w:szCs w:val="18"/>
              </w:rPr>
              <w:t xml:space="preserve">Ramillas secas desde el ápice, hojas pardas adheridas, frutos negros momificados.</w:t>
            </w:r>
          </w:p>
        </w:tc>
        <w:tc>
          <w:tcPr>
            <w:tcW w:w="2000" w:type="dxa"/>
            <w:vAlign w:val="top"/>
          </w:tcPr>
          <w:p>
            <w:pPr>
              <w:spacing w:before="20" w:after="20" w:line="240" w:lineRule="auto"/>
            </w:pPr>
            <w:r>
              <w:rPr>
                <w:sz w:val="18"/>
                <w:szCs w:val="18"/>
              </w:rPr>
              <w:t xml:space="preserve">Botryosphaeriaceae, </w:t>
            </w:r>
            <w:r>
              <w:rPr>
                <w:i/>
                <w:iCs/>
                <w:sz w:val="18"/>
                <w:szCs w:val="18"/>
              </w:rPr>
              <w:t xml:space="preserve">Colletotrichum</w:t>
            </w:r>
            <w:r>
              <w:rPr>
                <w:sz w:val="18"/>
                <w:szCs w:val="18"/>
              </w:rPr>
              <w:t xml:space="preserve">, Nectriaceae</w:t>
            </w:r>
          </w:p>
        </w:tc>
        <w:tc>
          <w:tcPr>
            <w:tcW w:w="2338" w:type="dxa"/>
            <w:vAlign w:val="top"/>
          </w:tcPr>
          <w:p>
            <w:pPr>
              <w:spacing w:before="20" w:after="20" w:line="240" w:lineRule="auto"/>
            </w:pPr>
            <w:r>
              <w:rPr>
                <w:sz w:val="18"/>
                <w:szCs w:val="18"/>
              </w:rPr>
              <w:t xml:space="preserve">Requiere una toma de la rama completa.</w:t>
            </w:r>
          </w:p>
        </w:tc>
      </w:tr>
      <w:tr>
        <w:trPr>
          <w:cantSplit/>
        </w:trPr>
        <w:tc>
          <w:tcPr>
            <w:tcW w:w="2000" w:type="dxa"/>
            <w:vAlign w:val="top"/>
          </w:tcPr>
          <w:p>
            <w:pPr>
              <w:spacing w:before="20" w:after="20" w:line="240" w:lineRule="auto"/>
            </w:pPr>
            <w:r>
              <w:rPr>
                <w:b/>
                <w:bCs/>
                <w:sz w:val="18"/>
                <w:szCs w:val="18"/>
              </w:rPr>
              <w:t xml:space="preserve">C5. Lesión en tallo joven o injerto</w:t>
            </w:r>
          </w:p>
        </w:tc>
        <w:tc>
          <w:tcPr>
            <w:tcW w:w="2500" w:type="dxa"/>
            <w:vAlign w:val="top"/>
          </w:tcPr>
          <w:p>
            <w:pPr>
              <w:spacing w:before="20" w:after="20" w:line="240" w:lineRule="auto"/>
            </w:pPr>
            <w:r>
              <w:rPr>
                <w:sz w:val="18"/>
                <w:szCs w:val="18"/>
              </w:rPr>
              <w:t xml:space="preserve">Lesión necrótica oscura en planta de vivero, a menudo desde el injerto.</w:t>
            </w:r>
          </w:p>
        </w:tc>
        <w:tc>
          <w:tcPr>
            <w:tcW w:w="2000" w:type="dxa"/>
            <w:vAlign w:val="top"/>
          </w:tcPr>
          <w:p>
            <w:pPr>
              <w:spacing w:before="20" w:after="20" w:line="240" w:lineRule="auto"/>
            </w:pPr>
            <w:r>
              <w:rPr>
                <w:i/>
                <w:iCs/>
                <w:sz w:val="18"/>
                <w:szCs w:val="18"/>
              </w:rPr>
              <w:t xml:space="preserve">Colletotrichum</w:t>
            </w:r>
            <w:r>
              <w:rPr>
                <w:sz w:val="18"/>
                <w:szCs w:val="18"/>
              </w:rPr>
              <w:t xml:space="preserve">, Botryosphaeriaceae</w:t>
            </w:r>
          </w:p>
        </w:tc>
        <w:tc>
          <w:tcPr>
            <w:tcW w:w="2338" w:type="dxa"/>
            <w:vAlign w:val="top"/>
          </w:tcPr>
          <w:p>
            <w:pPr>
              <w:spacing w:before="20" w:after="20" w:line="240" w:lineRule="auto"/>
            </w:pPr>
            <w:r>
              <w:rPr>
                <w:sz w:val="18"/>
                <w:szCs w:val="18"/>
              </w:rPr>
              <w:t xml:space="preserve">Depende de tener acceso a viveros.</w:t>
            </w:r>
          </w:p>
        </w:tc>
      </w:tr>
      <w:tr>
        <w:trPr>
          <w:cantSplit/>
        </w:trPr>
        <w:tc>
          <w:tcPr>
            <w:tcW w:w="2000" w:type="dxa"/>
            <w:vAlign w:val="top"/>
          </w:tcPr>
          <w:p>
            <w:pPr>
              <w:spacing w:before="20" w:after="20" w:line="240" w:lineRule="auto"/>
            </w:pPr>
            <w:r>
              <w:rPr>
                <w:b/>
                <w:bCs/>
                <w:sz w:val="18"/>
                <w:szCs w:val="18"/>
              </w:rPr>
              <w:t xml:space="preserve">C6. Decoloración interna (opcional)</w:t>
            </w:r>
          </w:p>
        </w:tc>
        <w:tc>
          <w:tcPr>
            <w:tcW w:w="2500" w:type="dxa"/>
            <w:vAlign w:val="top"/>
          </w:tcPr>
          <w:p>
            <w:pPr>
              <w:spacing w:before="20" w:after="20" w:line="240" w:lineRule="auto"/>
            </w:pPr>
            <w:r>
              <w:rPr>
                <w:sz w:val="18"/>
                <w:szCs w:val="18"/>
              </w:rPr>
              <w:t xml:space="preserve">Sector en cuña o V y haces vasculares rojizos en un corte.</w:t>
            </w:r>
          </w:p>
        </w:tc>
        <w:tc>
          <w:tcPr>
            <w:tcW w:w="2000" w:type="dxa"/>
            <w:vAlign w:val="top"/>
          </w:tcPr>
          <w:p>
            <w:pPr>
              <w:spacing w:before="20" w:after="20" w:line="240" w:lineRule="auto"/>
            </w:pPr>
            <w:r>
              <w:rPr>
                <w:sz w:val="18"/>
                <w:szCs w:val="18"/>
              </w:rPr>
              <w:t xml:space="preserve">Botryosphaeriaceae</w:t>
            </w:r>
          </w:p>
        </w:tc>
        <w:tc>
          <w:tcPr>
            <w:tcW w:w="2338" w:type="dxa"/>
            <w:vAlign w:val="top"/>
          </w:tcPr>
          <w:p>
            <w:pPr>
              <w:spacing w:before="20" w:after="20" w:line="240" w:lineRule="auto"/>
            </w:pPr>
            <w:r>
              <w:rPr>
                <w:sz w:val="18"/>
                <w:szCs w:val="18"/>
              </w:rPr>
              <w:t xml:space="preserve">Requiere cortar; decidir con la tutora si se incluye.</w:t>
            </w:r>
          </w:p>
        </w:tc>
      </w:tr>
    </w:tbl>
    <w:p>
      <w:pPr>
        <w:spacing w:before="40" w:after="200"/>
        <w:jc w:val="both"/>
      </w:pPr>
      <w:r>
        <w:rPr>
          <w:i/>
          <w:iCs/>
          <w:sz w:val="18"/>
          <w:szCs w:val="18"/>
        </w:rPr>
        <w:t xml:space="preserve">Nota.</w:t>
      </w:r>
      <w:r>
        <w:rPr>
          <w:sz w:val="18"/>
          <w:szCs w:val="18"/>
        </w:rPr>
        <w:t xml:space="preserve"> Propuesta del autor, elaborada a partir de Crespo et al. (2026), Hernández et al. (2023), Linaldeddu et al. (2026), Möller et al. (2025), Valencia et al. (2022) y Vecchio, Martino, et al. (2026). Para la severidad podría adaptarse la escala de cuatro categorías de Guirado-Manzano et al. (2026).</w:t>
      </w:r>
    </w:p>
    <w:p>
      <w:pPr>
        <w:keepNext/>
        <w:spacing w:before="200" w:after="100"/>
        <w:jc w:val="both"/>
      </w:pPr>
      <w:r>
        <w:rPr>
          <w:b/>
          <w:bCs/>
        </w:rPr>
        <w:t xml:space="preserve">2.7 Revisiones previas y posicionamiento del estudio</w:t>
      </w:r>
    </w:p>
    <w:p>
      <w:pPr>
        <w:jc w:val="both"/>
      </w:pPr>
      <w:r>
        <w:rPr/>
        <w:t xml:space="preserve">Las revisiones recopiladas abordan por separado los componentes que necesita el proyecto. Cuatro de ellas aplicaron la declaración PRISMA (Lin et al., 2026; Majdalawieh et al., 2025; Odounfa et al., 2024; Sajitha et al., 2024), y Martinelli et al. (2024) siguieron las guías de Kitchenham y Charters. La Tabla 11 las compara con la revisión sistemática planteada en el protocolo v3.</w:t>
      </w:r>
    </w:p>
    <w:p>
      <w:pPr>
        <w:keepNext/>
        <w:spacing w:before="160" w:after="80"/>
      </w:pPr>
      <w:r>
        <w:rPr>
          <w:b/>
          <w:bCs/>
          <w:sz w:val="20"/>
          <w:szCs w:val="20"/>
        </w:rPr>
        <w:t xml:space="preserve">Tabla 11.</w:t>
      </w:r>
      <w:r>
        <w:rPr>
          <w:sz w:val="20"/>
          <w:szCs w:val="20"/>
        </w:rPr>
        <w:t xml:space="preserve"> </w:t>
      </w:r>
      <w:r>
        <w:rPr>
          <w:i/>
          <w:iCs/>
          <w:sz w:val="20"/>
          <w:szCs w:val="20"/>
        </w:rPr>
        <w:t xml:space="preserve">Comparación de las revisiones previas con la revisión sistemática del proyecto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500"/>
        <w:gridCol w:w="2100"/>
        <w:gridCol w:w="1200"/>
        <w:gridCol w:w="1400"/>
        <w:gridCol w:w="1200"/>
        <w:gridCol w:w="1438"/>
      </w:tblGrid>
      <w:tr>
        <w:trPr>
          <w:tblHeader/>
          <w:cantSplit/>
        </w:trPr>
        <w:tc>
          <w:tcPr>
            <w:tcW w:w="1500" w:type="dxa"/>
            <w:shd w:val="clear" w:color="auto" w:fill="D9E2F3"/>
            <w:vAlign w:val="center"/>
          </w:tcPr>
          <w:p>
            <w:pPr>
              <w:keepNext/>
              <w:spacing w:before="20" w:after="20" w:line="240" w:lineRule="auto"/>
              <w:jc w:val="center"/>
            </w:pPr>
            <w:r>
              <w:rPr>
                <w:b/>
                <w:bCs/>
                <w:sz w:val="18"/>
                <w:szCs w:val="18"/>
              </w:rPr>
              <w:t xml:space="preserve">Revisión</w:t>
            </w:r>
          </w:p>
        </w:tc>
        <w:tc>
          <w:tcPr>
            <w:tcW w:w="2100" w:type="dxa"/>
            <w:shd w:val="clear" w:color="auto" w:fill="D9E2F3"/>
            <w:vAlign w:val="center"/>
          </w:tcPr>
          <w:p>
            <w:pPr>
              <w:keepNext/>
              <w:spacing w:before="20" w:after="20" w:line="240" w:lineRule="auto"/>
              <w:jc w:val="center"/>
            </w:pPr>
            <w:r>
              <w:rPr>
                <w:b/>
                <w:bCs/>
                <w:sz w:val="18"/>
                <w:szCs w:val="18"/>
              </w:rPr>
              <w:t xml:space="preserve">Método y alcance</w:t>
            </w:r>
          </w:p>
        </w:tc>
        <w:tc>
          <w:tcPr>
            <w:tcW w:w="1200" w:type="dxa"/>
            <w:shd w:val="clear" w:color="auto" w:fill="D9E2F3"/>
            <w:vAlign w:val="center"/>
          </w:tcPr>
          <w:p>
            <w:pPr>
              <w:keepNext/>
              <w:spacing w:before="20" w:after="20" w:line="240" w:lineRule="auto"/>
              <w:jc w:val="center"/>
            </w:pPr>
            <w:r>
              <w:rPr>
                <w:b/>
                <w:bCs/>
                <w:sz w:val="18"/>
                <w:szCs w:val="18"/>
              </w:rPr>
              <w:t xml:space="preserve">IA / visión por computador</w:t>
            </w:r>
          </w:p>
        </w:tc>
        <w:tc>
          <w:tcPr>
            <w:tcW w:w="1400" w:type="dxa"/>
            <w:shd w:val="clear" w:color="auto" w:fill="D9E2F3"/>
            <w:vAlign w:val="center"/>
          </w:tcPr>
          <w:p>
            <w:pPr>
              <w:keepNext/>
              <w:spacing w:before="20" w:after="20" w:line="240" w:lineRule="auto"/>
              <w:jc w:val="center"/>
            </w:pPr>
            <w:r>
              <w:rPr>
                <w:b/>
                <w:bCs/>
                <w:sz w:val="18"/>
                <w:szCs w:val="18"/>
              </w:rPr>
              <w:t xml:space="preserve">App móvil o despliegue</w:t>
            </w:r>
          </w:p>
        </w:tc>
        <w:tc>
          <w:tcPr>
            <w:tcW w:w="1200" w:type="dxa"/>
            <w:shd w:val="clear" w:color="auto" w:fill="D9E2F3"/>
            <w:vAlign w:val="center"/>
          </w:tcPr>
          <w:p>
            <w:pPr>
              <w:keepNext/>
              <w:spacing w:before="20" w:after="20" w:line="240" w:lineRule="auto"/>
              <w:jc w:val="center"/>
            </w:pPr>
            <w:r>
              <w:rPr>
                <w:b/>
                <w:bCs/>
                <w:sz w:val="18"/>
                <w:szCs w:val="18"/>
              </w:rPr>
              <w:t xml:space="preserve">IPO</w:t>
            </w:r>
          </w:p>
        </w:tc>
        <w:tc>
          <w:tcPr>
            <w:tcW w:w="1438" w:type="dxa"/>
            <w:shd w:val="clear" w:color="auto" w:fill="D9E2F3"/>
            <w:vAlign w:val="center"/>
          </w:tcPr>
          <w:p>
            <w:pPr>
              <w:keepNext/>
              <w:spacing w:before="20" w:after="20" w:line="240" w:lineRule="auto"/>
              <w:jc w:val="center"/>
            </w:pPr>
            <w:r>
              <w:rPr>
                <w:b/>
                <w:bCs/>
                <w:sz w:val="18"/>
                <w:szCs w:val="18"/>
              </w:rPr>
              <w:t xml:space="preserve">Aguacate / tallo</w:t>
            </w:r>
          </w:p>
        </w:tc>
      </w:tr>
      <w:tr>
        <w:trPr>
          <w:cantSplit/>
        </w:trPr>
        <w:tc>
          <w:tcPr>
            <w:tcW w:w="1500" w:type="dxa"/>
            <w:vAlign w:val="top"/>
          </w:tcPr>
          <w:p>
            <w:pPr>
              <w:spacing w:before="20" w:after="20" w:line="240" w:lineRule="auto"/>
            </w:pPr>
            <w:r>
              <w:rPr>
                <w:b/>
                <w:bCs/>
                <w:sz w:val="18"/>
                <w:szCs w:val="18"/>
              </w:rPr>
              <w:t xml:space="preserve">Majdalawieh et al. (2025)</w:t>
            </w:r>
          </w:p>
        </w:tc>
        <w:tc>
          <w:tcPr>
            <w:tcW w:w="2100" w:type="dxa"/>
            <w:vAlign w:val="top"/>
          </w:tcPr>
          <w:p>
            <w:pPr>
              <w:spacing w:before="20" w:after="20" w:line="240" w:lineRule="auto"/>
            </w:pPr>
            <w:r>
              <w:rPr>
                <w:sz w:val="18"/>
                <w:szCs w:val="18"/>
              </w:rPr>
              <w:t xml:space="preserve">RS (PRISMA); 150 estudios, 2016–2024</w:t>
            </w:r>
          </w:p>
        </w:tc>
        <w:tc>
          <w:tcPr>
            <w:tcW w:w="1200" w:type="dxa"/>
            <w:vAlign w:val="top"/>
          </w:tcPr>
          <w:p>
            <w:pPr>
              <w:spacing w:before="20" w:after="20" w:line="240" w:lineRule="auto"/>
            </w:pPr>
            <w:r>
              <w:rPr>
                <w:sz w:val="18"/>
                <w:szCs w:val="18"/>
              </w:rPr>
              <w:t xml:space="preserve">Sí</w:t>
            </w:r>
          </w:p>
        </w:tc>
        <w:tc>
          <w:tcPr>
            <w:tcW w:w="1400" w:type="dxa"/>
            <w:vAlign w:val="top"/>
          </w:tcPr>
          <w:p>
            <w:pPr>
              <w:spacing w:before="20" w:after="20" w:line="240" w:lineRule="auto"/>
            </w:pPr>
            <w:r>
              <w:rPr>
                <w:sz w:val="18"/>
                <w:szCs w:val="18"/>
              </w:rPr>
              <w:t xml:space="preserve">Escalabilidad y costo; sin app</w:t>
            </w:r>
          </w:p>
        </w:tc>
        <w:tc>
          <w:tcPr>
            <w:tcW w:w="1200" w:type="dxa"/>
            <w:vAlign w:val="top"/>
          </w:tcPr>
          <w:p>
            <w:pPr>
              <w:spacing w:before="20" w:after="20" w:line="240" w:lineRule="auto"/>
            </w:pPr>
            <w:r>
              <w:rPr>
                <w:sz w:val="18"/>
                <w:szCs w:val="18"/>
              </w:rPr>
              <w:t xml:space="preserve">No</w:t>
            </w:r>
          </w:p>
        </w:tc>
        <w:tc>
          <w:tcPr>
            <w:tcW w:w="1438" w:type="dxa"/>
            <w:vAlign w:val="top"/>
          </w:tcPr>
          <w:p>
            <w:pPr>
              <w:spacing w:before="20" w:after="20" w:line="240" w:lineRule="auto"/>
            </w:pPr>
            <w:r>
              <w:rPr>
                <w:sz w:val="18"/>
                <w:szCs w:val="18"/>
              </w:rPr>
              <w:t xml:space="preserve">No</w:t>
            </w:r>
          </w:p>
        </w:tc>
      </w:tr>
      <w:tr>
        <w:trPr>
          <w:cantSplit/>
        </w:trPr>
        <w:tc>
          <w:tcPr>
            <w:tcW w:w="1500" w:type="dxa"/>
            <w:vAlign w:val="top"/>
          </w:tcPr>
          <w:p>
            <w:pPr>
              <w:spacing w:before="20" w:after="20" w:line="240" w:lineRule="auto"/>
            </w:pPr>
            <w:r>
              <w:rPr>
                <w:b/>
                <w:bCs/>
                <w:sz w:val="18"/>
                <w:szCs w:val="18"/>
              </w:rPr>
              <w:t xml:space="preserve">Saini et al. (2026)</w:t>
            </w:r>
          </w:p>
        </w:tc>
        <w:tc>
          <w:tcPr>
            <w:tcW w:w="2100" w:type="dxa"/>
            <w:vAlign w:val="top"/>
          </w:tcPr>
          <w:p>
            <w:pPr>
              <w:spacing w:before="20" w:after="20" w:line="240" w:lineRule="auto"/>
            </w:pPr>
            <w:r>
              <w:rPr>
                <w:sz w:val="18"/>
                <w:szCs w:val="18"/>
              </w:rPr>
              <w:t xml:space="preserve">Revisión sistemática de 80 trabajos, 2021–2025</w:t>
            </w:r>
          </w:p>
        </w:tc>
        <w:tc>
          <w:tcPr>
            <w:tcW w:w="1200" w:type="dxa"/>
            <w:vAlign w:val="top"/>
          </w:tcPr>
          <w:p>
            <w:pPr>
              <w:spacing w:before="20" w:after="20" w:line="240" w:lineRule="auto"/>
            </w:pPr>
            <w:r>
              <w:rPr>
                <w:sz w:val="18"/>
                <w:szCs w:val="18"/>
              </w:rPr>
              <w:t xml:space="preserve">Sí</w:t>
            </w:r>
          </w:p>
        </w:tc>
        <w:tc>
          <w:tcPr>
            <w:tcW w:w="1400" w:type="dxa"/>
            <w:vAlign w:val="top"/>
          </w:tcPr>
          <w:p>
            <w:pPr>
              <w:spacing w:before="20" w:after="20" w:line="240" w:lineRule="auto"/>
            </w:pPr>
            <w:r>
              <w:rPr>
                <w:sz w:val="18"/>
                <w:szCs w:val="18"/>
              </w:rPr>
              <w:t xml:space="preserve">Borde, híbrido y nube</w:t>
            </w:r>
          </w:p>
        </w:tc>
        <w:tc>
          <w:tcPr>
            <w:tcW w:w="1200" w:type="dxa"/>
            <w:vAlign w:val="top"/>
          </w:tcPr>
          <w:p>
            <w:pPr>
              <w:spacing w:before="20" w:after="20" w:line="240" w:lineRule="auto"/>
            </w:pPr>
            <w:r>
              <w:rPr>
                <w:sz w:val="18"/>
                <w:szCs w:val="18"/>
              </w:rPr>
              <w:t xml:space="preserve">No</w:t>
            </w:r>
          </w:p>
        </w:tc>
        <w:tc>
          <w:tcPr>
            <w:tcW w:w="1438" w:type="dxa"/>
            <w:vAlign w:val="top"/>
          </w:tcPr>
          <w:p>
            <w:pPr>
              <w:spacing w:before="20" w:after="20" w:line="240" w:lineRule="auto"/>
            </w:pPr>
            <w:r>
              <w:rPr>
                <w:sz w:val="18"/>
                <w:szCs w:val="18"/>
              </w:rPr>
              <w:t xml:space="preserve">No</w:t>
            </w:r>
          </w:p>
        </w:tc>
      </w:tr>
      <w:tr>
        <w:trPr>
          <w:cantSplit/>
        </w:trPr>
        <w:tc>
          <w:tcPr>
            <w:tcW w:w="1500" w:type="dxa"/>
            <w:vAlign w:val="top"/>
          </w:tcPr>
          <w:p>
            <w:pPr>
              <w:spacing w:before="20" w:after="20" w:line="240" w:lineRule="auto"/>
            </w:pPr>
            <w:r>
              <w:rPr>
                <w:b/>
                <w:bCs/>
                <w:sz w:val="18"/>
                <w:szCs w:val="18"/>
              </w:rPr>
              <w:t xml:space="preserve">Sajitha et al. (2024)</w:t>
            </w:r>
          </w:p>
        </w:tc>
        <w:tc>
          <w:tcPr>
            <w:tcW w:w="2100" w:type="dxa"/>
            <w:vAlign w:val="top"/>
          </w:tcPr>
          <w:p>
            <w:pPr>
              <w:spacing w:before="20" w:after="20" w:line="240" w:lineRule="auto"/>
            </w:pPr>
            <w:r>
              <w:rPr>
                <w:sz w:val="18"/>
                <w:szCs w:val="18"/>
              </w:rPr>
              <w:t xml:space="preserve">Revisión (PRISMA); 135 artículos, 2017–2023</w:t>
            </w:r>
          </w:p>
        </w:tc>
        <w:tc>
          <w:tcPr>
            <w:tcW w:w="1200" w:type="dxa"/>
            <w:vAlign w:val="top"/>
          </w:tcPr>
          <w:p>
            <w:pPr>
              <w:spacing w:before="20" w:after="20" w:line="240" w:lineRule="auto"/>
            </w:pPr>
            <w:r>
              <w:rPr>
                <w:sz w:val="18"/>
                <w:szCs w:val="18"/>
              </w:rPr>
              <w:t xml:space="preserve">Sí</w:t>
            </w:r>
          </w:p>
        </w:tc>
        <w:tc>
          <w:tcPr>
            <w:tcW w:w="1400" w:type="dxa"/>
            <w:vAlign w:val="top"/>
          </w:tcPr>
          <w:p>
            <w:pPr>
              <w:spacing w:before="20" w:after="20" w:line="240" w:lineRule="auto"/>
            </w:pPr>
            <w:r>
              <w:rPr>
                <w:sz w:val="18"/>
                <w:szCs w:val="18"/>
              </w:rPr>
              <w:t xml:space="preserve">Señala pocas apps</w:t>
            </w:r>
          </w:p>
        </w:tc>
        <w:tc>
          <w:tcPr>
            <w:tcW w:w="1200" w:type="dxa"/>
            <w:vAlign w:val="top"/>
          </w:tcPr>
          <w:p>
            <w:pPr>
              <w:spacing w:before="20" w:after="20" w:line="240" w:lineRule="auto"/>
            </w:pPr>
            <w:r>
              <w:rPr>
                <w:sz w:val="18"/>
                <w:szCs w:val="18"/>
              </w:rPr>
              <w:t xml:space="preserve">No</w:t>
            </w:r>
          </w:p>
        </w:tc>
        <w:tc>
          <w:tcPr>
            <w:tcW w:w="1438" w:type="dxa"/>
            <w:vAlign w:val="top"/>
          </w:tcPr>
          <w:p>
            <w:pPr>
              <w:spacing w:before="20" w:after="20" w:line="240" w:lineRule="auto"/>
            </w:pPr>
            <w:r>
              <w:rPr>
                <w:sz w:val="18"/>
                <w:szCs w:val="18"/>
              </w:rPr>
              <w:t xml:space="preserve">Señala que los tallos no se han estudiado</w:t>
            </w:r>
          </w:p>
        </w:tc>
      </w:tr>
      <w:tr>
        <w:trPr>
          <w:cantSplit/>
        </w:trPr>
        <w:tc>
          <w:tcPr>
            <w:tcW w:w="1500" w:type="dxa"/>
            <w:vAlign w:val="top"/>
          </w:tcPr>
          <w:p>
            <w:pPr>
              <w:spacing w:before="20" w:after="20" w:line="240" w:lineRule="auto"/>
            </w:pPr>
            <w:r>
              <w:rPr>
                <w:b/>
                <w:bCs/>
                <w:sz w:val="18"/>
                <w:szCs w:val="18"/>
              </w:rPr>
              <w:t xml:space="preserve">Odounfa et al. (2024)</w:t>
            </w:r>
          </w:p>
        </w:tc>
        <w:tc>
          <w:tcPr>
            <w:tcW w:w="2100" w:type="dxa"/>
            <w:vAlign w:val="top"/>
          </w:tcPr>
          <w:p>
            <w:pPr>
              <w:spacing w:before="20" w:after="20" w:line="240" w:lineRule="auto"/>
            </w:pPr>
            <w:r>
              <w:rPr>
                <w:sz w:val="18"/>
                <w:szCs w:val="18"/>
              </w:rPr>
              <w:t xml:space="preserve">Revisión (PRISMA); 72 de 1 422 publicaciones, 2017–2023; hortalizas</w:t>
            </w:r>
          </w:p>
        </w:tc>
        <w:tc>
          <w:tcPr>
            <w:tcW w:w="1200" w:type="dxa"/>
            <w:vAlign w:val="top"/>
          </w:tcPr>
          <w:p>
            <w:pPr>
              <w:spacing w:before="20" w:after="20" w:line="240" w:lineRule="auto"/>
            </w:pPr>
            <w:r>
              <w:rPr>
                <w:sz w:val="18"/>
                <w:szCs w:val="18"/>
              </w:rPr>
              <w:t xml:space="preserve">Sí, incluida la severidad</w:t>
            </w:r>
          </w:p>
        </w:tc>
        <w:tc>
          <w:tcPr>
            <w:tcW w:w="1400" w:type="dxa"/>
            <w:vAlign w:val="top"/>
          </w:tcPr>
          <w:p>
            <w:pPr>
              <w:spacing w:before="20" w:after="20" w:line="240" w:lineRule="auto"/>
            </w:pPr>
            <w:r>
              <w:rPr>
                <w:sz w:val="18"/>
                <w:szCs w:val="18"/>
              </w:rPr>
              <w:t xml:space="preserve">Recomienda apps en idiomas locales</w:t>
            </w:r>
          </w:p>
        </w:tc>
        <w:tc>
          <w:tcPr>
            <w:tcW w:w="1200" w:type="dxa"/>
            <w:vAlign w:val="top"/>
          </w:tcPr>
          <w:p>
            <w:pPr>
              <w:spacing w:before="20" w:after="20" w:line="240" w:lineRule="auto"/>
            </w:pPr>
            <w:r>
              <w:rPr>
                <w:sz w:val="18"/>
                <w:szCs w:val="18"/>
              </w:rPr>
              <w:t xml:space="preserve">Breve</w:t>
            </w:r>
          </w:p>
        </w:tc>
        <w:tc>
          <w:tcPr>
            <w:tcW w:w="1438" w:type="dxa"/>
            <w:vAlign w:val="top"/>
          </w:tcPr>
          <w:p>
            <w:pPr>
              <w:spacing w:before="20" w:after="20" w:line="240" w:lineRule="auto"/>
            </w:pPr>
            <w:r>
              <w:rPr>
                <w:sz w:val="18"/>
                <w:szCs w:val="18"/>
              </w:rPr>
              <w:t xml:space="preserve">Propone extender el estudio a tallos y ramas</w:t>
            </w:r>
          </w:p>
        </w:tc>
      </w:tr>
      <w:tr>
        <w:trPr>
          <w:cantSplit/>
        </w:trPr>
        <w:tc>
          <w:tcPr>
            <w:tcW w:w="1500" w:type="dxa"/>
            <w:vAlign w:val="top"/>
          </w:tcPr>
          <w:p>
            <w:pPr>
              <w:spacing w:before="20" w:after="20" w:line="240" w:lineRule="auto"/>
            </w:pPr>
            <w:r>
              <w:rPr>
                <w:b/>
                <w:bCs/>
                <w:sz w:val="18"/>
                <w:szCs w:val="18"/>
              </w:rPr>
              <w:t xml:space="preserve">Lin et al. (2026)</w:t>
            </w:r>
          </w:p>
        </w:tc>
        <w:tc>
          <w:tcPr>
            <w:tcW w:w="2100" w:type="dxa"/>
            <w:vAlign w:val="top"/>
          </w:tcPr>
          <w:p>
            <w:pPr>
              <w:spacing w:before="20" w:after="20" w:line="240" w:lineRule="auto"/>
            </w:pPr>
            <w:r>
              <w:rPr>
                <w:sz w:val="18"/>
                <w:szCs w:val="18"/>
              </w:rPr>
              <w:t xml:space="preserve">Revisión (PRISMA); 92 estudios; destilación</w:t>
            </w:r>
          </w:p>
        </w:tc>
        <w:tc>
          <w:tcPr>
            <w:tcW w:w="1200" w:type="dxa"/>
            <w:vAlign w:val="top"/>
          </w:tcPr>
          <w:p>
            <w:pPr>
              <w:spacing w:before="20" w:after="20" w:line="240" w:lineRule="auto"/>
            </w:pPr>
            <w:r>
              <w:rPr>
                <w:sz w:val="18"/>
                <w:szCs w:val="18"/>
              </w:rPr>
              <w:t xml:space="preserve">Sí, modelos ligeros</w:t>
            </w:r>
          </w:p>
        </w:tc>
        <w:tc>
          <w:tcPr>
            <w:tcW w:w="1400" w:type="dxa"/>
            <w:vAlign w:val="top"/>
          </w:tcPr>
          <w:p>
            <w:pPr>
              <w:spacing w:before="20" w:after="20" w:line="240" w:lineRule="auto"/>
            </w:pPr>
            <w:r>
              <w:rPr>
                <w:sz w:val="18"/>
                <w:szCs w:val="18"/>
              </w:rPr>
              <w:t xml:space="preserve">Dispositivos de borde</w:t>
            </w:r>
          </w:p>
        </w:tc>
        <w:tc>
          <w:tcPr>
            <w:tcW w:w="1200" w:type="dxa"/>
            <w:vAlign w:val="top"/>
          </w:tcPr>
          <w:p>
            <w:pPr>
              <w:spacing w:before="20" w:after="20" w:line="240" w:lineRule="auto"/>
            </w:pPr>
            <w:r>
              <w:rPr>
                <w:sz w:val="18"/>
                <w:szCs w:val="18"/>
              </w:rPr>
              <w:t xml:space="preserve">Interpretabilidad y confianza</w:t>
            </w:r>
          </w:p>
        </w:tc>
        <w:tc>
          <w:tcPr>
            <w:tcW w:w="1438" w:type="dxa"/>
            <w:vAlign w:val="top"/>
          </w:tcPr>
          <w:p>
            <w:pPr>
              <w:spacing w:before="20" w:after="20" w:line="240" w:lineRule="auto"/>
            </w:pPr>
            <w:r>
              <w:rPr>
                <w:sz w:val="18"/>
                <w:szCs w:val="18"/>
              </w:rPr>
              <w:t xml:space="preserve">No</w:t>
            </w:r>
          </w:p>
        </w:tc>
      </w:tr>
      <w:tr>
        <w:trPr>
          <w:cantSplit/>
        </w:trPr>
        <w:tc>
          <w:tcPr>
            <w:tcW w:w="1500" w:type="dxa"/>
            <w:vAlign w:val="top"/>
          </w:tcPr>
          <w:p>
            <w:pPr>
              <w:spacing w:before="20" w:after="20" w:line="240" w:lineRule="auto"/>
            </w:pPr>
            <w:r>
              <w:rPr>
                <w:b/>
                <w:bCs/>
                <w:sz w:val="18"/>
                <w:szCs w:val="18"/>
              </w:rPr>
              <w:t xml:space="preserve">Munjal et al. (2023)</w:t>
            </w:r>
          </w:p>
        </w:tc>
        <w:tc>
          <w:tcPr>
            <w:tcW w:w="2100" w:type="dxa"/>
            <w:vAlign w:val="top"/>
          </w:tcPr>
          <w:p>
            <w:pPr>
              <w:spacing w:before="20" w:after="20" w:line="240" w:lineRule="auto"/>
            </w:pPr>
            <w:r>
              <w:rPr>
                <w:sz w:val="18"/>
                <w:szCs w:val="18"/>
              </w:rPr>
              <w:t xml:space="preserve">Revisión de unos 100 trabajos; hojas</w:t>
            </w:r>
          </w:p>
        </w:tc>
        <w:tc>
          <w:tcPr>
            <w:tcW w:w="1200" w:type="dxa"/>
            <w:vAlign w:val="top"/>
          </w:tcPr>
          <w:p>
            <w:pPr>
              <w:spacing w:before="20" w:after="20" w:line="240" w:lineRule="auto"/>
            </w:pPr>
            <w:r>
              <w:rPr>
                <w:sz w:val="18"/>
                <w:szCs w:val="18"/>
              </w:rPr>
              <w:t xml:space="preserve">Sí</w:t>
            </w:r>
          </w:p>
        </w:tc>
        <w:tc>
          <w:tcPr>
            <w:tcW w:w="1400" w:type="dxa"/>
            <w:vAlign w:val="top"/>
          </w:tcPr>
          <w:p>
            <w:pPr>
              <w:spacing w:before="20" w:after="20" w:line="240" w:lineRule="auto"/>
            </w:pPr>
            <w:r>
              <w:rPr>
                <w:sz w:val="18"/>
                <w:szCs w:val="18"/>
              </w:rPr>
              <w:t xml:space="preserve">Señala pocas apps</w:t>
            </w:r>
          </w:p>
        </w:tc>
        <w:tc>
          <w:tcPr>
            <w:tcW w:w="1200" w:type="dxa"/>
            <w:vAlign w:val="top"/>
          </w:tcPr>
          <w:p>
            <w:pPr>
              <w:spacing w:before="20" w:after="20" w:line="240" w:lineRule="auto"/>
            </w:pPr>
            <w:r>
              <w:rPr>
                <w:sz w:val="18"/>
                <w:szCs w:val="18"/>
              </w:rPr>
              <w:t xml:space="preserve">No</w:t>
            </w:r>
          </w:p>
        </w:tc>
        <w:tc>
          <w:tcPr>
            <w:tcW w:w="1438" w:type="dxa"/>
            <w:vAlign w:val="top"/>
          </w:tcPr>
          <w:p>
            <w:pPr>
              <w:spacing w:before="20" w:after="20" w:line="240" w:lineRule="auto"/>
            </w:pPr>
            <w:r>
              <w:rPr>
                <w:sz w:val="18"/>
                <w:szCs w:val="18"/>
              </w:rPr>
              <w:t xml:space="preserve">No (la hoja como índice)</w:t>
            </w:r>
          </w:p>
        </w:tc>
      </w:tr>
      <w:tr>
        <w:trPr>
          <w:cantSplit/>
        </w:trPr>
        <w:tc>
          <w:tcPr>
            <w:tcW w:w="1500" w:type="dxa"/>
            <w:vAlign w:val="top"/>
          </w:tcPr>
          <w:p>
            <w:pPr>
              <w:spacing w:before="20" w:after="20" w:line="240" w:lineRule="auto"/>
            </w:pPr>
            <w:r>
              <w:rPr>
                <w:b/>
                <w:bCs/>
                <w:sz w:val="18"/>
                <w:szCs w:val="18"/>
              </w:rPr>
              <w:t xml:space="preserve">Martinelli et al. (2024)</w:t>
            </w:r>
          </w:p>
        </w:tc>
        <w:tc>
          <w:tcPr>
            <w:tcW w:w="2100" w:type="dxa"/>
            <w:vAlign w:val="top"/>
          </w:tcPr>
          <w:p>
            <w:pPr>
              <w:spacing w:before="20" w:after="20" w:line="240" w:lineRule="auto"/>
            </w:pPr>
            <w:r>
              <w:rPr>
                <w:sz w:val="18"/>
                <w:szCs w:val="18"/>
              </w:rPr>
              <w:t xml:space="preserve">RSL (Kitchenham y Charters); 45 artículos</w:t>
            </w:r>
          </w:p>
        </w:tc>
        <w:tc>
          <w:tcPr>
            <w:tcW w:w="1200" w:type="dxa"/>
            <w:vAlign w:val="top"/>
          </w:tcPr>
          <w:p>
            <w:pPr>
              <w:spacing w:before="20" w:after="20" w:line="240" w:lineRule="auto"/>
            </w:pPr>
            <w:r>
              <w:rPr>
                <w:sz w:val="18"/>
                <w:szCs w:val="18"/>
              </w:rPr>
              <w:t xml:space="preserve">No</w:t>
            </w:r>
          </w:p>
        </w:tc>
        <w:tc>
          <w:tcPr>
            <w:tcW w:w="1400" w:type="dxa"/>
            <w:vAlign w:val="top"/>
          </w:tcPr>
          <w:p>
            <w:pPr>
              <w:spacing w:before="20" w:after="20" w:line="240" w:lineRule="auto"/>
            </w:pPr>
            <w:r>
              <w:rPr>
                <w:sz w:val="18"/>
                <w:szCs w:val="18"/>
              </w:rPr>
              <w:t xml:space="preserve">No</w:t>
            </w:r>
          </w:p>
        </w:tc>
        <w:tc>
          <w:tcPr>
            <w:tcW w:w="1200" w:type="dxa"/>
            <w:vAlign w:val="top"/>
          </w:tcPr>
          <w:p>
            <w:pPr>
              <w:spacing w:before="20" w:after="20" w:line="240" w:lineRule="auto"/>
            </w:pPr>
            <w:r>
              <w:rPr>
                <w:sz w:val="18"/>
                <w:szCs w:val="18"/>
              </w:rPr>
              <w:t xml:space="preserve">Sí, UX a largo plazo</w:t>
            </w:r>
          </w:p>
        </w:tc>
        <w:tc>
          <w:tcPr>
            <w:tcW w:w="1438" w:type="dxa"/>
            <w:vAlign w:val="top"/>
          </w:tcPr>
          <w:p>
            <w:pPr>
              <w:spacing w:before="20" w:after="20" w:line="240" w:lineRule="auto"/>
            </w:pPr>
            <w:r>
              <w:rPr>
                <w:sz w:val="18"/>
                <w:szCs w:val="18"/>
              </w:rPr>
              <w:t xml:space="preserve">No</w:t>
            </w:r>
          </w:p>
        </w:tc>
      </w:tr>
      <w:tr>
        <w:trPr>
          <w:cantSplit/>
        </w:trPr>
        <w:tc>
          <w:tcPr>
            <w:tcW w:w="1500" w:type="dxa"/>
            <w:vAlign w:val="top"/>
          </w:tcPr>
          <w:p>
            <w:pPr>
              <w:spacing w:before="20" w:after="20" w:line="240" w:lineRule="auto"/>
            </w:pPr>
            <w:r>
              <w:rPr>
                <w:b/>
                <w:bCs/>
                <w:sz w:val="18"/>
                <w:szCs w:val="18"/>
              </w:rPr>
              <w:t xml:space="preserve">Möller et al. (2025)</w:t>
            </w:r>
          </w:p>
        </w:tc>
        <w:tc>
          <w:tcPr>
            <w:tcW w:w="2100" w:type="dxa"/>
            <w:vAlign w:val="top"/>
          </w:tcPr>
          <w:p>
            <w:pPr>
              <w:spacing w:before="20" w:after="20" w:line="240" w:lineRule="auto"/>
            </w:pPr>
            <w:r>
              <w:rPr>
                <w:sz w:val="18"/>
                <w:szCs w:val="18"/>
              </w:rPr>
              <w:t xml:space="preserve">Revisión de literatura sobre Botryosphaeriaceae</w:t>
            </w:r>
          </w:p>
        </w:tc>
        <w:tc>
          <w:tcPr>
            <w:tcW w:w="1200" w:type="dxa"/>
            <w:vAlign w:val="top"/>
          </w:tcPr>
          <w:p>
            <w:pPr>
              <w:spacing w:before="20" w:after="20" w:line="240" w:lineRule="auto"/>
            </w:pPr>
            <w:r>
              <w:rPr>
                <w:sz w:val="18"/>
                <w:szCs w:val="18"/>
              </w:rPr>
              <w:t xml:space="preserve">No</w:t>
            </w:r>
          </w:p>
        </w:tc>
        <w:tc>
          <w:tcPr>
            <w:tcW w:w="1400" w:type="dxa"/>
            <w:vAlign w:val="top"/>
          </w:tcPr>
          <w:p>
            <w:pPr>
              <w:spacing w:before="20" w:after="20" w:line="240" w:lineRule="auto"/>
            </w:pPr>
            <w:r>
              <w:rPr>
                <w:sz w:val="18"/>
                <w:szCs w:val="18"/>
              </w:rPr>
              <w:t xml:space="preserve">No</w:t>
            </w:r>
          </w:p>
        </w:tc>
        <w:tc>
          <w:tcPr>
            <w:tcW w:w="1200" w:type="dxa"/>
            <w:vAlign w:val="top"/>
          </w:tcPr>
          <w:p>
            <w:pPr>
              <w:spacing w:before="20" w:after="20" w:line="240" w:lineRule="auto"/>
            </w:pPr>
            <w:r>
              <w:rPr>
                <w:sz w:val="18"/>
                <w:szCs w:val="18"/>
              </w:rPr>
              <w:t xml:space="preserve">No</w:t>
            </w:r>
          </w:p>
        </w:tc>
        <w:tc>
          <w:tcPr>
            <w:tcW w:w="1438" w:type="dxa"/>
            <w:vAlign w:val="top"/>
          </w:tcPr>
          <w:p>
            <w:pPr>
              <w:spacing w:before="20" w:after="20" w:line="240" w:lineRule="auto"/>
            </w:pPr>
            <w:r>
              <w:rPr>
                <w:sz w:val="18"/>
                <w:szCs w:val="18"/>
              </w:rPr>
              <w:t xml:space="preserve">Sí: cancro y muerte descendente; detección en laboratorio</w:t>
            </w:r>
          </w:p>
        </w:tc>
      </w:tr>
      <w:tr>
        <w:trPr>
          <w:cantSplit/>
        </w:trPr>
        <w:tc>
          <w:tcPr>
            <w:tcW w:w="1500" w:type="dxa"/>
            <w:shd w:val="clear" w:color="auto" w:fill="FFF2CC"/>
            <w:vAlign w:val="top"/>
          </w:tcPr>
          <w:p>
            <w:pPr>
              <w:spacing w:before="20" w:after="20" w:line="240" w:lineRule="auto"/>
            </w:pPr>
            <w:r>
              <w:rPr>
                <w:b/>
                <w:bCs/>
                <w:sz w:val="18"/>
                <w:szCs w:val="18"/>
              </w:rPr>
              <w:t xml:space="preserve">Este estudio (protocolo v3)</w:t>
            </w:r>
          </w:p>
        </w:tc>
        <w:tc>
          <w:tcPr>
            <w:tcW w:w="2100" w:type="dxa"/>
            <w:shd w:val="clear" w:color="auto" w:fill="FFF2CC"/>
            <w:vAlign w:val="top"/>
          </w:tcPr>
          <w:p>
            <w:pPr>
              <w:spacing w:before="20" w:after="20" w:line="240" w:lineRule="auto"/>
            </w:pPr>
            <w:r>
              <w:rPr>
                <w:sz w:val="18"/>
                <w:szCs w:val="18"/>
              </w:rPr>
              <w:t xml:space="preserve">RS con dos categorías (fitopatológica y tecnológica)</w:t>
            </w:r>
          </w:p>
        </w:tc>
        <w:tc>
          <w:tcPr>
            <w:tcW w:w="1200" w:type="dxa"/>
            <w:shd w:val="clear" w:color="auto" w:fill="FFF2CC"/>
            <w:vAlign w:val="top"/>
          </w:tcPr>
          <w:p>
            <w:pPr>
              <w:spacing w:before="20" w:after="20" w:line="240" w:lineRule="auto"/>
            </w:pPr>
            <w:r>
              <w:rPr>
                <w:sz w:val="18"/>
                <w:szCs w:val="18"/>
              </w:rPr>
              <w:t xml:space="preserve">Sí</w:t>
            </w:r>
          </w:p>
        </w:tc>
        <w:tc>
          <w:tcPr>
            <w:tcW w:w="1400" w:type="dxa"/>
            <w:shd w:val="clear" w:color="auto" w:fill="FFF2CC"/>
            <w:vAlign w:val="top"/>
          </w:tcPr>
          <w:p>
            <w:pPr>
              <w:spacing w:before="20" w:after="20" w:line="240" w:lineRule="auto"/>
            </w:pPr>
            <w:r>
              <w:rPr>
                <w:sz w:val="18"/>
                <w:szCs w:val="18"/>
              </w:rPr>
              <w:t xml:space="preserve">Sí</w:t>
            </w:r>
          </w:p>
        </w:tc>
        <w:tc>
          <w:tcPr>
            <w:tcW w:w="1200" w:type="dxa"/>
            <w:shd w:val="clear" w:color="auto" w:fill="FFF2CC"/>
            <w:vAlign w:val="top"/>
          </w:tcPr>
          <w:p>
            <w:pPr>
              <w:spacing w:before="20" w:after="20" w:line="240" w:lineRule="auto"/>
            </w:pPr>
            <w:r>
              <w:rPr>
                <w:sz w:val="18"/>
                <w:szCs w:val="18"/>
              </w:rPr>
              <w:t xml:space="preserve">Sí</w:t>
            </w:r>
          </w:p>
        </w:tc>
        <w:tc>
          <w:tcPr>
            <w:tcW w:w="1438" w:type="dxa"/>
            <w:shd w:val="clear" w:color="auto" w:fill="FFF2CC"/>
            <w:vAlign w:val="top"/>
          </w:tcPr>
          <w:p>
            <w:pPr>
              <w:spacing w:before="20" w:after="20" w:line="240" w:lineRule="auto"/>
            </w:pPr>
            <w:r>
              <w:rPr>
                <w:sz w:val="18"/>
                <w:szCs w:val="18"/>
              </w:rPr>
              <w:t xml:space="preserve">Sí, tallo como núcleo</w:t>
            </w:r>
          </w:p>
        </w:tc>
      </w:tr>
    </w:tbl>
    <w:p>
      <w:pPr>
        <w:spacing w:before="40" w:after="200"/>
        <w:jc w:val="both"/>
      </w:pPr>
      <w:r>
        <w:rPr>
          <w:i/>
          <w:iCs/>
          <w:sz w:val="18"/>
          <w:szCs w:val="18"/>
        </w:rPr>
        <w:t xml:space="preserve">Nota.</w:t>
      </w:r>
      <w:r>
        <w:rPr>
          <w:sz w:val="18"/>
          <w:szCs w:val="18"/>
        </w:rPr>
        <w:t xml:space="preserve"> Elaboración propia a partir de las revisiones citadas. RS: revisión sistemática; RSL: revisión sistemática de la literatura.</w:t>
      </w:r>
    </w:p>
    <w:p>
      <w:pPr>
        <w:ind w:firstLine="720"/>
        <w:jc w:val="both"/>
      </w:pPr>
      <w:r>
        <w:rPr/>
        <w:t xml:space="preserve">Ninguna revisión reúne en un solo análisis las enfermedades del tallo del aguacate, las técnicas de IA para diagnosticarlas, su despliegue en el teléfono y el diseño centrado en el usuario. Ese es el espacio que ocupa la revisión sistemática del proyecto.</w:t>
      </w:r>
    </w:p>
    <w:p>
      <w:pPr>
        <w:keepNext/>
        <w:spacing w:before="200" w:after="100"/>
        <w:jc w:val="both"/>
      </w:pPr>
      <w:r>
        <w:rPr>
          <w:b/>
          <w:bCs/>
        </w:rPr>
        <w:t xml:space="preserve">2.8 Síntesis de brechas de investigación</w:t>
      </w:r>
    </w:p>
    <w:p>
      <w:pPr>
        <w:jc w:val="both"/>
      </w:pPr>
      <w:r>
        <w:rPr/>
        <w:t xml:space="preserve">La Tabla 12 resume las brechas identificadas, la evidencia que las respalda y la pregunta de investigación del protocolo v3 que las abordará.</w:t>
      </w:r>
    </w:p>
    <w:p>
      <w:pPr>
        <w:keepNext/>
        <w:spacing w:before="160" w:after="80"/>
      </w:pPr>
      <w:r>
        <w:rPr>
          <w:b/>
          <w:bCs/>
          <w:sz w:val="20"/>
          <w:szCs w:val="20"/>
        </w:rPr>
        <w:t xml:space="preserve">Tabla 12.</w:t>
      </w:r>
      <w:r>
        <w:rPr>
          <w:sz w:val="20"/>
          <w:szCs w:val="20"/>
        </w:rPr>
        <w:t xml:space="preserve"> </w:t>
      </w:r>
      <w:r>
        <w:rPr>
          <w:i/>
          <w:iCs/>
          <w:sz w:val="20"/>
          <w:szCs w:val="20"/>
        </w:rPr>
        <w:t xml:space="preserve">Brechas identificadas en el estado del arte y preguntas de investigación relacionadas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600"/>
        <w:gridCol w:w="3700"/>
        <w:gridCol w:w="3338"/>
        <w:gridCol w:w="1200"/>
      </w:tblGrid>
      <w:tr>
        <w:trPr>
          <w:tblHeader/>
          <w:cantSplit/>
        </w:trPr>
        <w:tc>
          <w:tcPr>
            <w:tcW w:w="600" w:type="dxa"/>
            <w:shd w:val="clear" w:color="auto" w:fill="D9E2F3"/>
            <w:vAlign w:val="center"/>
          </w:tcPr>
          <w:p>
            <w:pPr>
              <w:keepNext/>
              <w:spacing w:before="20" w:after="20" w:line="240" w:lineRule="auto"/>
              <w:jc w:val="center"/>
            </w:pPr>
            <w:r>
              <w:rPr>
                <w:b/>
                <w:bCs/>
                <w:sz w:val="18"/>
                <w:szCs w:val="18"/>
              </w:rPr>
              <w:t xml:space="preserve">N.º</w:t>
            </w:r>
          </w:p>
        </w:tc>
        <w:tc>
          <w:tcPr>
            <w:tcW w:w="3700" w:type="dxa"/>
            <w:shd w:val="clear" w:color="auto" w:fill="D9E2F3"/>
            <w:vAlign w:val="center"/>
          </w:tcPr>
          <w:p>
            <w:pPr>
              <w:keepNext/>
              <w:spacing w:before="20" w:after="20" w:line="240" w:lineRule="auto"/>
              <w:jc w:val="center"/>
            </w:pPr>
            <w:r>
              <w:rPr>
                <w:b/>
                <w:bCs/>
                <w:sz w:val="18"/>
                <w:szCs w:val="18"/>
              </w:rPr>
              <w:t xml:space="preserve">Brecha</w:t>
            </w:r>
          </w:p>
        </w:tc>
        <w:tc>
          <w:tcPr>
            <w:tcW w:w="3338" w:type="dxa"/>
            <w:shd w:val="clear" w:color="auto" w:fill="D9E2F3"/>
            <w:vAlign w:val="center"/>
          </w:tcPr>
          <w:p>
            <w:pPr>
              <w:keepNext/>
              <w:spacing w:before="20" w:after="20" w:line="240" w:lineRule="auto"/>
              <w:jc w:val="center"/>
            </w:pPr>
            <w:r>
              <w:rPr>
                <w:b/>
                <w:bCs/>
                <w:sz w:val="18"/>
                <w:szCs w:val="18"/>
              </w:rPr>
              <w:t xml:space="preserve">Evidencia</w:t>
            </w:r>
          </w:p>
        </w:tc>
        <w:tc>
          <w:tcPr>
            <w:tcW w:w="1200" w:type="dxa"/>
            <w:shd w:val="clear" w:color="auto" w:fill="D9E2F3"/>
            <w:vAlign w:val="center"/>
          </w:tcPr>
          <w:p>
            <w:pPr>
              <w:keepNext/>
              <w:spacing w:before="20" w:after="20" w:line="240" w:lineRule="auto"/>
              <w:jc w:val="center"/>
            </w:pPr>
            <w:r>
              <w:rPr>
                <w:b/>
                <w:bCs/>
                <w:sz w:val="18"/>
                <w:szCs w:val="18"/>
              </w:rPr>
              <w:t xml:space="preserve">RQ</w:t>
            </w:r>
          </w:p>
        </w:tc>
      </w:tr>
      <w:tr>
        <w:trPr>
          <w:cantSplit/>
        </w:trPr>
        <w:tc>
          <w:tcPr>
            <w:tcW w:w="600" w:type="dxa"/>
            <w:vAlign w:val="top"/>
          </w:tcPr>
          <w:p>
            <w:pPr>
              <w:spacing w:before="20" w:after="20" w:line="240" w:lineRule="auto"/>
            </w:pPr>
            <w:r>
              <w:rPr>
                <w:b/>
                <w:bCs/>
                <w:sz w:val="18"/>
                <w:szCs w:val="18"/>
              </w:rPr>
              <w:t xml:space="preserve">B1</w:t>
            </w:r>
          </w:p>
        </w:tc>
        <w:tc>
          <w:tcPr>
            <w:tcW w:w="3700" w:type="dxa"/>
            <w:vAlign w:val="top"/>
          </w:tcPr>
          <w:p>
            <w:pPr>
              <w:spacing w:before="20" w:after="20" w:line="240" w:lineRule="auto"/>
            </w:pPr>
            <w:r>
              <w:rPr>
                <w:sz w:val="18"/>
                <w:szCs w:val="18"/>
              </w:rPr>
              <w:t xml:space="preserve">El diagnóstico por IA se ha centrado en hojas y frutos; los tallos casi no se han estudiado.</w:t>
            </w:r>
          </w:p>
        </w:tc>
        <w:tc>
          <w:tcPr>
            <w:tcW w:w="3338" w:type="dxa"/>
            <w:vAlign w:val="top"/>
          </w:tcPr>
          <w:p>
            <w:pPr>
              <w:spacing w:before="20" w:after="20" w:line="240" w:lineRule="auto"/>
            </w:pPr>
            <w:r>
              <w:rPr>
                <w:sz w:val="18"/>
                <w:szCs w:val="18"/>
              </w:rPr>
              <w:t xml:space="preserve">Munjal et al. (2023); Odounfa et al. (2024); Sajitha et al. (2024); Tabla 4</w:t>
            </w:r>
          </w:p>
        </w:tc>
        <w:tc>
          <w:tcPr>
            <w:tcW w:w="1200" w:type="dxa"/>
            <w:vAlign w:val="top"/>
          </w:tcPr>
          <w:p>
            <w:pPr>
              <w:spacing w:before="20" w:after="20" w:line="240" w:lineRule="auto"/>
            </w:pPr>
            <w:r>
              <w:rPr>
                <w:sz w:val="18"/>
                <w:szCs w:val="18"/>
              </w:rPr>
              <w:t xml:space="preserve">RQ3, RQ5</w:t>
            </w:r>
          </w:p>
        </w:tc>
      </w:tr>
      <w:tr>
        <w:trPr>
          <w:cantSplit/>
        </w:trPr>
        <w:tc>
          <w:tcPr>
            <w:tcW w:w="600" w:type="dxa"/>
            <w:vAlign w:val="top"/>
          </w:tcPr>
          <w:p>
            <w:pPr>
              <w:spacing w:before="20" w:after="20" w:line="240" w:lineRule="auto"/>
            </w:pPr>
            <w:r>
              <w:rPr>
                <w:b/>
                <w:bCs/>
                <w:sz w:val="18"/>
                <w:szCs w:val="18"/>
              </w:rPr>
              <w:t xml:space="preserve">B2</w:t>
            </w:r>
          </w:p>
        </w:tc>
        <w:tc>
          <w:tcPr>
            <w:tcW w:w="3700" w:type="dxa"/>
            <w:vAlign w:val="top"/>
          </w:tcPr>
          <w:p>
            <w:pPr>
              <w:spacing w:before="20" w:after="20" w:line="240" w:lineRule="auto"/>
            </w:pPr>
            <w:r>
              <w:rPr>
                <w:sz w:val="18"/>
                <w:szCs w:val="18"/>
              </w:rPr>
              <w:t xml:space="preserve">No existen conjuntos de imágenes de tallos de aguacate; los públicos son de laboratorio y con sesgo geográfico. Ninguna fuente recopilada es un estudio realizado en Ecuador.</w:t>
            </w:r>
          </w:p>
        </w:tc>
        <w:tc>
          <w:tcPr>
            <w:tcW w:w="3338" w:type="dxa"/>
            <w:vAlign w:val="top"/>
          </w:tcPr>
          <w:p>
            <w:pPr>
              <w:spacing w:before="20" w:after="20" w:line="240" w:lineRule="auto"/>
            </w:pPr>
            <w:r>
              <w:rPr>
                <w:sz w:val="18"/>
                <w:szCs w:val="18"/>
              </w:rPr>
              <w:t xml:space="preserve">Lin et al. (2026); Majdalawieh et al. (2025); Saini et al. (2026); Tabla 5</w:t>
            </w:r>
          </w:p>
        </w:tc>
        <w:tc>
          <w:tcPr>
            <w:tcW w:w="1200" w:type="dxa"/>
            <w:vAlign w:val="top"/>
          </w:tcPr>
          <w:p>
            <w:pPr>
              <w:spacing w:before="20" w:after="20" w:line="240" w:lineRule="auto"/>
            </w:pPr>
            <w:r>
              <w:rPr>
                <w:sz w:val="18"/>
                <w:szCs w:val="18"/>
              </w:rPr>
              <w:t xml:space="preserve">RQ3, RQ5</w:t>
            </w:r>
          </w:p>
        </w:tc>
      </w:tr>
      <w:tr>
        <w:trPr>
          <w:cantSplit/>
        </w:trPr>
        <w:tc>
          <w:tcPr>
            <w:tcW w:w="600" w:type="dxa"/>
            <w:vAlign w:val="top"/>
          </w:tcPr>
          <w:p>
            <w:pPr>
              <w:spacing w:before="20" w:after="20" w:line="240" w:lineRule="auto"/>
            </w:pPr>
            <w:r>
              <w:rPr>
                <w:b/>
                <w:bCs/>
                <w:sz w:val="18"/>
                <w:szCs w:val="18"/>
              </w:rPr>
              <w:t xml:space="preserve">B3</w:t>
            </w:r>
          </w:p>
        </w:tc>
        <w:tc>
          <w:tcPr>
            <w:tcW w:w="3700" w:type="dxa"/>
            <w:vAlign w:val="top"/>
          </w:tcPr>
          <w:p>
            <w:pPr>
              <w:spacing w:before="20" w:after="20" w:line="240" w:lineRule="auto"/>
            </w:pPr>
            <w:r>
              <w:rPr>
                <w:sz w:val="18"/>
                <w:szCs w:val="18"/>
              </w:rPr>
              <w:t xml:space="preserve">Los síntomas del tallo se superponen entre patógenos y hay coinfecciones, lo que limita el diagnóstico por imagen.</w:t>
            </w:r>
          </w:p>
        </w:tc>
        <w:tc>
          <w:tcPr>
            <w:tcW w:w="3338" w:type="dxa"/>
            <w:vAlign w:val="top"/>
          </w:tcPr>
          <w:p>
            <w:pPr>
              <w:spacing w:before="20" w:after="20" w:line="240" w:lineRule="auto"/>
            </w:pPr>
            <w:r>
              <w:rPr>
                <w:sz w:val="18"/>
                <w:szCs w:val="18"/>
              </w:rPr>
              <w:t xml:space="preserve">Hernández et al. (2023); Linaldeddu et al. (2026); Möller et al. (2025); Silva et al. (2025)</w:t>
            </w:r>
          </w:p>
        </w:tc>
        <w:tc>
          <w:tcPr>
            <w:tcW w:w="1200" w:type="dxa"/>
            <w:vAlign w:val="top"/>
          </w:tcPr>
          <w:p>
            <w:pPr>
              <w:spacing w:before="20" w:after="20" w:line="240" w:lineRule="auto"/>
            </w:pPr>
            <w:r>
              <w:rPr>
                <w:sz w:val="18"/>
                <w:szCs w:val="18"/>
              </w:rPr>
              <w:t xml:space="preserve">RQ1, RQ2, RQ5</w:t>
            </w:r>
          </w:p>
        </w:tc>
      </w:tr>
      <w:tr>
        <w:trPr>
          <w:cantSplit/>
        </w:trPr>
        <w:tc>
          <w:tcPr>
            <w:tcW w:w="600" w:type="dxa"/>
            <w:vAlign w:val="top"/>
          </w:tcPr>
          <w:p>
            <w:pPr>
              <w:spacing w:before="20" w:after="20" w:line="240" w:lineRule="auto"/>
            </w:pPr>
            <w:r>
              <w:rPr>
                <w:b/>
                <w:bCs/>
                <w:sz w:val="18"/>
                <w:szCs w:val="18"/>
              </w:rPr>
              <w:t xml:space="preserve">B4</w:t>
            </w:r>
          </w:p>
        </w:tc>
        <w:tc>
          <w:tcPr>
            <w:tcW w:w="3700" w:type="dxa"/>
            <w:vAlign w:val="top"/>
          </w:tcPr>
          <w:p>
            <w:pPr>
              <w:spacing w:before="20" w:after="20" w:line="240" w:lineRule="auto"/>
            </w:pPr>
            <w:r>
              <w:rPr>
                <w:sz w:val="18"/>
                <w:szCs w:val="18"/>
              </w:rPr>
              <w:t xml:space="preserve">Lo visible subestima el daño: la necrosis interna precede a la externa y existen infecciones latentes.</w:t>
            </w:r>
          </w:p>
        </w:tc>
        <w:tc>
          <w:tcPr>
            <w:tcW w:w="3338" w:type="dxa"/>
            <w:vAlign w:val="top"/>
          </w:tcPr>
          <w:p>
            <w:pPr>
              <w:spacing w:before="20" w:after="20" w:line="240" w:lineRule="auto"/>
            </w:pPr>
            <w:r>
              <w:rPr>
                <w:sz w:val="18"/>
                <w:szCs w:val="18"/>
              </w:rPr>
              <w:t xml:space="preserve">Möller et al. (2025); Rodríguez-Gálvez et al. (2025); Valencia et al. (2022); Vecchio, Martino, et al. (2026)</w:t>
            </w:r>
          </w:p>
        </w:tc>
        <w:tc>
          <w:tcPr>
            <w:tcW w:w="1200" w:type="dxa"/>
            <w:vAlign w:val="top"/>
          </w:tcPr>
          <w:p>
            <w:pPr>
              <w:spacing w:before="20" w:after="20" w:line="240" w:lineRule="auto"/>
            </w:pPr>
            <w:r>
              <w:rPr>
                <w:sz w:val="18"/>
                <w:szCs w:val="18"/>
              </w:rPr>
              <w:t xml:space="preserve">RQ2, RQ5</w:t>
            </w:r>
          </w:p>
        </w:tc>
      </w:tr>
      <w:tr>
        <w:trPr>
          <w:cantSplit/>
        </w:trPr>
        <w:tc>
          <w:tcPr>
            <w:tcW w:w="600" w:type="dxa"/>
            <w:vAlign w:val="top"/>
          </w:tcPr>
          <w:p>
            <w:pPr>
              <w:spacing w:before="20" w:after="20" w:line="240" w:lineRule="auto"/>
            </w:pPr>
            <w:r>
              <w:rPr>
                <w:b/>
                <w:bCs/>
                <w:sz w:val="18"/>
                <w:szCs w:val="18"/>
              </w:rPr>
              <w:t xml:space="preserve">B5</w:t>
            </w:r>
          </w:p>
        </w:tc>
        <w:tc>
          <w:tcPr>
            <w:tcW w:w="3700" w:type="dxa"/>
            <w:vAlign w:val="top"/>
          </w:tcPr>
          <w:p>
            <w:pPr>
              <w:spacing w:before="20" w:after="20" w:line="240" w:lineRule="auto"/>
            </w:pPr>
            <w:r>
              <w:rPr>
                <w:sz w:val="18"/>
                <w:szCs w:val="18"/>
              </w:rPr>
              <w:t xml:space="preserve">El diagnóstico depende del laboratorio y tarda semanas; no hay herramientas de campo basadas en imágenes del tallo.</w:t>
            </w:r>
          </w:p>
        </w:tc>
        <w:tc>
          <w:tcPr>
            <w:tcW w:w="3338" w:type="dxa"/>
            <w:vAlign w:val="top"/>
          </w:tcPr>
          <w:p>
            <w:pPr>
              <w:spacing w:before="20" w:after="20" w:line="240" w:lineRule="auto"/>
            </w:pPr>
            <w:r>
              <w:rPr>
                <w:sz w:val="18"/>
                <w:szCs w:val="18"/>
              </w:rPr>
              <w:t xml:space="preserve">Möller et al. (2025); Silva et al. (2025)</w:t>
            </w:r>
          </w:p>
        </w:tc>
        <w:tc>
          <w:tcPr>
            <w:tcW w:w="1200" w:type="dxa"/>
            <w:vAlign w:val="top"/>
          </w:tcPr>
          <w:p>
            <w:pPr>
              <w:spacing w:before="20" w:after="20" w:line="240" w:lineRule="auto"/>
            </w:pPr>
            <w:r>
              <w:rPr>
                <w:sz w:val="18"/>
                <w:szCs w:val="18"/>
              </w:rPr>
              <w:t xml:space="preserve">RQ2, RQ5</w:t>
            </w:r>
          </w:p>
        </w:tc>
      </w:tr>
      <w:tr>
        <w:trPr>
          <w:cantSplit/>
        </w:trPr>
        <w:tc>
          <w:tcPr>
            <w:tcW w:w="600" w:type="dxa"/>
            <w:vAlign w:val="top"/>
          </w:tcPr>
          <w:p>
            <w:pPr>
              <w:spacing w:before="20" w:after="20" w:line="240" w:lineRule="auto"/>
            </w:pPr>
            <w:r>
              <w:rPr>
                <w:b/>
                <w:bCs/>
                <w:sz w:val="18"/>
                <w:szCs w:val="18"/>
              </w:rPr>
              <w:t xml:space="preserve">B6</w:t>
            </w:r>
          </w:p>
        </w:tc>
        <w:tc>
          <w:tcPr>
            <w:tcW w:w="3700" w:type="dxa"/>
            <w:vAlign w:val="top"/>
          </w:tcPr>
          <w:p>
            <w:pPr>
              <w:spacing w:before="20" w:after="20" w:line="240" w:lineRule="auto"/>
            </w:pPr>
            <w:r>
              <w:rPr>
                <w:sz w:val="18"/>
                <w:szCs w:val="18"/>
              </w:rPr>
              <w:t xml:space="preserve">Los sistemas móviles procesan en el servidor y dependen de Internet; la inferencia sin conexión es poco común.</w:t>
            </w:r>
          </w:p>
        </w:tc>
        <w:tc>
          <w:tcPr>
            <w:tcW w:w="3338" w:type="dxa"/>
            <w:vAlign w:val="top"/>
          </w:tcPr>
          <w:p>
            <w:pPr>
              <w:spacing w:before="20" w:after="20" w:line="240" w:lineRule="auto"/>
            </w:pPr>
            <w:r>
              <w:rPr>
                <w:sz w:val="18"/>
                <w:szCs w:val="18"/>
              </w:rPr>
              <w:t xml:space="preserve">Kochhar et al. (2026); Ramana Reddy et al. (2025); Saini et al. (2026)</w:t>
            </w:r>
          </w:p>
        </w:tc>
        <w:tc>
          <w:tcPr>
            <w:tcW w:w="1200" w:type="dxa"/>
            <w:vAlign w:val="top"/>
          </w:tcPr>
          <w:p>
            <w:pPr>
              <w:spacing w:before="20" w:after="20" w:line="240" w:lineRule="auto"/>
            </w:pPr>
            <w:r>
              <w:rPr>
                <w:sz w:val="18"/>
                <w:szCs w:val="18"/>
              </w:rPr>
              <w:t xml:space="preserve">RQ4</w:t>
            </w:r>
          </w:p>
        </w:tc>
      </w:tr>
      <w:tr>
        <w:trPr>
          <w:cantSplit/>
        </w:trPr>
        <w:tc>
          <w:tcPr>
            <w:tcW w:w="600" w:type="dxa"/>
            <w:vAlign w:val="top"/>
          </w:tcPr>
          <w:p>
            <w:pPr>
              <w:spacing w:before="20" w:after="20" w:line="240" w:lineRule="auto"/>
            </w:pPr>
            <w:r>
              <w:rPr>
                <w:b/>
                <w:bCs/>
                <w:sz w:val="18"/>
                <w:szCs w:val="18"/>
              </w:rPr>
              <w:t xml:space="preserve">B7</w:t>
            </w:r>
          </w:p>
        </w:tc>
        <w:tc>
          <w:tcPr>
            <w:tcW w:w="3700" w:type="dxa"/>
            <w:vAlign w:val="top"/>
          </w:tcPr>
          <w:p>
            <w:pPr>
              <w:spacing w:before="20" w:after="20" w:line="240" w:lineRule="auto"/>
            </w:pPr>
            <w:r>
              <w:rPr>
                <w:sz w:val="18"/>
                <w:szCs w:val="18"/>
              </w:rPr>
              <w:t xml:space="preserve">La evaluación con usuarios es escasa e informal, y la UX a largo plazo casi no se aplica.</w:t>
            </w:r>
          </w:p>
        </w:tc>
        <w:tc>
          <w:tcPr>
            <w:tcW w:w="3338" w:type="dxa"/>
            <w:vAlign w:val="top"/>
          </w:tcPr>
          <w:p>
            <w:pPr>
              <w:spacing w:before="20" w:after="20" w:line="240" w:lineRule="auto"/>
            </w:pPr>
            <w:r>
              <w:rPr>
                <w:sz w:val="18"/>
                <w:szCs w:val="18"/>
              </w:rPr>
              <w:t xml:space="preserve">Christakakis et al. (2024); Martinelli et al. (2024); Ramana Reddy et al. (2025)</w:t>
            </w:r>
          </w:p>
        </w:tc>
        <w:tc>
          <w:tcPr>
            <w:tcW w:w="1200" w:type="dxa"/>
            <w:vAlign w:val="top"/>
          </w:tcPr>
          <w:p>
            <w:pPr>
              <w:spacing w:before="20" w:after="20" w:line="240" w:lineRule="auto"/>
            </w:pPr>
            <w:r>
              <w:rPr>
                <w:sz w:val="18"/>
                <w:szCs w:val="18"/>
              </w:rPr>
              <w:t xml:space="preserve">RQ4</w:t>
            </w:r>
          </w:p>
        </w:tc>
      </w:tr>
      <w:tr>
        <w:trPr>
          <w:cantSplit/>
        </w:trPr>
        <w:tc>
          <w:tcPr>
            <w:tcW w:w="600" w:type="dxa"/>
            <w:vAlign w:val="top"/>
          </w:tcPr>
          <w:p>
            <w:pPr>
              <w:spacing w:before="20" w:after="20" w:line="240" w:lineRule="auto"/>
            </w:pPr>
            <w:r>
              <w:rPr>
                <w:b/>
                <w:bCs/>
                <w:sz w:val="18"/>
                <w:szCs w:val="18"/>
              </w:rPr>
              <w:t xml:space="preserve">B8</w:t>
            </w:r>
          </w:p>
        </w:tc>
        <w:tc>
          <w:tcPr>
            <w:tcW w:w="3700" w:type="dxa"/>
            <w:vAlign w:val="top"/>
          </w:tcPr>
          <w:p>
            <w:pPr>
              <w:spacing w:before="20" w:after="20" w:line="240" w:lineRule="auto"/>
            </w:pPr>
            <w:r>
              <w:rPr>
                <w:sz w:val="18"/>
                <w:szCs w:val="18"/>
              </w:rPr>
              <w:t xml:space="preserve">La exactitud alta en laboratorio no se mantiene en campo y es menor en enfermedades fúngicas.</w:t>
            </w:r>
          </w:p>
        </w:tc>
        <w:tc>
          <w:tcPr>
            <w:tcW w:w="3338" w:type="dxa"/>
            <w:vAlign w:val="top"/>
          </w:tcPr>
          <w:p>
            <w:pPr>
              <w:spacing w:before="20" w:after="20" w:line="240" w:lineRule="auto"/>
            </w:pPr>
            <w:r>
              <w:rPr>
                <w:sz w:val="18"/>
                <w:szCs w:val="18"/>
              </w:rPr>
              <w:t xml:space="preserve">Lin et al. (2026); Majdalawieh et al. (2025); Moreano et al. (2026); Saini et al. (2026)</w:t>
            </w:r>
          </w:p>
        </w:tc>
        <w:tc>
          <w:tcPr>
            <w:tcW w:w="1200" w:type="dxa"/>
            <w:vAlign w:val="top"/>
          </w:tcPr>
          <w:p>
            <w:pPr>
              <w:spacing w:before="20" w:after="20" w:line="240" w:lineRule="auto"/>
            </w:pPr>
            <w:r>
              <w:rPr>
                <w:sz w:val="18"/>
                <w:szCs w:val="18"/>
              </w:rPr>
              <w:t xml:space="preserve">RQ3</w:t>
            </w:r>
          </w:p>
        </w:tc>
      </w:tr>
      <w:tr>
        <w:trPr>
          <w:cantSplit/>
        </w:trPr>
        <w:tc>
          <w:tcPr>
            <w:tcW w:w="600" w:type="dxa"/>
            <w:vAlign w:val="top"/>
          </w:tcPr>
          <w:p>
            <w:pPr>
              <w:spacing w:before="20" w:after="20" w:line="240" w:lineRule="auto"/>
            </w:pPr>
            <w:r>
              <w:rPr>
                <w:b/>
                <w:bCs/>
                <w:sz w:val="18"/>
                <w:szCs w:val="18"/>
              </w:rPr>
              <w:t xml:space="preserve">B9</w:t>
            </w:r>
          </w:p>
        </w:tc>
        <w:tc>
          <w:tcPr>
            <w:tcW w:w="3700" w:type="dxa"/>
            <w:vAlign w:val="top"/>
          </w:tcPr>
          <w:p>
            <w:pPr>
              <w:spacing w:before="20" w:after="20" w:line="240" w:lineRule="auto"/>
            </w:pPr>
            <w:r>
              <w:rPr>
                <w:sz w:val="18"/>
                <w:szCs w:val="18"/>
              </w:rPr>
              <w:t xml:space="preserve">La falta de interpretabilidad limita la confianza del usuario en el diagnóstico.</w:t>
            </w:r>
          </w:p>
        </w:tc>
        <w:tc>
          <w:tcPr>
            <w:tcW w:w="3338" w:type="dxa"/>
            <w:vAlign w:val="top"/>
          </w:tcPr>
          <w:p>
            <w:pPr>
              <w:spacing w:before="20" w:after="20" w:line="240" w:lineRule="auto"/>
            </w:pPr>
            <w:r>
              <w:rPr>
                <w:sz w:val="18"/>
                <w:szCs w:val="18"/>
              </w:rPr>
              <w:t xml:space="preserve">Lin et al. (2026); Ramana Reddy et al. (2025)</w:t>
            </w:r>
          </w:p>
        </w:tc>
        <w:tc>
          <w:tcPr>
            <w:tcW w:w="1200" w:type="dxa"/>
            <w:vAlign w:val="top"/>
          </w:tcPr>
          <w:p>
            <w:pPr>
              <w:spacing w:before="20" w:after="20" w:line="240" w:lineRule="auto"/>
            </w:pPr>
            <w:r>
              <w:rPr>
                <w:sz w:val="18"/>
                <w:szCs w:val="18"/>
              </w:rPr>
              <w:t xml:space="preserve">RQ4</w:t>
            </w:r>
          </w:p>
        </w:tc>
      </w:tr>
    </w:tbl>
    <w:p>
      <w:pPr>
        <w:spacing w:before="40" w:after="200"/>
        <w:jc w:val="both"/>
      </w:pPr>
      <w:r>
        <w:rPr>
          <w:i/>
          <w:iCs/>
          <w:sz w:val="18"/>
          <w:szCs w:val="18"/>
        </w:rPr>
        <w:t xml:space="preserve">Nota.</w:t>
      </w:r>
      <w:r>
        <w:rPr>
          <w:sz w:val="18"/>
          <w:szCs w:val="18"/>
        </w:rPr>
        <w:t xml:space="preserve"> Elaboración propia. RQ1–RQ5 corresponden a las preguntas de investigación del protocolo v3.</w:t>
      </w:r>
    </w:p>
    <w:p>
      <w:pPr>
        <w:ind w:firstLine="720"/>
        <w:jc w:val="both"/>
      </w:pPr>
      <w:r>
        <w:rPr/>
        <w:t xml:space="preserve">En conjunto, el estado del arte muestra que existen las piezas tecnológicas —modelos ligeros, despliegue en el borde y métodos de diseño centrado en el usuario—, pero no se han aplicado a las enfermedades del tallo del aguacate, cuyos síntomas son visibles pero poco específicos. Esto justifica la revisión sistemática de las Actividades 3 a 9 y orienta las fases siguientes: construir un conjunto propio de imágenes de campo con clases por tipo de síntoma (Actividades 10 a 12), entrenar modelos ligeros y evaluarlos con métricas por clase (Actividades 13 a 15), diseñar la captura guiada y la presentación comprensible del resultado (Actividades 16 y 17) y ejecutar el modelo en el teléfono sin conexión (Actividades 18 a 20).</w:t>
      </w:r>
    </w:p>
    <w:p>
      <w:r>
        <w:br w:type="page"/>
      </w:r>
    </w:p>
    <w:p>
      <w:pPr>
        <w:keepNext/>
        <w:spacing w:before="240" w:after="120"/>
      </w:pPr>
      <w:r>
        <w:rPr>
          <w:b/>
          <w:bCs/>
          <w:sz w:val="24"/>
          <w:szCs w:val="24"/>
        </w:rPr>
        <w:t xml:space="preserve">Referencias</w:t>
      </w:r>
    </w:p>
    <w:p>
      <w:pPr>
        <w:spacing w:before="40" w:after="200"/>
        <w:jc w:val="both"/>
      </w:pPr>
      <w:r>
        <w:rPr>
          <w:sz w:val="18"/>
          <w:szCs w:val="18"/>
        </w:rPr>
        <w:t xml:space="preserve">Todas las referencias corresponden a fuentes recopiladas por el autor en la carpeta Grupos v2.</w:t>
      </w:r>
    </w:p>
    <w:p>
      <w:pPr>
        <w:spacing w:after="120"/>
        <w:ind w:left="720" w:hanging="720"/>
      </w:pPr>
      <w:r>
        <w:rPr/>
        <w:t xml:space="preserve">Ahmed, M., Babaei, M., Jeong, N., Kong, L., &amp; Gan, Y. (2026). Hybrid loss for robust ripeness classification under noisy labels. </w:t>
      </w:r>
      <w:r>
        <w:rPr>
          <w:i/>
          <w:iCs/>
        </w:rPr>
        <w:t xml:space="preserve">Future Foods, 14</w:t>
      </w:r>
      <w:r>
        <w:rPr/>
        <w:t xml:space="preserve">, 101116. https://doi.org/10.1016/j.fufo.2026.101116</w:t>
      </w:r>
    </w:p>
    <w:p>
      <w:pPr>
        <w:spacing w:after="120"/>
        <w:ind w:left="720" w:hanging="720"/>
      </w:pPr>
      <w:r>
        <w:rPr/>
        <w:t xml:space="preserve">Arjona-Girona, I., Ruano-Rosa, D., &amp; López-Herrera, C. J. (2019). Identification, pathogenicity and distribution of the causal agents of dieback in avocado orchards in Spain. </w:t>
      </w:r>
      <w:r>
        <w:rPr>
          <w:i/>
          <w:iCs/>
        </w:rPr>
        <w:t xml:space="preserve">Spanish Journal of Agricultural Research, 17</w:t>
      </w:r>
      <w:r>
        <w:rPr/>
        <w:t xml:space="preserve">(1), e1003. https://doi.org/10.5424/sjar/2019171-13561</w:t>
      </w:r>
    </w:p>
    <w:p>
      <w:pPr>
        <w:spacing w:after="120"/>
        <w:ind w:left="720" w:hanging="720"/>
      </w:pPr>
      <w:r>
        <w:rPr/>
        <w:t xml:space="preserve">Bustamante, M. I., Osorio-Navarro, C., Fernández, Y., Bourret, T. B., Zamorano, A., &amp; Henríquez-Sáez, J. L. (2022). First record of </w:t>
      </w:r>
      <w:r>
        <w:rPr>
          <w:i/>
          <w:iCs/>
        </w:rPr>
        <w:t xml:space="preserve">Colletotrichum anthrisci</w:t>
      </w:r>
      <w:r>
        <w:rPr/>
        <w:t xml:space="preserve"> causing anthracnose on avocado fruits in Chile. </w:t>
      </w:r>
      <w:r>
        <w:rPr>
          <w:i/>
          <w:iCs/>
        </w:rPr>
        <w:t xml:space="preserve">Pathogens, 11</w:t>
      </w:r>
      <w:r>
        <w:rPr/>
        <w:t xml:space="preserve">(10), 1204. https://doi.org/10.3390/pathogens11101204</w:t>
      </w:r>
    </w:p>
    <w:p>
      <w:pPr>
        <w:spacing w:after="120"/>
        <w:ind w:left="720" w:hanging="720"/>
      </w:pPr>
      <w:r>
        <w:rPr/>
        <w:t xml:space="preserve">Çalış, Ö., Çelik, S., Fidan, H., Tek, M. I., Shah, M., Tozlu, I., &amp; Wani, S. H. (2024). Emerging pathogens and disease dynamics threatening avocado production in southern Türkiye. </w:t>
      </w:r>
      <w:r>
        <w:rPr>
          <w:i/>
          <w:iCs/>
        </w:rPr>
        <w:t xml:space="preserve">Journal of Plant Diseases and Protection, 131</w:t>
      </w:r>
      <w:r>
        <w:rPr/>
        <w:t xml:space="preserve">, 1653–1663. https://doi.org/10.1007/s41348-024-00954-6</w:t>
      </w:r>
    </w:p>
    <w:p>
      <w:pPr>
        <w:spacing w:after="120"/>
        <w:ind w:left="720" w:hanging="720"/>
      </w:pPr>
      <w:r>
        <w:rPr/>
        <w:t xml:space="preserve">Christakakis, P., Papadopoulou, G., Mikos, G., Kalogiannidis, N., Ioannidis, D., Tzovaras, D., &amp; Pechlivani, E. M. (2024). Smartphone-based citizen science tool for plant disease and insect pest detection using artificial intelligence. </w:t>
      </w:r>
      <w:r>
        <w:rPr>
          <w:i/>
          <w:iCs/>
        </w:rPr>
        <w:t xml:space="preserve">Technologies, 12</w:t>
      </w:r>
      <w:r>
        <w:rPr/>
        <w:t xml:space="preserve">(7), 101. https://doi.org/10.3390/technologies12070101</w:t>
      </w:r>
    </w:p>
    <w:p>
      <w:pPr>
        <w:spacing w:after="120"/>
        <w:ind w:left="720" w:hanging="720"/>
      </w:pPr>
      <w:r>
        <w:rPr/>
        <w:t xml:space="preserve">Crespo, M., Guirado-Manzano, L., Sarmiento, D., Guirado, E., de Vicente, A., Fernández-Ortuño, D., Cazorla, F. M., &amp; Arrebola, E. (2026). Fungal species of Botryosphaeriaceae associated with avocado dieback in southern Spain. </w:t>
      </w:r>
      <w:r>
        <w:rPr>
          <w:i/>
          <w:iCs/>
        </w:rPr>
        <w:t xml:space="preserve">Plant Pathology, 75</w:t>
      </w:r>
      <w:r>
        <w:rPr/>
        <w:t xml:space="preserve">, e70079. https://doi.org/10.1111/ppa.70079</w:t>
      </w:r>
    </w:p>
    <w:p>
      <w:pPr>
        <w:spacing w:after="120"/>
        <w:ind w:left="720" w:hanging="720"/>
      </w:pPr>
      <w:r>
        <w:rPr/>
        <w:t xml:space="preserve">Estrada, J. S., Cetin, N., Sacilik, K., Ulu, B., Ulu, B., &amp; Auat Cheein, F. (2026). Assessment of avocado water stress using multispectral imaging and deep learning: Toward scalable, cost-effective irrigation monitoring. </w:t>
      </w:r>
      <w:r>
        <w:rPr>
          <w:i/>
          <w:iCs/>
        </w:rPr>
        <w:t xml:space="preserve">Expert Systems with Applications, 326</w:t>
      </w:r>
      <w:r>
        <w:rPr/>
        <w:t xml:space="preserve">, 132688. https://doi.org/10.1016/j.eswa.2026.132688</w:t>
      </w:r>
    </w:p>
    <w:p>
      <w:pPr>
        <w:spacing w:after="120"/>
        <w:ind w:left="720" w:hanging="720"/>
      </w:pPr>
      <w:r>
        <w:rPr/>
        <w:t xml:space="preserve">Fuentes-Aragón, D., Silva-Rojas, H. V., Guarnaccia, V., Mora-Aguilera, J. A., Aranda-Ocampo, S., Bautista-Martínez, N., &amp; Téliz-Ortíz, D. (2020). </w:t>
      </w:r>
      <w:r>
        <w:rPr>
          <w:i/>
          <w:iCs/>
        </w:rPr>
        <w:t xml:space="preserve">Colletotrichum</w:t>
      </w:r>
      <w:r>
        <w:rPr/>
        <w:t xml:space="preserve"> species causing anthracnose on avocado fruit in Mexico: Current status. </w:t>
      </w:r>
      <w:r>
        <w:rPr>
          <w:i/>
          <w:iCs/>
        </w:rPr>
        <w:t xml:space="preserve">Plant Pathology, 69</w:t>
      </w:r>
      <w:r>
        <w:rPr/>
        <w:t xml:space="preserve">, 1513–1528. https://doi.org/10.1111/ppa.13234</w:t>
      </w:r>
    </w:p>
    <w:p>
      <w:pPr>
        <w:spacing w:after="120"/>
        <w:ind w:left="720" w:hanging="720"/>
      </w:pPr>
      <w:r>
        <w:rPr/>
        <w:t xml:space="preserve">Guelac-Santillan, M., Puscan-Rojas, J., Sánchez-Vega, J. A., Huaman-Pilco, A. F., Medina-Medina, A. J., Tuesta-Trauco, K. M., Canta-Ventura, J. M., Barboza, E., &amp; Zabaleta-Santisteban, J. A. (2026). Spatial mapping of avocado anthracnose severity using UAV-derived vegetation indices in Amazonas, Peru. </w:t>
      </w:r>
      <w:r>
        <w:rPr>
          <w:i/>
          <w:iCs/>
        </w:rPr>
        <w:t xml:space="preserve">AgriEngineering, 8</w:t>
      </w:r>
      <w:r>
        <w:rPr/>
        <w:t xml:space="preserve">(8), 340. https://doi.org/10.3390/agriengineering8080340</w:t>
      </w:r>
    </w:p>
    <w:p>
      <w:pPr>
        <w:spacing w:after="120"/>
        <w:ind w:left="720" w:hanging="720"/>
      </w:pPr>
      <w:r>
        <w:rPr/>
        <w:t xml:space="preserve">Guirado-Manzano, L., Santamaría-Ortega, J. F., Sarmiento, D., Guirado, E., Pulido-Ruiz, M., de Vicente, A., Fernández-Ortuño, D., Cazorla, F. M., &amp; Arrebola, E. (2026). Integrated strategies to reduce Botryosphaeriaceae-associated dieback in avocado under Mediterranean climatic stress. </w:t>
      </w:r>
      <w:r>
        <w:rPr>
          <w:i/>
          <w:iCs/>
        </w:rPr>
        <w:t xml:space="preserve">Horticulturae, 12</w:t>
      </w:r>
      <w:r>
        <w:rPr/>
        <w:t xml:space="preserve">(6), 673. https://doi.org/10.3390/horticulturae12060673</w:t>
      </w:r>
    </w:p>
    <w:p>
      <w:pPr>
        <w:spacing w:after="120"/>
        <w:ind w:left="720" w:hanging="720"/>
      </w:pPr>
      <w:r>
        <w:rPr/>
        <w:t xml:space="preserve">Hernández, D., García-Pérez, O., Perera, S., González-Carracedo, M. A., Rodríguez-Pérez, A., &amp; Siverio, F. (2023). Fungal pathogens associated with aerial symptoms of avocado (</w:t>
      </w:r>
      <w:r>
        <w:rPr>
          <w:i/>
          <w:iCs/>
        </w:rPr>
        <w:t xml:space="preserve">Persea americana</w:t>
      </w:r>
      <w:r>
        <w:rPr/>
        <w:t xml:space="preserve"> Mill.) in Tenerife (Canary Islands, Spain) focused on species of the family Botryosphaeriaceae. </w:t>
      </w:r>
      <w:r>
        <w:rPr>
          <w:i/>
          <w:iCs/>
        </w:rPr>
        <w:t xml:space="preserve">Microorganisms, 11</w:t>
      </w:r>
      <w:r>
        <w:rPr/>
        <w:t xml:space="preserve">(3), 585. https://doi.org/10.3390/microorganisms11030585</w:t>
      </w:r>
    </w:p>
    <w:p>
      <w:pPr>
        <w:spacing w:after="120"/>
        <w:ind w:left="720" w:hanging="720"/>
      </w:pPr>
      <w:r>
        <w:rPr/>
        <w:t xml:space="preserve">Iqbal, A., Ahmed, I., Rehman, S., &amp; Alzahrani, A. S. (2026). Plants disease detection and identification system using AI and computer vision techniques. </w:t>
      </w:r>
      <w:r>
        <w:rPr>
          <w:i/>
          <w:iCs/>
        </w:rPr>
        <w:t xml:space="preserve">PeerJ Computer Science, 12</w:t>
      </w:r>
      <w:r>
        <w:rPr/>
        <w:t xml:space="preserve">, e3509. https://doi.org/10.7717/peerj-cs.3509</w:t>
      </w:r>
    </w:p>
    <w:p>
      <w:pPr>
        <w:spacing w:after="120"/>
        <w:ind w:left="720" w:hanging="720"/>
      </w:pPr>
      <w:r>
        <w:rPr/>
        <w:t xml:space="preserve">Kochhar, A., Narang, G., Patel, S., Kaur, H., Singla, C., Pateriya, B., &amp; Galdelli, A. (2026). A three-tier deep learning framework with mobile application integration for multi-crop disease diagnosis. </w:t>
      </w:r>
      <w:r>
        <w:rPr>
          <w:i/>
          <w:iCs/>
        </w:rPr>
        <w:t xml:space="preserve">Discover Artificial Intelligence, 6</w:t>
      </w:r>
      <w:r>
        <w:rPr/>
        <w:t xml:space="preserve">, 358. https://doi.org/10.1007/s44163-026-01062-0</w:t>
      </w:r>
    </w:p>
    <w:p>
      <w:pPr>
        <w:spacing w:after="120"/>
        <w:ind w:left="720" w:hanging="720"/>
      </w:pPr>
      <w:r>
        <w:rPr/>
        <w:t xml:space="preserve">Lin, X., Chen, S., Yan, N., Pi, J., Zhu, T., &amp; Xu, L. (2026). Knowledge distillation for smart agriculture: Methods, applications, and future directions. </w:t>
      </w:r>
      <w:r>
        <w:rPr>
          <w:i/>
          <w:iCs/>
        </w:rPr>
        <w:t xml:space="preserve">Smart Agricultural Technology, 14</w:t>
      </w:r>
      <w:r>
        <w:rPr/>
        <w:t xml:space="preserve">, 102019. https://doi.org/10.1016/j.atech.2026.102019</w:t>
      </w:r>
    </w:p>
    <w:p>
      <w:pPr>
        <w:spacing w:after="120"/>
        <w:ind w:left="720" w:hanging="720"/>
      </w:pPr>
      <w:r>
        <w:rPr/>
        <w:t xml:space="preserve">Linaldeddu, B. T., Bregant, C., Muscas, J., Maddau, L., Vecchio, L., Polizzi, G., &amp; Aiello, D. (2026). Identification and pathogenicity of Botryosphaeriaceae, </w:t>
      </w:r>
      <w:r>
        <w:rPr>
          <w:i/>
          <w:iCs/>
        </w:rPr>
        <w:t xml:space="preserve">Colletotrichum</w:t>
      </w:r>
      <w:r>
        <w:rPr/>
        <w:t xml:space="preserve">, and </w:t>
      </w:r>
      <w:r>
        <w:rPr>
          <w:i/>
          <w:iCs/>
        </w:rPr>
        <w:t xml:space="preserve">Phytophthora</w:t>
      </w:r>
      <w:r>
        <w:rPr/>
        <w:t xml:space="preserve"> species associated with avocado diseases in Italy. </w:t>
      </w:r>
      <w:r>
        <w:rPr>
          <w:i/>
          <w:iCs/>
        </w:rPr>
        <w:t xml:space="preserve">Agriculture, 16</w:t>
      </w:r>
      <w:r>
        <w:rPr/>
        <w:t xml:space="preserve">(10), 1035. https://doi.org/10.3390/agriculture16101035</w:t>
      </w:r>
    </w:p>
    <w:p>
      <w:pPr>
        <w:spacing w:after="120"/>
        <w:ind w:left="720" w:hanging="720"/>
      </w:pPr>
      <w:r>
        <w:rPr/>
        <w:t xml:space="preserve">Majdalawieh, M., Martins, C., Radi, M., Alaraj, M., &amp; Khan, S. (2025). Precision agriculture in the age of AI: A systematic review of machine learning methods for crop disease detection. </w:t>
      </w:r>
      <w:r>
        <w:rPr>
          <w:i/>
          <w:iCs/>
        </w:rPr>
        <w:t xml:space="preserve">Smart Agricultural Technology, 12</w:t>
      </w:r>
      <w:r>
        <w:rPr/>
        <w:t xml:space="preserve">, 101491. https://doi.org/10.1016/j.atech.2025.101491</w:t>
      </w:r>
    </w:p>
    <w:p>
      <w:pPr>
        <w:spacing w:after="120"/>
        <w:ind w:left="720" w:hanging="720"/>
      </w:pPr>
      <w:r>
        <w:rPr/>
        <w:t xml:space="preserve">Martinelli, S., Lopes, L., &amp; Zaina, L. (2024). UX research practices related to long-term UX: A systematic literature review. </w:t>
      </w:r>
      <w:r>
        <w:rPr>
          <w:i/>
          <w:iCs/>
        </w:rPr>
        <w:t xml:space="preserve">Information and Software Technology, 170</w:t>
      </w:r>
      <w:r>
        <w:rPr/>
        <w:t xml:space="preserve">, 107431. https://doi.org/10.1016/j.infsof.2024.107431</w:t>
      </w:r>
    </w:p>
    <w:p>
      <w:pPr>
        <w:spacing w:after="120"/>
        <w:ind w:left="720" w:hanging="720"/>
      </w:pPr>
      <w:r>
        <w:rPr/>
        <w:t xml:space="preserve">Möller, H., Slippers, B., &amp; van den Berg, N. (2025). Branch canker battles: Understanding and managing the Botryosphaeriaceae in avocado. </w:t>
      </w:r>
      <w:r>
        <w:rPr>
          <w:i/>
          <w:iCs/>
        </w:rPr>
        <w:t xml:space="preserve">Phytoparasitica, 53</w:t>
      </w:r>
      <w:r>
        <w:rPr/>
        <w:t xml:space="preserve">, 17. https://doi.org/10.1007/s12600-024-01227-6</w:t>
      </w:r>
    </w:p>
    <w:p>
      <w:pPr>
        <w:spacing w:after="120"/>
        <w:ind w:left="720" w:hanging="720"/>
      </w:pPr>
      <w:r>
        <w:rPr/>
        <w:t xml:space="preserve">Moreano, M., Sosa, A., Mauricio, D., Rivera, L., &amp; Santisteban, J. (2026). ApaltAI: A web-based diagnostic system with a sequential voting architecture for detecting anthracnose and scab in avocado fruit. </w:t>
      </w:r>
      <w:r>
        <w:rPr>
          <w:i/>
          <w:iCs/>
        </w:rPr>
        <w:t xml:space="preserve">Frontiers in Plant Science, 17</w:t>
      </w:r>
      <w:r>
        <w:rPr/>
        <w:t xml:space="preserve">, 1736123. https://doi.org/10.3389/fpls.2026.1736123</w:t>
      </w:r>
    </w:p>
    <w:p>
      <w:pPr>
        <w:spacing w:after="120"/>
        <w:ind w:left="720" w:hanging="720"/>
      </w:pPr>
      <w:r>
        <w:rPr/>
        <w:t xml:space="preserve">Munjal, D., Singh, L., Pandey, M., &amp; Lakra, S. (2023). A systematic review on the detection and classification of plant diseases using machine learning. </w:t>
      </w:r>
      <w:r>
        <w:rPr>
          <w:i/>
          <w:iCs/>
        </w:rPr>
        <w:t xml:space="preserve">International Journal of Software Innovation, 11</w:t>
      </w:r>
      <w:r>
        <w:rPr/>
        <w:t xml:space="preserve">(1), 1–25. https://doi.org/10.4018/IJSI.315657</w:t>
      </w:r>
    </w:p>
    <w:p>
      <w:pPr>
        <w:spacing w:after="120"/>
        <w:ind w:left="720" w:hanging="720"/>
      </w:pPr>
      <w:r>
        <w:rPr/>
        <w:t xml:space="preserve">Odounfa, M. G. F., Gbemavo, C. D. S. J., Tahi, S. P. G., &amp; Glèlè Kakaï, R. L. (2024). Deep learning methods for enhanced stress and pest management in market garden crops: A comprehensive analysis. </w:t>
      </w:r>
      <w:r>
        <w:rPr>
          <w:i/>
          <w:iCs/>
        </w:rPr>
        <w:t xml:space="preserve">Smart Agricultural Technology, 9</w:t>
      </w:r>
      <w:r>
        <w:rPr/>
        <w:t xml:space="preserve">, 100521. https://doi.org/10.1016/j.atech.2024.100521</w:t>
      </w:r>
    </w:p>
    <w:p>
      <w:pPr>
        <w:spacing w:after="120"/>
        <w:ind w:left="720" w:hanging="720"/>
      </w:pPr>
      <w:r>
        <w:rPr/>
        <w:t xml:space="preserve">Ovalle, C., Jimenez, J. G., &amp; Zuñiga, J. B. (2026). Comparing global and variety-specific ensemble models for avocado maturity prediction with near-infrared. </w:t>
      </w:r>
      <w:r>
        <w:rPr>
          <w:i/>
          <w:iCs/>
        </w:rPr>
        <w:t xml:space="preserve">IAES International Journal of Artificial Intelligence, 15</w:t>
      </w:r>
      <w:r>
        <w:rPr/>
        <w:t xml:space="preserve">(3), 2300–2313. https://doi.org/10.11591/ijai.v15.i3.pp2300-2313</w:t>
      </w:r>
    </w:p>
    <w:p>
      <w:pPr>
        <w:spacing w:after="120"/>
        <w:ind w:left="720" w:hanging="720"/>
      </w:pPr>
      <w:r>
        <w:rPr/>
        <w:t xml:space="preserve">Ramana Reddy, B., Kalnoor, G., Devashish, M., &amp; Sai Karthik Reddy, P. (2025). Deep learning based mobile application for automated plant disease detection. </w:t>
      </w:r>
      <w:r>
        <w:rPr>
          <w:i/>
          <w:iCs/>
        </w:rPr>
        <w:t xml:space="preserve">IEEE Access, 13</w:t>
      </w:r>
      <w:r>
        <w:rPr/>
        <w:t xml:space="preserve">, 107917–107925. https://doi.org/10.1109/ACCESS.2025.3581099</w:t>
      </w:r>
    </w:p>
    <w:p>
      <w:pPr>
        <w:spacing w:after="120"/>
        <w:ind w:left="720" w:hanging="720"/>
      </w:pPr>
      <w:r>
        <w:rPr/>
        <w:t xml:space="preserve">Reeksting, B. J., Taylor, N. J., &amp; van den Berg, N. (2014). Flooding and </w:t>
      </w:r>
      <w:r>
        <w:rPr>
          <w:i/>
          <w:iCs/>
        </w:rPr>
        <w:t xml:space="preserve">Phytophthora cinnamomi</w:t>
      </w:r>
      <w:r>
        <w:rPr/>
        <w:t xml:space="preserve">: Effects on photosynthesis and chlorophyll fluorescence in shoots of non-grafted </w:t>
      </w:r>
      <w:r>
        <w:rPr>
          <w:i/>
          <w:iCs/>
        </w:rPr>
        <w:t xml:space="preserve">Persea americana</w:t>
      </w:r>
      <w:r>
        <w:rPr/>
        <w:t xml:space="preserve"> (Mill.) rootstocks differing in tolerance to Phytophthora root rot. </w:t>
      </w:r>
      <w:r>
        <w:rPr>
          <w:i/>
          <w:iCs/>
        </w:rPr>
        <w:t xml:space="preserve">South African Journal of Botany, 95</w:t>
      </w:r>
      <w:r>
        <w:rPr/>
        <w:t xml:space="preserve">, 40–53. https://doi.org/10.1016/j.sajb.2014.08.004</w:t>
      </w:r>
    </w:p>
    <w:p>
      <w:pPr>
        <w:spacing w:after="120"/>
        <w:ind w:left="720" w:hanging="720"/>
      </w:pPr>
      <w:r>
        <w:rPr/>
        <w:t xml:space="preserve">Rincón López, J. D., Chacón-Vargas, K., Clavijo-Buriticá, D. C., &amp; García-Merchán, V. H. (2026). Genome assembly and annotation of </w:t>
      </w:r>
      <w:r>
        <w:rPr>
          <w:i/>
          <w:iCs/>
        </w:rPr>
        <w:t xml:space="preserve">Rugonectria rugulosa</w:t>
      </w:r>
      <w:r>
        <w:rPr/>
        <w:t xml:space="preserve">, a fungus associated with avocado (</w:t>
      </w:r>
      <w:r>
        <w:rPr>
          <w:i/>
          <w:iCs/>
        </w:rPr>
        <w:t xml:space="preserve">Persea americana</w:t>
      </w:r>
      <w:r>
        <w:rPr/>
        <w:t xml:space="preserve"> cv. Hass) trunk canker in Colombia. </w:t>
      </w:r>
      <w:r>
        <w:rPr>
          <w:i/>
          <w:iCs/>
        </w:rPr>
        <w:t xml:space="preserve">Microbiology Resource Announcements, 15</w:t>
      </w:r>
      <w:r>
        <w:rPr/>
        <w:t xml:space="preserve">(7). https://doi.org/10.1128/mra.00512-26</w:t>
      </w:r>
    </w:p>
    <w:p>
      <w:pPr>
        <w:spacing w:after="120"/>
        <w:ind w:left="720" w:hanging="720"/>
      </w:pPr>
      <w:r>
        <w:rPr/>
        <w:t xml:space="preserve">Rodríguez-Gálvez, E., Haro-Diaz, C., Maza-Aguirre, S., Canahuire-Castillo, F., Sullón-Saucedo, J., &amp; Deising, H. B. (2025). </w:t>
      </w:r>
      <w:r>
        <w:rPr>
          <w:i/>
          <w:iCs/>
        </w:rPr>
        <w:t xml:space="preserve">Lasiodiplodia theobromae</w:t>
      </w:r>
      <w:r>
        <w:rPr/>
        <w:t xml:space="preserve"> disease symptom development in young avocado (</w:t>
      </w:r>
      <w:r>
        <w:rPr>
          <w:i/>
          <w:iCs/>
        </w:rPr>
        <w:t xml:space="preserve">Persea americana</w:t>
      </w:r>
      <w:r>
        <w:rPr/>
        <w:t xml:space="preserve"> L.) plants depends on the inoculation method. </w:t>
      </w:r>
      <w:r>
        <w:rPr>
          <w:i/>
          <w:iCs/>
        </w:rPr>
        <w:t xml:space="preserve">Tropical Plant Pathology, 50</w:t>
      </w:r>
      <w:r>
        <w:rPr/>
        <w:t xml:space="preserve">, 18. https://doi.org/10.1007/s40858-025-00700-9</w:t>
      </w:r>
    </w:p>
    <w:p>
      <w:pPr>
        <w:spacing w:after="120"/>
        <w:ind w:left="720" w:hanging="720"/>
      </w:pPr>
      <w:r>
        <w:rPr/>
        <w:t xml:space="preserve">Saini, Y., Somani, V., &amp; Khatri, N. (2026). Critical analysis of advanced machine learning and deep learning models for crop disease detection: Challenges, innovations, and future directions. </w:t>
      </w:r>
      <w:r>
        <w:rPr>
          <w:i/>
          <w:iCs/>
        </w:rPr>
        <w:t xml:space="preserve">Franklin Open, 15</w:t>
      </w:r>
      <w:r>
        <w:rPr/>
        <w:t xml:space="preserve">, 100584. https://doi.org/10.1016/j.fraope.2026.100584</w:t>
      </w:r>
    </w:p>
    <w:p>
      <w:pPr>
        <w:spacing w:after="120"/>
        <w:ind w:left="720" w:hanging="720"/>
      </w:pPr>
      <w:r>
        <w:rPr/>
        <w:t xml:space="preserve">Sajitha, P., Andrushia, A. D., Anand, N., &amp; Naser, M. Z. (2024). A review on machine learning and deep learning image-based plant disease classification for industrial farming systems. </w:t>
      </w:r>
      <w:r>
        <w:rPr>
          <w:i/>
          <w:iCs/>
        </w:rPr>
        <w:t xml:space="preserve">Journal of Industrial Information Integration, 38</w:t>
      </w:r>
      <w:r>
        <w:rPr/>
        <w:t xml:space="preserve">, 100572. https://doi.org/10.1016/j.jii.2024.100572</w:t>
      </w:r>
    </w:p>
    <w:p>
      <w:pPr>
        <w:spacing w:after="120"/>
        <w:ind w:left="720" w:hanging="720"/>
      </w:pPr>
      <w:r>
        <w:rPr/>
        <w:t xml:space="preserve">Silva, T. F., Pimentel Duarte, J. L., Vélez-Olmedo, J. B., Vieira, W. A. S., Blum, L. E. B., &amp; Pinho, D. B. (2025). Four new fungal pathogens causing avocado dieback in Brazil. </w:t>
      </w:r>
      <w:r>
        <w:rPr>
          <w:i/>
          <w:iCs/>
        </w:rPr>
        <w:t xml:space="preserve">Crop Protection, 192</w:t>
      </w:r>
      <w:r>
        <w:rPr/>
        <w:t xml:space="preserve">, 107168. https://doi.org/10.1016/j.cropro.2025.107168</w:t>
      </w:r>
    </w:p>
    <w:p>
      <w:pPr>
        <w:spacing w:after="120"/>
        <w:ind w:left="720" w:hanging="720"/>
      </w:pPr>
      <w:r>
        <w:rPr/>
        <w:t xml:space="preserve">Soares, M. G. O., Alves, E., Silveira, A. L., Pereira, F. D., &amp; Guimarães, S. S. C. (2021). </w:t>
      </w:r>
      <w:r>
        <w:rPr>
          <w:i/>
          <w:iCs/>
        </w:rPr>
        <w:t xml:space="preserve">Colletotrichum siamense</w:t>
      </w:r>
      <w:r>
        <w:rPr/>
        <w:t xml:space="preserve"> is the main aetiological agent of anthracnose of avocado in south-eastern Brazil. </w:t>
      </w:r>
      <w:r>
        <w:rPr>
          <w:i/>
          <w:iCs/>
        </w:rPr>
        <w:t xml:space="preserve">Plant Pathology, 70</w:t>
      </w:r>
      <w:r>
        <w:rPr/>
        <w:t xml:space="preserve">, 154–166. https://doi.org/10.1111/ppa.13262</w:t>
      </w:r>
    </w:p>
    <w:p>
      <w:pPr>
        <w:spacing w:after="120"/>
        <w:ind w:left="720" w:hanging="720"/>
      </w:pPr>
      <w:r>
        <w:rPr/>
        <w:t xml:space="preserve">Tapia, L., Castillo-Novales, D., Riquelme, N., Valencia, A. L., Larach, A., Cautín, R., &amp; Besoain, X. (2025). Rainfall and high humidity influence the seasonal dynamics of spores of Glomerellaceae and Botryosphaeriaceae genera in avocado orchards and their fruit rot association. </w:t>
      </w:r>
      <w:r>
        <w:rPr>
          <w:i/>
          <w:iCs/>
        </w:rPr>
        <w:t xml:space="preserve">Agronomy, 15</w:t>
      </w:r>
      <w:r>
        <w:rPr/>
        <w:t xml:space="preserve">(6), 1453. https://doi.org/10.3390/agronomy15061453</w:t>
      </w:r>
    </w:p>
    <w:p>
      <w:pPr>
        <w:spacing w:after="120"/>
        <w:ind w:left="720" w:hanging="720"/>
      </w:pPr>
      <w:r>
        <w:rPr/>
        <w:t xml:space="preserve">Valencia, A. L., Saavedra-Torrico, J., Rosales, I. M., Mártiz, J., Retamales, A., Link, A., &amp; Gil, P. M. (2022). Unveiling the predisposing factors for the development of branch canker and dieback in avocado: A case of study in Chilean orchards. </w:t>
      </w:r>
      <w:r>
        <w:rPr>
          <w:i/>
          <w:iCs/>
        </w:rPr>
        <w:t xml:space="preserve">Horticulturae, 8</w:t>
      </w:r>
      <w:r>
        <w:rPr/>
        <w:t xml:space="preserve">(12), 1121. https://doi.org/10.3390/horticulturae8121121</w:t>
      </w:r>
    </w:p>
    <w:p>
      <w:pPr>
        <w:spacing w:after="120"/>
        <w:ind w:left="720" w:hanging="720"/>
      </w:pPr>
      <w:r>
        <w:rPr/>
        <w:t xml:space="preserve">Vecchio, L., Arrebola, E., Polizzi, G., &amp; Vitale, A. (2026). Ecofriendly management of anthracnose on avocado caused by </w:t>
      </w:r>
      <w:r>
        <w:rPr>
          <w:i/>
          <w:iCs/>
        </w:rPr>
        <w:t xml:space="preserve">Colletotrichum perseae</w:t>
      </w:r>
      <w:r>
        <w:rPr/>
        <w:t xml:space="preserve"> in the Mediterranean basin. </w:t>
      </w:r>
      <w:r>
        <w:rPr>
          <w:i/>
          <w:iCs/>
        </w:rPr>
        <w:t xml:space="preserve">JSFA Reports</w:t>
      </w:r>
      <w:r>
        <w:rPr/>
        <w:t xml:space="preserve">. Publicación anticipada en línea. https://doi.org/10.1002/jsf2.70088</w:t>
      </w:r>
    </w:p>
    <w:p>
      <w:pPr>
        <w:spacing w:after="120"/>
        <w:ind w:left="720" w:hanging="720"/>
      </w:pPr>
      <w:r>
        <w:rPr/>
        <w:t xml:space="preserve">Vecchio, L., Martino, I., Guarnaccia, V., Polizzi, G., &amp; Aiello, D. (2026). </w:t>
      </w:r>
      <w:r>
        <w:rPr>
          <w:i/>
          <w:iCs/>
        </w:rPr>
        <w:t xml:space="preserve">Colletotrichum perseae</w:t>
      </w:r>
      <w:r>
        <w:rPr/>
        <w:t xml:space="preserve"> and </w:t>
      </w:r>
      <w:r>
        <w:rPr>
          <w:i/>
          <w:iCs/>
        </w:rPr>
        <w:t xml:space="preserve">Colletotrichum gloeosporioides</w:t>
      </w:r>
      <w:r>
        <w:rPr/>
        <w:t xml:space="preserve"> sensu strictu causing stem lesion and dieback in avocado in Italy. </w:t>
      </w:r>
      <w:r>
        <w:rPr>
          <w:i/>
          <w:iCs/>
        </w:rPr>
        <w:t xml:space="preserve">Horticulturae, 12</w:t>
      </w:r>
      <w:r>
        <w:rPr/>
        <w:t xml:space="preserve">(1), 111. https://doi.org/10.3390/horticulturae12010111</w:t>
      </w:r>
    </w:p>
    <w:p>
      <w:pPr>
        <w:spacing w:after="120"/>
        <w:ind w:left="720" w:hanging="720"/>
      </w:pPr>
      <w:r>
        <w:rPr/>
        <w:t xml:space="preserve">Vera, O., Cruz, J., Huaquipaco, S., Mamani, W., Yana-Mamani, V., &amp; Huaquipaco, S. (2024). Automated and enhanced classification of </w:t>
      </w:r>
      <w:r>
        <w:rPr>
          <w:i/>
          <w:iCs/>
        </w:rPr>
        <w:t xml:space="preserve">Persea americana</w:t>
      </w:r>
      <w:r>
        <w:rPr/>
        <w:t xml:space="preserve"> using optimized deep convolutional neural networks with improved training strategies for agro-industrial settings. </w:t>
      </w:r>
      <w:r>
        <w:rPr>
          <w:i/>
          <w:iCs/>
        </w:rPr>
        <w:t xml:space="preserve">IEEE Access, 12</w:t>
      </w:r>
      <w:r>
        <w:rPr/>
        <w:t xml:space="preserve">, 194240–194255. https://doi.org/10.1109/ACCESS.2024.3496728</w:t>
      </w:r>
    </w:p>
    <w:p>
      <w:pPr>
        <w:spacing w:after="120"/>
        <w:ind w:left="720" w:hanging="720"/>
      </w:pPr>
      <w:r>
        <w:rPr/>
        <w:t xml:space="preserve">Xavier, P., Rodrigues, P. M., &amp; Silva, C. L. M. (2024). Shelf-life management and ripening assessment of ‘Hass’ avocado (</w:t>
      </w:r>
      <w:r>
        <w:rPr>
          <w:i/>
          <w:iCs/>
        </w:rPr>
        <w:t xml:space="preserve">Persea americana</w:t>
      </w:r>
      <w:r>
        <w:rPr/>
        <w:t xml:space="preserve">) using deep learning approaches. </w:t>
      </w:r>
      <w:r>
        <w:rPr>
          <w:i/>
          <w:iCs/>
        </w:rPr>
        <w:t xml:space="preserve">Foods, 13</w:t>
      </w:r>
      <w:r>
        <w:rPr/>
        <w:t xml:space="preserve">(8), 1150. https://doi.org/10.3390/foods13081150</w:t>
      </w:r>
    </w:p>
    <w:p>
      <w:r>
        <w:br w:type="page"/>
      </w:r>
    </w:p>
    <w:p>
      <w:pPr>
        <w:keepNext/>
        <w:spacing w:before="240" w:after="120"/>
      </w:pPr>
      <w:r>
        <w:rPr>
          <w:b/>
          <w:bCs/>
          <w:sz w:val="24"/>
          <w:szCs w:val="24"/>
        </w:rPr>
        <w:t xml:space="preserve">Anexo A. Correspondencia entre referencias e identificadores de la matriz</w:t>
      </w:r>
    </w:p>
    <w:p>
      <w:pPr>
        <w:jc w:val="both"/>
      </w:pPr>
      <w:r>
        <w:rPr/>
        <w:t xml:space="preserve">Identificadores asignados en el Inventario de fuentes y en la matriz SLR v5. Las revisiones (T0004, T0014 a T0020 y A0046) se retirarán antes del cribado como estudios secundarios; los estudios primarios se evaluarán en las Actividades 4 a 6.</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3438"/>
        <w:gridCol w:w="1900"/>
        <w:gridCol w:w="1900"/>
        <w:gridCol w:w="1600"/>
      </w:tblGrid>
      <w:tr>
        <w:trPr>
          <w:tblHeader/>
          <w:cantSplit/>
        </w:trPr>
        <w:tc>
          <w:tcPr>
            <w:tcW w:w="3438" w:type="dxa"/>
            <w:shd w:val="clear" w:color="auto" w:fill="D9E2F3"/>
            <w:vAlign w:val="center"/>
          </w:tcPr>
          <w:p>
            <w:pPr>
              <w:keepNext/>
              <w:spacing w:before="20" w:after="20" w:line="240" w:lineRule="auto"/>
              <w:jc w:val="center"/>
            </w:pPr>
            <w:r>
              <w:rPr>
                <w:b/>
                <w:bCs/>
                <w:sz w:val="18"/>
                <w:szCs w:val="18"/>
              </w:rPr>
              <w:t xml:space="preserve">Referencia</w:t>
            </w:r>
          </w:p>
        </w:tc>
        <w:tc>
          <w:tcPr>
            <w:tcW w:w="1900" w:type="dxa"/>
            <w:shd w:val="clear" w:color="auto" w:fill="D9E2F3"/>
            <w:vAlign w:val="center"/>
          </w:tcPr>
          <w:p>
            <w:pPr>
              <w:keepNext/>
              <w:spacing w:before="20" w:after="20" w:line="240" w:lineRule="auto"/>
              <w:jc w:val="center"/>
            </w:pPr>
            <w:r>
              <w:rPr>
                <w:b/>
                <w:bCs/>
                <w:sz w:val="18"/>
                <w:szCs w:val="18"/>
              </w:rPr>
              <w:t xml:space="preserve">ID en la matriz</w:t>
            </w:r>
          </w:p>
        </w:tc>
        <w:tc>
          <w:tcPr>
            <w:tcW w:w="1900" w:type="dxa"/>
            <w:shd w:val="clear" w:color="auto" w:fill="D9E2F3"/>
            <w:vAlign w:val="center"/>
          </w:tcPr>
          <w:p>
            <w:pPr>
              <w:keepNext/>
              <w:spacing w:before="20" w:after="20" w:line="240" w:lineRule="auto"/>
              <w:jc w:val="center"/>
            </w:pPr>
            <w:r>
              <w:rPr>
                <w:b/>
                <w:bCs/>
                <w:sz w:val="18"/>
                <w:szCs w:val="18"/>
              </w:rPr>
              <w:t xml:space="preserve">Categoría</w:t>
            </w:r>
          </w:p>
        </w:tc>
        <w:tc>
          <w:tcPr>
            <w:tcW w:w="1600" w:type="dxa"/>
            <w:shd w:val="clear" w:color="auto" w:fill="D9E2F3"/>
            <w:vAlign w:val="center"/>
          </w:tcPr>
          <w:p>
            <w:pPr>
              <w:keepNext/>
              <w:spacing w:before="20" w:after="20" w:line="240" w:lineRule="auto"/>
              <w:jc w:val="center"/>
            </w:pPr>
            <w:r>
              <w:rPr>
                <w:b/>
                <w:bCs/>
                <w:sz w:val="18"/>
                <w:szCs w:val="18"/>
              </w:rPr>
              <w:t xml:space="preserve">Tipo de estudio</w:t>
            </w:r>
          </w:p>
        </w:tc>
      </w:tr>
      <w:tr>
        <w:trPr>
          <w:cantSplit/>
        </w:trPr>
        <w:tc>
          <w:tcPr>
            <w:tcW w:w="3438" w:type="dxa"/>
            <w:vAlign w:val="top"/>
          </w:tcPr>
          <w:p>
            <w:pPr>
              <w:spacing w:before="20" w:after="20" w:line="240" w:lineRule="auto"/>
            </w:pPr>
            <w:r>
              <w:rPr>
                <w:sz w:val="18"/>
                <w:szCs w:val="18"/>
              </w:rPr>
              <w:t xml:space="preserve">Ahmed et al. (2026)</w:t>
            </w:r>
          </w:p>
        </w:tc>
        <w:tc>
          <w:tcPr>
            <w:tcW w:w="1900" w:type="dxa"/>
            <w:vAlign w:val="top"/>
          </w:tcPr>
          <w:p>
            <w:pPr>
              <w:spacing w:before="20" w:after="20" w:line="240" w:lineRule="auto"/>
            </w:pPr>
            <w:r>
              <w:rPr>
                <w:sz w:val="18"/>
                <w:szCs w:val="18"/>
              </w:rPr>
              <w:t xml:space="preserve">T0007</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Arjona-Girona et al. (2019)</w:t>
            </w:r>
          </w:p>
        </w:tc>
        <w:tc>
          <w:tcPr>
            <w:tcW w:w="1900" w:type="dxa"/>
            <w:vAlign w:val="top"/>
          </w:tcPr>
          <w:p>
            <w:pPr>
              <w:spacing w:before="20" w:after="20" w:line="240" w:lineRule="auto"/>
            </w:pPr>
            <w:r>
              <w:rPr>
                <w:sz w:val="18"/>
                <w:szCs w:val="18"/>
              </w:rPr>
              <w:t xml:space="preserve">A0022</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Bustamante et al. (2022)</w:t>
            </w:r>
          </w:p>
        </w:tc>
        <w:tc>
          <w:tcPr>
            <w:tcW w:w="1900" w:type="dxa"/>
            <w:vAlign w:val="top"/>
          </w:tcPr>
          <w:p>
            <w:pPr>
              <w:spacing w:before="20" w:after="20" w:line="240" w:lineRule="auto"/>
            </w:pPr>
            <w:r>
              <w:rPr>
                <w:sz w:val="18"/>
                <w:szCs w:val="18"/>
              </w:rPr>
              <w:t xml:space="preserve">A0011</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Çalış et al. (2024)</w:t>
            </w:r>
          </w:p>
        </w:tc>
        <w:tc>
          <w:tcPr>
            <w:tcW w:w="1900" w:type="dxa"/>
            <w:vAlign w:val="top"/>
          </w:tcPr>
          <w:p>
            <w:pPr>
              <w:spacing w:before="20" w:after="20" w:line="240" w:lineRule="auto"/>
            </w:pPr>
            <w:r>
              <w:rPr>
                <w:sz w:val="18"/>
                <w:szCs w:val="18"/>
              </w:rPr>
              <w:t xml:space="preserve">A0009 (= A0047)</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Christakakis et al. (2024)</w:t>
            </w:r>
          </w:p>
        </w:tc>
        <w:tc>
          <w:tcPr>
            <w:tcW w:w="1900" w:type="dxa"/>
            <w:vAlign w:val="top"/>
          </w:tcPr>
          <w:p>
            <w:pPr>
              <w:spacing w:before="20" w:after="20" w:line="240" w:lineRule="auto"/>
            </w:pPr>
            <w:r>
              <w:rPr>
                <w:sz w:val="18"/>
                <w:szCs w:val="18"/>
              </w:rPr>
              <w:t xml:space="preserve">T0011</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Crespo et al. (2026)</w:t>
            </w:r>
          </w:p>
        </w:tc>
        <w:tc>
          <w:tcPr>
            <w:tcW w:w="1900" w:type="dxa"/>
            <w:vAlign w:val="top"/>
          </w:tcPr>
          <w:p>
            <w:pPr>
              <w:spacing w:before="20" w:after="20" w:line="240" w:lineRule="auto"/>
            </w:pPr>
            <w:r>
              <w:rPr>
                <w:sz w:val="18"/>
                <w:szCs w:val="18"/>
              </w:rPr>
              <w:t xml:space="preserve">A0016</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Estrada et al. (2026)</w:t>
            </w:r>
          </w:p>
        </w:tc>
        <w:tc>
          <w:tcPr>
            <w:tcW w:w="1900" w:type="dxa"/>
            <w:vAlign w:val="top"/>
          </w:tcPr>
          <w:p>
            <w:pPr>
              <w:spacing w:before="20" w:after="20" w:line="240" w:lineRule="auto"/>
            </w:pPr>
            <w:r>
              <w:rPr>
                <w:sz w:val="18"/>
                <w:szCs w:val="18"/>
              </w:rPr>
              <w:t xml:space="preserve">T0001</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Fuentes-Aragón et al. (2020)</w:t>
            </w:r>
          </w:p>
        </w:tc>
        <w:tc>
          <w:tcPr>
            <w:tcW w:w="1900" w:type="dxa"/>
            <w:vAlign w:val="top"/>
          </w:tcPr>
          <w:p>
            <w:pPr>
              <w:spacing w:before="20" w:after="20" w:line="240" w:lineRule="auto"/>
            </w:pPr>
            <w:r>
              <w:rPr>
                <w:sz w:val="18"/>
                <w:szCs w:val="18"/>
              </w:rPr>
              <w:t xml:space="preserve">A0005</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Guelac-Santillan et al. (2026)</w:t>
            </w:r>
          </w:p>
        </w:tc>
        <w:tc>
          <w:tcPr>
            <w:tcW w:w="1900" w:type="dxa"/>
            <w:vAlign w:val="top"/>
          </w:tcPr>
          <w:p>
            <w:pPr>
              <w:spacing w:before="20" w:after="20" w:line="240" w:lineRule="auto"/>
            </w:pPr>
            <w:r>
              <w:rPr>
                <w:sz w:val="18"/>
                <w:szCs w:val="18"/>
              </w:rPr>
              <w:t xml:space="preserve">T0008</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Guirado-Manzano et al. (2026)</w:t>
            </w:r>
          </w:p>
        </w:tc>
        <w:tc>
          <w:tcPr>
            <w:tcW w:w="1900" w:type="dxa"/>
            <w:vAlign w:val="top"/>
          </w:tcPr>
          <w:p>
            <w:pPr>
              <w:spacing w:before="20" w:after="20" w:line="240" w:lineRule="auto"/>
            </w:pPr>
            <w:r>
              <w:rPr>
                <w:sz w:val="18"/>
                <w:szCs w:val="18"/>
              </w:rPr>
              <w:t xml:space="preserve">A0024</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Hernández et al. (2023)</w:t>
            </w:r>
          </w:p>
        </w:tc>
        <w:tc>
          <w:tcPr>
            <w:tcW w:w="1900" w:type="dxa"/>
            <w:vAlign w:val="top"/>
          </w:tcPr>
          <w:p>
            <w:pPr>
              <w:spacing w:before="20" w:after="20" w:line="240" w:lineRule="auto"/>
            </w:pPr>
            <w:r>
              <w:rPr>
                <w:sz w:val="18"/>
                <w:szCs w:val="18"/>
              </w:rPr>
              <w:t xml:space="preserve">A0015</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Iqbal et al. (2026)</w:t>
            </w:r>
          </w:p>
        </w:tc>
        <w:tc>
          <w:tcPr>
            <w:tcW w:w="1900" w:type="dxa"/>
            <w:vAlign w:val="top"/>
          </w:tcPr>
          <w:p>
            <w:pPr>
              <w:spacing w:before="20" w:after="20" w:line="240" w:lineRule="auto"/>
            </w:pPr>
            <w:r>
              <w:rPr>
                <w:sz w:val="18"/>
                <w:szCs w:val="18"/>
              </w:rPr>
              <w:t xml:space="preserve">T0009</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Kochhar et al. (2026)</w:t>
            </w:r>
          </w:p>
        </w:tc>
        <w:tc>
          <w:tcPr>
            <w:tcW w:w="1900" w:type="dxa"/>
            <w:vAlign w:val="top"/>
          </w:tcPr>
          <w:p>
            <w:pPr>
              <w:spacing w:before="20" w:after="20" w:line="240" w:lineRule="auto"/>
            </w:pPr>
            <w:r>
              <w:rPr>
                <w:sz w:val="18"/>
                <w:szCs w:val="18"/>
              </w:rPr>
              <w:t xml:space="preserve">T0013</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Lin et al. (2026)</w:t>
            </w:r>
          </w:p>
        </w:tc>
        <w:tc>
          <w:tcPr>
            <w:tcW w:w="1900" w:type="dxa"/>
            <w:vAlign w:val="top"/>
          </w:tcPr>
          <w:p>
            <w:pPr>
              <w:spacing w:before="20" w:after="20" w:line="240" w:lineRule="auto"/>
            </w:pPr>
            <w:r>
              <w:rPr>
                <w:sz w:val="18"/>
                <w:szCs w:val="18"/>
              </w:rPr>
              <w:t xml:space="preserve">T0016</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Linaldeddu et al. (2026)</w:t>
            </w:r>
          </w:p>
        </w:tc>
        <w:tc>
          <w:tcPr>
            <w:tcW w:w="1900" w:type="dxa"/>
            <w:vAlign w:val="top"/>
          </w:tcPr>
          <w:p>
            <w:pPr>
              <w:spacing w:before="20" w:after="20" w:line="240" w:lineRule="auto"/>
            </w:pPr>
            <w:r>
              <w:rPr>
                <w:sz w:val="18"/>
                <w:szCs w:val="18"/>
              </w:rPr>
              <w:t xml:space="preserve">A0018</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Majdalawieh et al. (2025)</w:t>
            </w:r>
          </w:p>
        </w:tc>
        <w:tc>
          <w:tcPr>
            <w:tcW w:w="1900" w:type="dxa"/>
            <w:vAlign w:val="top"/>
          </w:tcPr>
          <w:p>
            <w:pPr>
              <w:spacing w:before="20" w:after="20" w:line="240" w:lineRule="auto"/>
            </w:pPr>
            <w:r>
              <w:rPr>
                <w:sz w:val="18"/>
                <w:szCs w:val="18"/>
              </w:rPr>
              <w:t xml:space="preserve">T0017</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Martinelli et al. (2024)</w:t>
            </w:r>
          </w:p>
        </w:tc>
        <w:tc>
          <w:tcPr>
            <w:tcW w:w="1900" w:type="dxa"/>
            <w:vAlign w:val="top"/>
          </w:tcPr>
          <w:p>
            <w:pPr>
              <w:spacing w:before="20" w:after="20" w:line="240" w:lineRule="auto"/>
            </w:pPr>
            <w:r>
              <w:rPr>
                <w:sz w:val="18"/>
                <w:szCs w:val="18"/>
              </w:rPr>
              <w:t xml:space="preserve">T0020</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Möller et al. (2025)</w:t>
            </w:r>
          </w:p>
        </w:tc>
        <w:tc>
          <w:tcPr>
            <w:tcW w:w="1900" w:type="dxa"/>
            <w:vAlign w:val="top"/>
          </w:tcPr>
          <w:p>
            <w:pPr>
              <w:spacing w:before="20" w:after="20" w:line="240" w:lineRule="auto"/>
            </w:pPr>
            <w:r>
              <w:rPr>
                <w:sz w:val="18"/>
                <w:szCs w:val="18"/>
              </w:rPr>
              <w:t xml:space="preserve">A0046</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Moreano et al. (2026)</w:t>
            </w:r>
          </w:p>
        </w:tc>
        <w:tc>
          <w:tcPr>
            <w:tcW w:w="1900" w:type="dxa"/>
            <w:vAlign w:val="top"/>
          </w:tcPr>
          <w:p>
            <w:pPr>
              <w:spacing w:before="20" w:after="20" w:line="240" w:lineRule="auto"/>
            </w:pPr>
            <w:r>
              <w:rPr>
                <w:sz w:val="18"/>
                <w:szCs w:val="18"/>
              </w:rPr>
              <w:t xml:space="preserve">T0002</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Munjal et al. (2023)</w:t>
            </w:r>
          </w:p>
        </w:tc>
        <w:tc>
          <w:tcPr>
            <w:tcW w:w="1900" w:type="dxa"/>
            <w:vAlign w:val="top"/>
          </w:tcPr>
          <w:p>
            <w:pPr>
              <w:spacing w:before="20" w:after="20" w:line="240" w:lineRule="auto"/>
            </w:pPr>
            <w:r>
              <w:rPr>
                <w:sz w:val="18"/>
                <w:szCs w:val="18"/>
              </w:rPr>
              <w:t xml:space="preserve">T0004</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Odounfa et al. (2024)</w:t>
            </w:r>
          </w:p>
        </w:tc>
        <w:tc>
          <w:tcPr>
            <w:tcW w:w="1900" w:type="dxa"/>
            <w:vAlign w:val="top"/>
          </w:tcPr>
          <w:p>
            <w:pPr>
              <w:spacing w:before="20" w:after="20" w:line="240" w:lineRule="auto"/>
            </w:pPr>
            <w:r>
              <w:rPr>
                <w:sz w:val="18"/>
                <w:szCs w:val="18"/>
              </w:rPr>
              <w:t xml:space="preserve">T0014</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Ovalle et al. (2026)</w:t>
            </w:r>
          </w:p>
        </w:tc>
        <w:tc>
          <w:tcPr>
            <w:tcW w:w="1900" w:type="dxa"/>
            <w:vAlign w:val="top"/>
          </w:tcPr>
          <w:p>
            <w:pPr>
              <w:spacing w:before="20" w:after="20" w:line="240" w:lineRule="auto"/>
            </w:pPr>
            <w:r>
              <w:rPr>
                <w:sz w:val="18"/>
                <w:szCs w:val="18"/>
              </w:rPr>
              <w:t xml:space="preserve">T0006</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Ramana Reddy et al. (2025)</w:t>
            </w:r>
          </w:p>
        </w:tc>
        <w:tc>
          <w:tcPr>
            <w:tcW w:w="1900" w:type="dxa"/>
            <w:vAlign w:val="top"/>
          </w:tcPr>
          <w:p>
            <w:pPr>
              <w:spacing w:before="20" w:after="20" w:line="240" w:lineRule="auto"/>
            </w:pPr>
            <w:r>
              <w:rPr>
                <w:sz w:val="18"/>
                <w:szCs w:val="18"/>
              </w:rPr>
              <w:t xml:space="preserve">T0010</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Reeksting et al. (2014)</w:t>
            </w:r>
          </w:p>
        </w:tc>
        <w:tc>
          <w:tcPr>
            <w:tcW w:w="1900" w:type="dxa"/>
            <w:vAlign w:val="top"/>
          </w:tcPr>
          <w:p>
            <w:pPr>
              <w:spacing w:before="20" w:after="20" w:line="240" w:lineRule="auto"/>
            </w:pPr>
            <w:r>
              <w:rPr>
                <w:sz w:val="18"/>
                <w:szCs w:val="18"/>
              </w:rPr>
              <w:t xml:space="preserve">A0043</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Rincón López et al. (2026)</w:t>
            </w:r>
          </w:p>
        </w:tc>
        <w:tc>
          <w:tcPr>
            <w:tcW w:w="1900" w:type="dxa"/>
            <w:vAlign w:val="top"/>
          </w:tcPr>
          <w:p>
            <w:pPr>
              <w:spacing w:before="20" w:after="20" w:line="240" w:lineRule="auto"/>
            </w:pPr>
            <w:r>
              <w:rPr>
                <w:sz w:val="18"/>
                <w:szCs w:val="18"/>
              </w:rPr>
              <w:t xml:space="preserve">A0017</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Rodríguez-Gálvez et al. (2025)</w:t>
            </w:r>
          </w:p>
        </w:tc>
        <w:tc>
          <w:tcPr>
            <w:tcW w:w="1900" w:type="dxa"/>
            <w:vAlign w:val="top"/>
          </w:tcPr>
          <w:p>
            <w:pPr>
              <w:spacing w:before="20" w:after="20" w:line="240" w:lineRule="auto"/>
            </w:pPr>
            <w:r>
              <w:rPr>
                <w:sz w:val="18"/>
                <w:szCs w:val="18"/>
              </w:rPr>
              <w:t xml:space="preserve">A0025 (= A0048)</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Saini et al. (2026)</w:t>
            </w:r>
          </w:p>
        </w:tc>
        <w:tc>
          <w:tcPr>
            <w:tcW w:w="1900" w:type="dxa"/>
            <w:vAlign w:val="top"/>
          </w:tcPr>
          <w:p>
            <w:pPr>
              <w:spacing w:before="20" w:after="20" w:line="240" w:lineRule="auto"/>
            </w:pPr>
            <w:r>
              <w:rPr>
                <w:sz w:val="18"/>
                <w:szCs w:val="18"/>
              </w:rPr>
              <w:t xml:space="preserve">T0018</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Sajitha et al. (2024)</w:t>
            </w:r>
          </w:p>
        </w:tc>
        <w:tc>
          <w:tcPr>
            <w:tcW w:w="1900" w:type="dxa"/>
            <w:vAlign w:val="top"/>
          </w:tcPr>
          <w:p>
            <w:pPr>
              <w:spacing w:before="20" w:after="20" w:line="240" w:lineRule="auto"/>
            </w:pPr>
            <w:r>
              <w:rPr>
                <w:sz w:val="18"/>
                <w:szCs w:val="18"/>
              </w:rPr>
              <w:t xml:space="preserve">T0019</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Revisión</w:t>
            </w:r>
          </w:p>
        </w:tc>
      </w:tr>
      <w:tr>
        <w:trPr>
          <w:cantSplit/>
        </w:trPr>
        <w:tc>
          <w:tcPr>
            <w:tcW w:w="3438" w:type="dxa"/>
            <w:vAlign w:val="top"/>
          </w:tcPr>
          <w:p>
            <w:pPr>
              <w:spacing w:before="20" w:after="20" w:line="240" w:lineRule="auto"/>
            </w:pPr>
            <w:r>
              <w:rPr>
                <w:sz w:val="18"/>
                <w:szCs w:val="18"/>
              </w:rPr>
              <w:t xml:space="preserve">Silva et al. (2025)</w:t>
            </w:r>
          </w:p>
        </w:tc>
        <w:tc>
          <w:tcPr>
            <w:tcW w:w="1900" w:type="dxa"/>
            <w:vAlign w:val="top"/>
          </w:tcPr>
          <w:p>
            <w:pPr>
              <w:spacing w:before="20" w:after="20" w:line="240" w:lineRule="auto"/>
            </w:pPr>
            <w:r>
              <w:rPr>
                <w:sz w:val="18"/>
                <w:szCs w:val="18"/>
              </w:rPr>
              <w:t xml:space="preserve">A0014</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Soares et al. (2021)</w:t>
            </w:r>
          </w:p>
        </w:tc>
        <w:tc>
          <w:tcPr>
            <w:tcW w:w="1900" w:type="dxa"/>
            <w:vAlign w:val="top"/>
          </w:tcPr>
          <w:p>
            <w:pPr>
              <w:spacing w:before="20" w:after="20" w:line="240" w:lineRule="auto"/>
            </w:pPr>
            <w:r>
              <w:rPr>
                <w:sz w:val="18"/>
                <w:szCs w:val="18"/>
              </w:rPr>
              <w:t xml:space="preserve">A0004</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Tapia et al. (2025)</w:t>
            </w:r>
          </w:p>
        </w:tc>
        <w:tc>
          <w:tcPr>
            <w:tcW w:w="1900" w:type="dxa"/>
            <w:vAlign w:val="top"/>
          </w:tcPr>
          <w:p>
            <w:pPr>
              <w:spacing w:before="20" w:after="20" w:line="240" w:lineRule="auto"/>
            </w:pPr>
            <w:r>
              <w:rPr>
                <w:sz w:val="18"/>
                <w:szCs w:val="18"/>
              </w:rPr>
              <w:t xml:space="preserve">A0034</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Valencia et al. (2022)</w:t>
            </w:r>
          </w:p>
        </w:tc>
        <w:tc>
          <w:tcPr>
            <w:tcW w:w="1900" w:type="dxa"/>
            <w:vAlign w:val="top"/>
          </w:tcPr>
          <w:p>
            <w:pPr>
              <w:spacing w:before="20" w:after="20" w:line="240" w:lineRule="auto"/>
            </w:pPr>
            <w:r>
              <w:rPr>
                <w:sz w:val="18"/>
                <w:szCs w:val="18"/>
              </w:rPr>
              <w:t xml:space="preserve">A0038</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Vecchio, Arrebola, et al. (2026)</w:t>
            </w:r>
          </w:p>
        </w:tc>
        <w:tc>
          <w:tcPr>
            <w:tcW w:w="1900" w:type="dxa"/>
            <w:vAlign w:val="top"/>
          </w:tcPr>
          <w:p>
            <w:pPr>
              <w:spacing w:before="20" w:after="20" w:line="240" w:lineRule="auto"/>
            </w:pPr>
            <w:r>
              <w:rPr>
                <w:sz w:val="18"/>
                <w:szCs w:val="18"/>
              </w:rPr>
              <w:t xml:space="preserve">A0006</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Vecchio, Martino, et al. (2026)</w:t>
            </w:r>
          </w:p>
        </w:tc>
        <w:tc>
          <w:tcPr>
            <w:tcW w:w="1900" w:type="dxa"/>
            <w:vAlign w:val="top"/>
          </w:tcPr>
          <w:p>
            <w:pPr>
              <w:spacing w:before="20" w:after="20" w:line="240" w:lineRule="auto"/>
            </w:pPr>
            <w:r>
              <w:rPr>
                <w:sz w:val="18"/>
                <w:szCs w:val="18"/>
              </w:rPr>
              <w:t xml:space="preserve">A0003</w:t>
            </w:r>
          </w:p>
        </w:tc>
        <w:tc>
          <w:tcPr>
            <w:tcW w:w="1900" w:type="dxa"/>
            <w:vAlign w:val="top"/>
          </w:tcPr>
          <w:p>
            <w:pPr>
              <w:spacing w:before="20" w:after="20" w:line="240" w:lineRule="auto"/>
            </w:pPr>
            <w:r>
              <w:rPr>
                <w:sz w:val="18"/>
                <w:szCs w:val="18"/>
              </w:rPr>
              <w:t xml:space="preserve">Fitopatológico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Vera et al. (2024)</w:t>
            </w:r>
          </w:p>
        </w:tc>
        <w:tc>
          <w:tcPr>
            <w:tcW w:w="1900" w:type="dxa"/>
            <w:vAlign w:val="top"/>
          </w:tcPr>
          <w:p>
            <w:pPr>
              <w:spacing w:before="20" w:after="20" w:line="240" w:lineRule="auto"/>
            </w:pPr>
            <w:r>
              <w:rPr>
                <w:sz w:val="18"/>
                <w:szCs w:val="18"/>
              </w:rPr>
              <w:t xml:space="preserve">T0012</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r>
        <w:trPr>
          <w:cantSplit/>
        </w:trPr>
        <w:tc>
          <w:tcPr>
            <w:tcW w:w="3438" w:type="dxa"/>
            <w:vAlign w:val="top"/>
          </w:tcPr>
          <w:p>
            <w:pPr>
              <w:spacing w:before="20" w:after="20" w:line="240" w:lineRule="auto"/>
            </w:pPr>
            <w:r>
              <w:rPr>
                <w:sz w:val="18"/>
                <w:szCs w:val="18"/>
              </w:rPr>
              <w:t xml:space="preserve">Xavier et al. (2024)</w:t>
            </w:r>
          </w:p>
        </w:tc>
        <w:tc>
          <w:tcPr>
            <w:tcW w:w="1900" w:type="dxa"/>
            <w:vAlign w:val="top"/>
          </w:tcPr>
          <w:p>
            <w:pPr>
              <w:spacing w:before="20" w:after="20" w:line="240" w:lineRule="auto"/>
            </w:pPr>
            <w:r>
              <w:rPr>
                <w:sz w:val="18"/>
                <w:szCs w:val="18"/>
              </w:rPr>
              <w:t xml:space="preserve">T0003</w:t>
            </w:r>
          </w:p>
        </w:tc>
        <w:tc>
          <w:tcPr>
            <w:tcW w:w="1900" w:type="dxa"/>
            <w:vAlign w:val="top"/>
          </w:tcPr>
          <w:p>
            <w:pPr>
              <w:spacing w:before="20" w:after="20" w:line="240" w:lineRule="auto"/>
            </w:pPr>
            <w:r>
              <w:rPr>
                <w:sz w:val="18"/>
                <w:szCs w:val="18"/>
              </w:rPr>
              <w:t xml:space="preserve">Tecnológico</w:t>
            </w:r>
          </w:p>
        </w:tc>
        <w:tc>
          <w:tcPr>
            <w:tcW w:w="1600" w:type="dxa"/>
            <w:vAlign w:val="top"/>
          </w:tcPr>
          <w:p>
            <w:pPr>
              <w:spacing w:before="20" w:after="20" w:line="240" w:lineRule="auto"/>
            </w:pPr>
            <w:r>
              <w:rPr>
                <w:sz w:val="18"/>
                <w:szCs w:val="18"/>
              </w:rPr>
              <w:t xml:space="preserve">Primario</w:t>
            </w:r>
          </w:p>
        </w:tc>
      </w:tr>
    </w:tbl>
    <w:p>
      <w:pPr>
        <w:spacing w:before="40" w:after="200"/>
        <w:jc w:val="both"/>
      </w:pPr>
      <w:r>
        <w:rPr>
          <w:i/>
          <w:iCs/>
          <w:sz w:val="18"/>
          <w:szCs w:val="18"/>
        </w:rPr>
        <w:t xml:space="preserve">Nota.</w:t>
      </w:r>
      <w:r>
        <w:rPr>
          <w:sz w:val="18"/>
          <w:szCs w:val="18"/>
        </w:rPr>
        <w:t xml:space="preserve"> El signo "=" indica el duplicado entre bases ya marcado en la matriz v3. Las revisiones T0014 a T0020 recibieron su identificador el 01/10/2026.</w:t>
      </w:r>
    </w:p>
    <w:sectPr w:rsidR="006F618B" w:rsidRPr="009967A9" w:rsidSect="005561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A4D5" w14:textId="77777777" w:rsidR="004225DB" w:rsidRDefault="004225DB" w:rsidP="00BD5240">
      <w:pPr>
        <w:spacing w:after="0" w:line="240" w:lineRule="auto"/>
      </w:pPr>
      <w:r>
        <w:separator/>
      </w:r>
    </w:p>
  </w:endnote>
  <w:endnote w:type="continuationSeparator" w:id="0">
    <w:p w14:paraId="4DEEB8A7" w14:textId="77777777" w:rsidR="004225DB" w:rsidRDefault="004225DB" w:rsidP="00BD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DCDD" w14:textId="77777777" w:rsidR="004225DB" w:rsidRDefault="004225DB" w:rsidP="00BD5240">
      <w:pPr>
        <w:spacing w:after="0" w:line="240" w:lineRule="auto"/>
      </w:pPr>
      <w:r>
        <w:separator/>
      </w:r>
    </w:p>
  </w:footnote>
  <w:footnote w:type="continuationSeparator" w:id="0">
    <w:p w14:paraId="0C894CFA" w14:textId="77777777" w:rsidR="004225DB" w:rsidRDefault="004225DB" w:rsidP="00BD5240">
      <w:pPr>
        <w:spacing w:after="0" w:line="240" w:lineRule="auto"/>
      </w:pPr>
      <w:r>
        <w:continuationSeparator/>
      </w:r>
    </w:p>
  </w:footnote>
  <w:footnote w:id="1">
    <w:p w14:paraId="77047E66" w14:textId="14B50358" w:rsidR="005452F5" w:rsidRPr="005452F5" w:rsidRDefault="005452F5">
      <w:pPr>
        <w:pStyle w:val="Textonotapie"/>
      </w:pPr>
      <w:r>
        <w:rPr>
          <w:rStyle w:val="Refdenotaalpie"/>
        </w:rPr>
        <w:footnoteRef/>
      </w:r>
      <w:r>
        <w:t xml:space="preserve"> </w:t>
      </w:r>
      <w:r w:rsidR="008603D4">
        <w:t xml:space="preserve">Véase Sección 6. </w:t>
      </w:r>
      <w:r w:rsidR="008603D4" w:rsidRPr="008603D4">
        <w:t>Criterios de elegibilidad</w:t>
      </w:r>
      <w:r w:rsidRPr="005452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D00B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970E0"/>
    <w:multiLevelType w:val="hybridMultilevel"/>
    <w:tmpl w:val="1F54392C"/>
    <w:lvl w:ilvl="0" w:tplc="080A000D">
      <w:start w:val="1"/>
      <w:numFmt w:val="bullet"/>
      <w:lvlText w:val=""/>
      <w:lvlJc w:val="left"/>
      <w:pPr>
        <w:ind w:left="616" w:hanging="360"/>
      </w:pPr>
      <w:rPr>
        <w:rFonts w:ascii="Wingdings" w:hAnsi="Wingdings" w:hint="default"/>
      </w:rPr>
    </w:lvl>
    <w:lvl w:ilvl="1" w:tplc="FFFFFFFF">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2" w15:restartNumberingAfterBreak="0">
    <w:nsid w:val="08222F00"/>
    <w:multiLevelType w:val="hybridMultilevel"/>
    <w:tmpl w:val="96801AA6"/>
    <w:lvl w:ilvl="0" w:tplc="080A000D">
      <w:start w:val="1"/>
      <w:numFmt w:val="bullet"/>
      <w:lvlText w:val=""/>
      <w:lvlJc w:val="left"/>
      <w:pPr>
        <w:ind w:left="616" w:hanging="360"/>
      </w:pPr>
      <w:rPr>
        <w:rFonts w:ascii="Wingdings" w:hAnsi="Wingdings" w:hint="default"/>
      </w:rPr>
    </w:lvl>
    <w:lvl w:ilvl="1" w:tplc="080A0003" w:tentative="1">
      <w:start w:val="1"/>
      <w:numFmt w:val="bullet"/>
      <w:lvlText w:val="o"/>
      <w:lvlJc w:val="left"/>
      <w:pPr>
        <w:ind w:left="1336" w:hanging="360"/>
      </w:pPr>
      <w:rPr>
        <w:rFonts w:ascii="Courier New" w:hAnsi="Courier New" w:cs="Courier New" w:hint="default"/>
      </w:rPr>
    </w:lvl>
    <w:lvl w:ilvl="2" w:tplc="080A0005" w:tentative="1">
      <w:start w:val="1"/>
      <w:numFmt w:val="bullet"/>
      <w:lvlText w:val=""/>
      <w:lvlJc w:val="left"/>
      <w:pPr>
        <w:ind w:left="2056" w:hanging="360"/>
      </w:pPr>
      <w:rPr>
        <w:rFonts w:ascii="Wingdings" w:hAnsi="Wingdings" w:hint="default"/>
      </w:rPr>
    </w:lvl>
    <w:lvl w:ilvl="3" w:tplc="080A0001" w:tentative="1">
      <w:start w:val="1"/>
      <w:numFmt w:val="bullet"/>
      <w:lvlText w:val=""/>
      <w:lvlJc w:val="left"/>
      <w:pPr>
        <w:ind w:left="2776" w:hanging="360"/>
      </w:pPr>
      <w:rPr>
        <w:rFonts w:ascii="Symbol" w:hAnsi="Symbol" w:hint="default"/>
      </w:rPr>
    </w:lvl>
    <w:lvl w:ilvl="4" w:tplc="080A0003" w:tentative="1">
      <w:start w:val="1"/>
      <w:numFmt w:val="bullet"/>
      <w:lvlText w:val="o"/>
      <w:lvlJc w:val="left"/>
      <w:pPr>
        <w:ind w:left="3496" w:hanging="360"/>
      </w:pPr>
      <w:rPr>
        <w:rFonts w:ascii="Courier New" w:hAnsi="Courier New" w:cs="Courier New" w:hint="default"/>
      </w:rPr>
    </w:lvl>
    <w:lvl w:ilvl="5" w:tplc="080A0005" w:tentative="1">
      <w:start w:val="1"/>
      <w:numFmt w:val="bullet"/>
      <w:lvlText w:val=""/>
      <w:lvlJc w:val="left"/>
      <w:pPr>
        <w:ind w:left="4216" w:hanging="360"/>
      </w:pPr>
      <w:rPr>
        <w:rFonts w:ascii="Wingdings" w:hAnsi="Wingdings" w:hint="default"/>
      </w:rPr>
    </w:lvl>
    <w:lvl w:ilvl="6" w:tplc="080A0001" w:tentative="1">
      <w:start w:val="1"/>
      <w:numFmt w:val="bullet"/>
      <w:lvlText w:val=""/>
      <w:lvlJc w:val="left"/>
      <w:pPr>
        <w:ind w:left="4936" w:hanging="360"/>
      </w:pPr>
      <w:rPr>
        <w:rFonts w:ascii="Symbol" w:hAnsi="Symbol" w:hint="default"/>
      </w:rPr>
    </w:lvl>
    <w:lvl w:ilvl="7" w:tplc="080A0003" w:tentative="1">
      <w:start w:val="1"/>
      <w:numFmt w:val="bullet"/>
      <w:lvlText w:val="o"/>
      <w:lvlJc w:val="left"/>
      <w:pPr>
        <w:ind w:left="5656" w:hanging="360"/>
      </w:pPr>
      <w:rPr>
        <w:rFonts w:ascii="Courier New" w:hAnsi="Courier New" w:cs="Courier New" w:hint="default"/>
      </w:rPr>
    </w:lvl>
    <w:lvl w:ilvl="8" w:tplc="080A0005" w:tentative="1">
      <w:start w:val="1"/>
      <w:numFmt w:val="bullet"/>
      <w:lvlText w:val=""/>
      <w:lvlJc w:val="left"/>
      <w:pPr>
        <w:ind w:left="6376" w:hanging="360"/>
      </w:pPr>
      <w:rPr>
        <w:rFonts w:ascii="Wingdings" w:hAnsi="Wingdings" w:hint="default"/>
      </w:rPr>
    </w:lvl>
  </w:abstractNum>
  <w:abstractNum w:abstractNumId="3" w15:restartNumberingAfterBreak="0">
    <w:nsid w:val="167007CE"/>
    <w:multiLevelType w:val="hybridMultilevel"/>
    <w:tmpl w:val="FD6225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6FF57C9"/>
    <w:multiLevelType w:val="hybridMultilevel"/>
    <w:tmpl w:val="EB20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4A0950"/>
    <w:multiLevelType w:val="hybridMultilevel"/>
    <w:tmpl w:val="26D03E6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C2C6D6E"/>
    <w:multiLevelType w:val="hybridMultilevel"/>
    <w:tmpl w:val="DE5ACD30"/>
    <w:lvl w:ilvl="0" w:tplc="080A000F">
      <w:start w:val="8"/>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E445359"/>
    <w:multiLevelType w:val="hybridMultilevel"/>
    <w:tmpl w:val="7BCEF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0B16F04"/>
    <w:multiLevelType w:val="hybridMultilevel"/>
    <w:tmpl w:val="850CA5B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1C250AE"/>
    <w:multiLevelType w:val="hybridMultilevel"/>
    <w:tmpl w:val="297AAF7E"/>
    <w:lvl w:ilvl="0" w:tplc="9F3C32A6">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4103964"/>
    <w:multiLevelType w:val="hybridMultilevel"/>
    <w:tmpl w:val="0B447F18"/>
    <w:lvl w:ilvl="0" w:tplc="FFFFFFFF">
      <w:start w:val="1"/>
      <w:numFmt w:val="bullet"/>
      <w:lvlText w:val=""/>
      <w:lvlJc w:val="left"/>
      <w:pPr>
        <w:ind w:left="616" w:hanging="360"/>
      </w:pPr>
      <w:rPr>
        <w:rFonts w:ascii="Symbol" w:hAnsi="Symbol" w:hint="default"/>
      </w:rPr>
    </w:lvl>
    <w:lvl w:ilvl="1" w:tplc="080A000D">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11" w15:restartNumberingAfterBreak="0">
    <w:nsid w:val="260E3073"/>
    <w:multiLevelType w:val="multilevel"/>
    <w:tmpl w:val="BB2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6169"/>
    <w:multiLevelType w:val="hybridMultilevel"/>
    <w:tmpl w:val="A45280AC"/>
    <w:lvl w:ilvl="0" w:tplc="080A000D">
      <w:start w:val="1"/>
      <w:numFmt w:val="bullet"/>
      <w:lvlText w:val=""/>
      <w:lvlJc w:val="left"/>
      <w:pPr>
        <w:ind w:left="976" w:hanging="360"/>
      </w:pPr>
      <w:rPr>
        <w:rFonts w:ascii="Wingdings" w:hAnsi="Wingdings" w:hint="default"/>
      </w:rPr>
    </w:lvl>
    <w:lvl w:ilvl="1" w:tplc="080A0003" w:tentative="1">
      <w:start w:val="1"/>
      <w:numFmt w:val="bullet"/>
      <w:lvlText w:val="o"/>
      <w:lvlJc w:val="left"/>
      <w:pPr>
        <w:ind w:left="1696" w:hanging="360"/>
      </w:pPr>
      <w:rPr>
        <w:rFonts w:ascii="Courier New" w:hAnsi="Courier New" w:cs="Courier New" w:hint="default"/>
      </w:rPr>
    </w:lvl>
    <w:lvl w:ilvl="2" w:tplc="080A0005" w:tentative="1">
      <w:start w:val="1"/>
      <w:numFmt w:val="bullet"/>
      <w:lvlText w:val=""/>
      <w:lvlJc w:val="left"/>
      <w:pPr>
        <w:ind w:left="2416" w:hanging="360"/>
      </w:pPr>
      <w:rPr>
        <w:rFonts w:ascii="Wingdings" w:hAnsi="Wingdings" w:hint="default"/>
      </w:rPr>
    </w:lvl>
    <w:lvl w:ilvl="3" w:tplc="080A0001" w:tentative="1">
      <w:start w:val="1"/>
      <w:numFmt w:val="bullet"/>
      <w:lvlText w:val=""/>
      <w:lvlJc w:val="left"/>
      <w:pPr>
        <w:ind w:left="3136" w:hanging="360"/>
      </w:pPr>
      <w:rPr>
        <w:rFonts w:ascii="Symbol" w:hAnsi="Symbol" w:hint="default"/>
      </w:rPr>
    </w:lvl>
    <w:lvl w:ilvl="4" w:tplc="080A0003" w:tentative="1">
      <w:start w:val="1"/>
      <w:numFmt w:val="bullet"/>
      <w:lvlText w:val="o"/>
      <w:lvlJc w:val="left"/>
      <w:pPr>
        <w:ind w:left="3856" w:hanging="360"/>
      </w:pPr>
      <w:rPr>
        <w:rFonts w:ascii="Courier New" w:hAnsi="Courier New" w:cs="Courier New" w:hint="default"/>
      </w:rPr>
    </w:lvl>
    <w:lvl w:ilvl="5" w:tplc="080A0005" w:tentative="1">
      <w:start w:val="1"/>
      <w:numFmt w:val="bullet"/>
      <w:lvlText w:val=""/>
      <w:lvlJc w:val="left"/>
      <w:pPr>
        <w:ind w:left="4576" w:hanging="360"/>
      </w:pPr>
      <w:rPr>
        <w:rFonts w:ascii="Wingdings" w:hAnsi="Wingdings" w:hint="default"/>
      </w:rPr>
    </w:lvl>
    <w:lvl w:ilvl="6" w:tplc="080A0001" w:tentative="1">
      <w:start w:val="1"/>
      <w:numFmt w:val="bullet"/>
      <w:lvlText w:val=""/>
      <w:lvlJc w:val="left"/>
      <w:pPr>
        <w:ind w:left="5296" w:hanging="360"/>
      </w:pPr>
      <w:rPr>
        <w:rFonts w:ascii="Symbol" w:hAnsi="Symbol" w:hint="default"/>
      </w:rPr>
    </w:lvl>
    <w:lvl w:ilvl="7" w:tplc="080A0003" w:tentative="1">
      <w:start w:val="1"/>
      <w:numFmt w:val="bullet"/>
      <w:lvlText w:val="o"/>
      <w:lvlJc w:val="left"/>
      <w:pPr>
        <w:ind w:left="6016" w:hanging="360"/>
      </w:pPr>
      <w:rPr>
        <w:rFonts w:ascii="Courier New" w:hAnsi="Courier New" w:cs="Courier New" w:hint="default"/>
      </w:rPr>
    </w:lvl>
    <w:lvl w:ilvl="8" w:tplc="080A0005" w:tentative="1">
      <w:start w:val="1"/>
      <w:numFmt w:val="bullet"/>
      <w:lvlText w:val=""/>
      <w:lvlJc w:val="left"/>
      <w:pPr>
        <w:ind w:left="6736" w:hanging="360"/>
      </w:pPr>
      <w:rPr>
        <w:rFonts w:ascii="Wingdings" w:hAnsi="Wingdings" w:hint="default"/>
      </w:rPr>
    </w:lvl>
  </w:abstractNum>
  <w:abstractNum w:abstractNumId="13" w15:restartNumberingAfterBreak="0">
    <w:nsid w:val="31820746"/>
    <w:multiLevelType w:val="hybridMultilevel"/>
    <w:tmpl w:val="201C13EC"/>
    <w:lvl w:ilvl="0" w:tplc="425AC49E">
      <w:start w:val="1"/>
      <w:numFmt w:val="decimal"/>
      <w:lvlText w:val="%1."/>
      <w:lvlJc w:val="left"/>
      <w:pPr>
        <w:ind w:left="360" w:hanging="360"/>
      </w:pPr>
      <w:rPr>
        <w:rFonts w:asciiTheme="minorHAnsi" w:eastAsiaTheme="minorHAnsi" w:hAnsiTheme="minorHAnsi" w:cstheme="minorBidi"/>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4BD767E"/>
    <w:multiLevelType w:val="multilevel"/>
    <w:tmpl w:val="350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95390"/>
    <w:multiLevelType w:val="hybridMultilevel"/>
    <w:tmpl w:val="E9B8BB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A227C2B"/>
    <w:multiLevelType w:val="multilevel"/>
    <w:tmpl w:val="83E2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3C28"/>
    <w:multiLevelType w:val="multilevel"/>
    <w:tmpl w:val="193C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2644A"/>
    <w:multiLevelType w:val="hybridMultilevel"/>
    <w:tmpl w:val="88C0D4BC"/>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7423903"/>
    <w:multiLevelType w:val="multilevel"/>
    <w:tmpl w:val="D91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40F14"/>
    <w:multiLevelType w:val="hybridMultilevel"/>
    <w:tmpl w:val="39FA753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61E26B56"/>
    <w:multiLevelType w:val="hybridMultilevel"/>
    <w:tmpl w:val="9B9C4066"/>
    <w:lvl w:ilvl="0" w:tplc="A2F66892">
      <w:start w:val="1"/>
      <w:numFmt w:val="bullet"/>
      <w:lvlText w:val=""/>
      <w:lvlJc w:val="left"/>
      <w:pPr>
        <w:ind w:left="360" w:hanging="360"/>
      </w:pPr>
      <w:rPr>
        <w:rFonts w:ascii="Symbol" w:hAnsi="Symbol" w:hint="default"/>
        <w:sz w:val="20"/>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47232DF"/>
    <w:multiLevelType w:val="hybridMultilevel"/>
    <w:tmpl w:val="A4200978"/>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55838CA"/>
    <w:multiLevelType w:val="multilevel"/>
    <w:tmpl w:val="A0E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1226A"/>
    <w:multiLevelType w:val="hybridMultilevel"/>
    <w:tmpl w:val="0A70B8CA"/>
    <w:lvl w:ilvl="0" w:tplc="A2F66892">
      <w:start w:val="1"/>
      <w:numFmt w:val="bullet"/>
      <w:lvlText w:val=""/>
      <w:lvlJc w:val="left"/>
      <w:pPr>
        <w:ind w:left="6" w:hanging="360"/>
      </w:pPr>
      <w:rPr>
        <w:rFonts w:ascii="Symbol" w:hAnsi="Symbol" w:hint="default"/>
        <w:sz w:val="20"/>
      </w:rPr>
    </w:lvl>
    <w:lvl w:ilvl="1" w:tplc="080A0003" w:tentative="1">
      <w:start w:val="1"/>
      <w:numFmt w:val="bullet"/>
      <w:lvlText w:val="o"/>
      <w:lvlJc w:val="left"/>
      <w:pPr>
        <w:ind w:left="726" w:hanging="360"/>
      </w:pPr>
      <w:rPr>
        <w:rFonts w:ascii="Courier New" w:hAnsi="Courier New" w:cs="Courier New" w:hint="default"/>
      </w:rPr>
    </w:lvl>
    <w:lvl w:ilvl="2" w:tplc="080A0005" w:tentative="1">
      <w:start w:val="1"/>
      <w:numFmt w:val="bullet"/>
      <w:lvlText w:val=""/>
      <w:lvlJc w:val="left"/>
      <w:pPr>
        <w:ind w:left="1446" w:hanging="360"/>
      </w:pPr>
      <w:rPr>
        <w:rFonts w:ascii="Wingdings" w:hAnsi="Wingdings" w:hint="default"/>
      </w:rPr>
    </w:lvl>
    <w:lvl w:ilvl="3" w:tplc="080A0001" w:tentative="1">
      <w:start w:val="1"/>
      <w:numFmt w:val="bullet"/>
      <w:lvlText w:val=""/>
      <w:lvlJc w:val="left"/>
      <w:pPr>
        <w:ind w:left="2166" w:hanging="360"/>
      </w:pPr>
      <w:rPr>
        <w:rFonts w:ascii="Symbol" w:hAnsi="Symbol" w:hint="default"/>
      </w:rPr>
    </w:lvl>
    <w:lvl w:ilvl="4" w:tplc="080A0003" w:tentative="1">
      <w:start w:val="1"/>
      <w:numFmt w:val="bullet"/>
      <w:lvlText w:val="o"/>
      <w:lvlJc w:val="left"/>
      <w:pPr>
        <w:ind w:left="2886" w:hanging="360"/>
      </w:pPr>
      <w:rPr>
        <w:rFonts w:ascii="Courier New" w:hAnsi="Courier New" w:cs="Courier New" w:hint="default"/>
      </w:rPr>
    </w:lvl>
    <w:lvl w:ilvl="5" w:tplc="080A0005" w:tentative="1">
      <w:start w:val="1"/>
      <w:numFmt w:val="bullet"/>
      <w:lvlText w:val=""/>
      <w:lvlJc w:val="left"/>
      <w:pPr>
        <w:ind w:left="3606" w:hanging="360"/>
      </w:pPr>
      <w:rPr>
        <w:rFonts w:ascii="Wingdings" w:hAnsi="Wingdings" w:hint="default"/>
      </w:rPr>
    </w:lvl>
    <w:lvl w:ilvl="6" w:tplc="080A0001" w:tentative="1">
      <w:start w:val="1"/>
      <w:numFmt w:val="bullet"/>
      <w:lvlText w:val=""/>
      <w:lvlJc w:val="left"/>
      <w:pPr>
        <w:ind w:left="4326" w:hanging="360"/>
      </w:pPr>
      <w:rPr>
        <w:rFonts w:ascii="Symbol" w:hAnsi="Symbol" w:hint="default"/>
      </w:rPr>
    </w:lvl>
    <w:lvl w:ilvl="7" w:tplc="080A0003" w:tentative="1">
      <w:start w:val="1"/>
      <w:numFmt w:val="bullet"/>
      <w:lvlText w:val="o"/>
      <w:lvlJc w:val="left"/>
      <w:pPr>
        <w:ind w:left="5046" w:hanging="360"/>
      </w:pPr>
      <w:rPr>
        <w:rFonts w:ascii="Courier New" w:hAnsi="Courier New" w:cs="Courier New" w:hint="default"/>
      </w:rPr>
    </w:lvl>
    <w:lvl w:ilvl="8" w:tplc="080A0005" w:tentative="1">
      <w:start w:val="1"/>
      <w:numFmt w:val="bullet"/>
      <w:lvlText w:val=""/>
      <w:lvlJc w:val="left"/>
      <w:pPr>
        <w:ind w:left="5766" w:hanging="360"/>
      </w:pPr>
      <w:rPr>
        <w:rFonts w:ascii="Wingdings" w:hAnsi="Wingdings" w:hint="default"/>
      </w:rPr>
    </w:lvl>
  </w:abstractNum>
  <w:abstractNum w:abstractNumId="25" w15:restartNumberingAfterBreak="0">
    <w:nsid w:val="74150818"/>
    <w:multiLevelType w:val="multilevel"/>
    <w:tmpl w:val="6660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2431D"/>
    <w:multiLevelType w:val="multilevel"/>
    <w:tmpl w:val="C0CE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6572">
    <w:abstractNumId w:val="5"/>
  </w:num>
  <w:num w:numId="2" w16cid:durableId="1571960807">
    <w:abstractNumId w:val="11"/>
  </w:num>
  <w:num w:numId="3" w16cid:durableId="1556232545">
    <w:abstractNumId w:val="17"/>
  </w:num>
  <w:num w:numId="4" w16cid:durableId="200703489">
    <w:abstractNumId w:val="26"/>
  </w:num>
  <w:num w:numId="5" w16cid:durableId="1228106259">
    <w:abstractNumId w:val="16"/>
  </w:num>
  <w:num w:numId="6" w16cid:durableId="1666323715">
    <w:abstractNumId w:val="14"/>
  </w:num>
  <w:num w:numId="7" w16cid:durableId="944465061">
    <w:abstractNumId w:val="25"/>
  </w:num>
  <w:num w:numId="8" w16cid:durableId="952859265">
    <w:abstractNumId w:val="23"/>
  </w:num>
  <w:num w:numId="9" w16cid:durableId="708384760">
    <w:abstractNumId w:val="19"/>
  </w:num>
  <w:num w:numId="10" w16cid:durableId="736320756">
    <w:abstractNumId w:val="18"/>
  </w:num>
  <w:num w:numId="11" w16cid:durableId="2023579361">
    <w:abstractNumId w:val="9"/>
  </w:num>
  <w:num w:numId="12" w16cid:durableId="418675841">
    <w:abstractNumId w:val="12"/>
  </w:num>
  <w:num w:numId="13" w16cid:durableId="2019962852">
    <w:abstractNumId w:val="10"/>
  </w:num>
  <w:num w:numId="14" w16cid:durableId="93403866">
    <w:abstractNumId w:val="1"/>
  </w:num>
  <w:num w:numId="15" w16cid:durableId="501744900">
    <w:abstractNumId w:val="2"/>
  </w:num>
  <w:num w:numId="16" w16cid:durableId="1996452964">
    <w:abstractNumId w:val="22"/>
  </w:num>
  <w:num w:numId="17" w16cid:durableId="176893229">
    <w:abstractNumId w:val="21"/>
  </w:num>
  <w:num w:numId="18" w16cid:durableId="1123379683">
    <w:abstractNumId w:val="6"/>
  </w:num>
  <w:num w:numId="19" w16cid:durableId="292253022">
    <w:abstractNumId w:val="24"/>
  </w:num>
  <w:num w:numId="20" w16cid:durableId="964703559">
    <w:abstractNumId w:val="8"/>
  </w:num>
  <w:num w:numId="21" w16cid:durableId="1294870448">
    <w:abstractNumId w:val="13"/>
  </w:num>
  <w:num w:numId="22" w16cid:durableId="722220312">
    <w:abstractNumId w:val="7"/>
  </w:num>
  <w:num w:numId="23" w16cid:durableId="855731421">
    <w:abstractNumId w:val="4"/>
  </w:num>
  <w:num w:numId="24" w16cid:durableId="415786196">
    <w:abstractNumId w:val="0"/>
  </w:num>
  <w:num w:numId="25" w16cid:durableId="619263782">
    <w:abstractNumId w:val="20"/>
  </w:num>
  <w:num w:numId="26" w16cid:durableId="1092697646">
    <w:abstractNumId w:val="15"/>
  </w:num>
  <w:num w:numId="27" w16cid:durableId="1521434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6E"/>
    <w:rsid w:val="00017AFB"/>
    <w:rsid w:val="000273E4"/>
    <w:rsid w:val="00031451"/>
    <w:rsid w:val="0003341D"/>
    <w:rsid w:val="000779BE"/>
    <w:rsid w:val="0008075D"/>
    <w:rsid w:val="00097539"/>
    <w:rsid w:val="000B4725"/>
    <w:rsid w:val="000B6A62"/>
    <w:rsid w:val="000C79A2"/>
    <w:rsid w:val="000E7E0A"/>
    <w:rsid w:val="000F5BC5"/>
    <w:rsid w:val="0013218D"/>
    <w:rsid w:val="00142360"/>
    <w:rsid w:val="00151C9B"/>
    <w:rsid w:val="001521FD"/>
    <w:rsid w:val="00181363"/>
    <w:rsid w:val="001939E7"/>
    <w:rsid w:val="001A1AEA"/>
    <w:rsid w:val="001D7A61"/>
    <w:rsid w:val="001F234C"/>
    <w:rsid w:val="001F2496"/>
    <w:rsid w:val="001F342F"/>
    <w:rsid w:val="00206DB9"/>
    <w:rsid w:val="00221EDA"/>
    <w:rsid w:val="00235A8B"/>
    <w:rsid w:val="00261810"/>
    <w:rsid w:val="00267188"/>
    <w:rsid w:val="00281259"/>
    <w:rsid w:val="002A185C"/>
    <w:rsid w:val="002D118A"/>
    <w:rsid w:val="002E70E1"/>
    <w:rsid w:val="002F6304"/>
    <w:rsid w:val="00345723"/>
    <w:rsid w:val="00352A02"/>
    <w:rsid w:val="003A0EB7"/>
    <w:rsid w:val="003A409F"/>
    <w:rsid w:val="003B6B70"/>
    <w:rsid w:val="003D251B"/>
    <w:rsid w:val="003F3C9F"/>
    <w:rsid w:val="004225DB"/>
    <w:rsid w:val="00430682"/>
    <w:rsid w:val="004A4477"/>
    <w:rsid w:val="004C3B3F"/>
    <w:rsid w:val="004D65DD"/>
    <w:rsid w:val="004F0301"/>
    <w:rsid w:val="004F26EA"/>
    <w:rsid w:val="004F5E7A"/>
    <w:rsid w:val="005235E5"/>
    <w:rsid w:val="0053733E"/>
    <w:rsid w:val="005452F5"/>
    <w:rsid w:val="00556138"/>
    <w:rsid w:val="0056247D"/>
    <w:rsid w:val="005801C2"/>
    <w:rsid w:val="005B1A16"/>
    <w:rsid w:val="005B5753"/>
    <w:rsid w:val="005C5028"/>
    <w:rsid w:val="005C69E5"/>
    <w:rsid w:val="005E1C3C"/>
    <w:rsid w:val="00607B75"/>
    <w:rsid w:val="0062323C"/>
    <w:rsid w:val="006258B0"/>
    <w:rsid w:val="006367E5"/>
    <w:rsid w:val="00637E34"/>
    <w:rsid w:val="00643C2C"/>
    <w:rsid w:val="0067008C"/>
    <w:rsid w:val="006A6392"/>
    <w:rsid w:val="006C0578"/>
    <w:rsid w:val="006E65E3"/>
    <w:rsid w:val="006F0A69"/>
    <w:rsid w:val="006F618B"/>
    <w:rsid w:val="007065FA"/>
    <w:rsid w:val="007218F7"/>
    <w:rsid w:val="00746481"/>
    <w:rsid w:val="007920D1"/>
    <w:rsid w:val="00797BB3"/>
    <w:rsid w:val="007B401F"/>
    <w:rsid w:val="007B739E"/>
    <w:rsid w:val="007C039A"/>
    <w:rsid w:val="007D7789"/>
    <w:rsid w:val="008171EC"/>
    <w:rsid w:val="00820FCC"/>
    <w:rsid w:val="00821F1A"/>
    <w:rsid w:val="0083259A"/>
    <w:rsid w:val="00844440"/>
    <w:rsid w:val="0084550C"/>
    <w:rsid w:val="00847782"/>
    <w:rsid w:val="00851C28"/>
    <w:rsid w:val="008603D4"/>
    <w:rsid w:val="0086395F"/>
    <w:rsid w:val="0087345F"/>
    <w:rsid w:val="0089186F"/>
    <w:rsid w:val="008952C7"/>
    <w:rsid w:val="008B55A3"/>
    <w:rsid w:val="008C0AB4"/>
    <w:rsid w:val="00904EBE"/>
    <w:rsid w:val="00914ADA"/>
    <w:rsid w:val="00914E33"/>
    <w:rsid w:val="00917323"/>
    <w:rsid w:val="00922517"/>
    <w:rsid w:val="00932F5D"/>
    <w:rsid w:val="00942A17"/>
    <w:rsid w:val="009527CD"/>
    <w:rsid w:val="00954D21"/>
    <w:rsid w:val="00972B9F"/>
    <w:rsid w:val="00974039"/>
    <w:rsid w:val="0098417E"/>
    <w:rsid w:val="0098577D"/>
    <w:rsid w:val="0099537F"/>
    <w:rsid w:val="009967A9"/>
    <w:rsid w:val="009A5FC9"/>
    <w:rsid w:val="009C55DB"/>
    <w:rsid w:val="009F110E"/>
    <w:rsid w:val="009F5BFF"/>
    <w:rsid w:val="00A001B6"/>
    <w:rsid w:val="00A46253"/>
    <w:rsid w:val="00A538E4"/>
    <w:rsid w:val="00A60852"/>
    <w:rsid w:val="00A702D5"/>
    <w:rsid w:val="00A71250"/>
    <w:rsid w:val="00AA06E5"/>
    <w:rsid w:val="00AB1457"/>
    <w:rsid w:val="00AB28D2"/>
    <w:rsid w:val="00AB6AB9"/>
    <w:rsid w:val="00AE668E"/>
    <w:rsid w:val="00B01C59"/>
    <w:rsid w:val="00B141CC"/>
    <w:rsid w:val="00B2156E"/>
    <w:rsid w:val="00B252E8"/>
    <w:rsid w:val="00B32A4F"/>
    <w:rsid w:val="00B443DC"/>
    <w:rsid w:val="00B52502"/>
    <w:rsid w:val="00B549C6"/>
    <w:rsid w:val="00B568EC"/>
    <w:rsid w:val="00B81CDF"/>
    <w:rsid w:val="00B93F40"/>
    <w:rsid w:val="00BD5240"/>
    <w:rsid w:val="00BF01CF"/>
    <w:rsid w:val="00C06465"/>
    <w:rsid w:val="00C40ECD"/>
    <w:rsid w:val="00C6496F"/>
    <w:rsid w:val="00CB3B5A"/>
    <w:rsid w:val="00CB76E4"/>
    <w:rsid w:val="00CE4C24"/>
    <w:rsid w:val="00CF3D16"/>
    <w:rsid w:val="00CF4044"/>
    <w:rsid w:val="00D02DD4"/>
    <w:rsid w:val="00D15197"/>
    <w:rsid w:val="00D325B4"/>
    <w:rsid w:val="00D412DF"/>
    <w:rsid w:val="00D44C6E"/>
    <w:rsid w:val="00D5138A"/>
    <w:rsid w:val="00D65B72"/>
    <w:rsid w:val="00DA28DB"/>
    <w:rsid w:val="00DC3C72"/>
    <w:rsid w:val="00DC767C"/>
    <w:rsid w:val="00DD7976"/>
    <w:rsid w:val="00DF5368"/>
    <w:rsid w:val="00E13489"/>
    <w:rsid w:val="00E173F8"/>
    <w:rsid w:val="00E45F9B"/>
    <w:rsid w:val="00E63A78"/>
    <w:rsid w:val="00E855DB"/>
    <w:rsid w:val="00EB5A39"/>
    <w:rsid w:val="00EB64D7"/>
    <w:rsid w:val="00EF0A2C"/>
    <w:rsid w:val="00F24399"/>
    <w:rsid w:val="00F27669"/>
    <w:rsid w:val="00F45F27"/>
    <w:rsid w:val="00F54964"/>
    <w:rsid w:val="00F63F46"/>
    <w:rsid w:val="00F6566F"/>
    <w:rsid w:val="00F66048"/>
    <w:rsid w:val="00F7156B"/>
    <w:rsid w:val="00F81161"/>
    <w:rsid w:val="00F83B23"/>
    <w:rsid w:val="00F9746E"/>
    <w:rsid w:val="00FA0A7D"/>
    <w:rsid w:val="00FB22C9"/>
    <w:rsid w:val="00FC0A31"/>
    <w:rsid w:val="00FD0A3C"/>
    <w:rsid w:val="00FE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05F1"/>
  <w15:chartTrackingRefBased/>
  <w15:docId w15:val="{1234FD89-991A-480A-A39B-110D10C0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68E"/>
  </w:style>
  <w:style w:type="paragraph" w:styleId="Ttulo1">
    <w:name w:val="heading 1"/>
    <w:basedOn w:val="Normal"/>
    <w:next w:val="Normal"/>
    <w:link w:val="Ttulo1Car"/>
    <w:uiPriority w:val="9"/>
    <w:qFormat/>
    <w:rsid w:val="00B21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21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15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15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15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1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5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215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15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15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15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1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56E"/>
    <w:rPr>
      <w:rFonts w:eastAsiaTheme="majorEastAsia" w:cstheme="majorBidi"/>
      <w:color w:val="272727" w:themeColor="text1" w:themeTint="D8"/>
    </w:rPr>
  </w:style>
  <w:style w:type="paragraph" w:styleId="Ttulo">
    <w:name w:val="Title"/>
    <w:basedOn w:val="Normal"/>
    <w:next w:val="Normal"/>
    <w:link w:val="TtuloCar"/>
    <w:uiPriority w:val="10"/>
    <w:qFormat/>
    <w:rsid w:val="00B2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56E"/>
    <w:pPr>
      <w:spacing w:before="160"/>
      <w:jc w:val="center"/>
    </w:pPr>
    <w:rPr>
      <w:i/>
      <w:iCs/>
      <w:color w:val="404040" w:themeColor="text1" w:themeTint="BF"/>
    </w:rPr>
  </w:style>
  <w:style w:type="character" w:customStyle="1" w:styleId="CitaCar">
    <w:name w:val="Cita Car"/>
    <w:basedOn w:val="Fuentedeprrafopredeter"/>
    <w:link w:val="Cita"/>
    <w:uiPriority w:val="29"/>
    <w:rsid w:val="00B2156E"/>
    <w:rPr>
      <w:i/>
      <w:iCs/>
      <w:color w:val="404040" w:themeColor="text1" w:themeTint="BF"/>
    </w:rPr>
  </w:style>
  <w:style w:type="paragraph" w:styleId="Prrafodelista">
    <w:name w:val="List Paragraph"/>
    <w:basedOn w:val="Normal"/>
    <w:uiPriority w:val="34"/>
    <w:qFormat/>
    <w:rsid w:val="00B2156E"/>
    <w:pPr>
      <w:ind w:left="720"/>
      <w:contextualSpacing/>
    </w:pPr>
  </w:style>
  <w:style w:type="character" w:styleId="nfasisintenso">
    <w:name w:val="Intense Emphasis"/>
    <w:basedOn w:val="Fuentedeprrafopredeter"/>
    <w:uiPriority w:val="21"/>
    <w:qFormat/>
    <w:rsid w:val="00B2156E"/>
    <w:rPr>
      <w:i/>
      <w:iCs/>
      <w:color w:val="2F5496" w:themeColor="accent1" w:themeShade="BF"/>
    </w:rPr>
  </w:style>
  <w:style w:type="paragraph" w:styleId="Citadestacada">
    <w:name w:val="Intense Quote"/>
    <w:basedOn w:val="Normal"/>
    <w:next w:val="Normal"/>
    <w:link w:val="CitadestacadaCar"/>
    <w:uiPriority w:val="30"/>
    <w:qFormat/>
    <w:rsid w:val="00B2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156E"/>
    <w:rPr>
      <w:i/>
      <w:iCs/>
      <w:color w:val="2F5496" w:themeColor="accent1" w:themeShade="BF"/>
    </w:rPr>
  </w:style>
  <w:style w:type="character" w:styleId="Referenciaintensa">
    <w:name w:val="Intense Reference"/>
    <w:basedOn w:val="Fuentedeprrafopredeter"/>
    <w:uiPriority w:val="32"/>
    <w:qFormat/>
    <w:rsid w:val="00B2156E"/>
    <w:rPr>
      <w:b/>
      <w:bCs/>
      <w:smallCaps/>
      <w:color w:val="2F5496" w:themeColor="accent1" w:themeShade="BF"/>
      <w:spacing w:val="5"/>
    </w:rPr>
  </w:style>
  <w:style w:type="paragraph" w:styleId="Encabezado">
    <w:name w:val="header"/>
    <w:basedOn w:val="Normal"/>
    <w:link w:val="EncabezadoCar"/>
    <w:uiPriority w:val="99"/>
    <w:unhideWhenUsed/>
    <w:rsid w:val="00BD52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240"/>
  </w:style>
  <w:style w:type="paragraph" w:styleId="Piedepgina">
    <w:name w:val="footer"/>
    <w:basedOn w:val="Normal"/>
    <w:link w:val="PiedepginaCar"/>
    <w:uiPriority w:val="99"/>
    <w:unhideWhenUsed/>
    <w:rsid w:val="00BD52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240"/>
  </w:style>
  <w:style w:type="table" w:styleId="Tablaconcuadrcula">
    <w:name w:val="Table Grid"/>
    <w:basedOn w:val="Tablanormal"/>
    <w:uiPriority w:val="39"/>
    <w:rsid w:val="0022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801C2"/>
    <w:rPr>
      <w:sz w:val="16"/>
      <w:szCs w:val="16"/>
    </w:rPr>
  </w:style>
  <w:style w:type="paragraph" w:styleId="Textocomentario">
    <w:name w:val="annotation text"/>
    <w:basedOn w:val="Normal"/>
    <w:link w:val="TextocomentarioCar"/>
    <w:uiPriority w:val="99"/>
    <w:semiHidden/>
    <w:unhideWhenUsed/>
    <w:rsid w:val="005801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01C2"/>
    <w:rPr>
      <w:sz w:val="20"/>
      <w:szCs w:val="20"/>
    </w:rPr>
  </w:style>
  <w:style w:type="paragraph" w:styleId="Asuntodelcomentario">
    <w:name w:val="annotation subject"/>
    <w:basedOn w:val="Textocomentario"/>
    <w:next w:val="Textocomentario"/>
    <w:link w:val="AsuntodelcomentarioCar"/>
    <w:uiPriority w:val="99"/>
    <w:semiHidden/>
    <w:unhideWhenUsed/>
    <w:rsid w:val="005801C2"/>
    <w:rPr>
      <w:b/>
      <w:bCs/>
    </w:rPr>
  </w:style>
  <w:style w:type="character" w:customStyle="1" w:styleId="AsuntodelcomentarioCar">
    <w:name w:val="Asunto del comentario Car"/>
    <w:basedOn w:val="TextocomentarioCar"/>
    <w:link w:val="Asuntodelcomentario"/>
    <w:uiPriority w:val="99"/>
    <w:semiHidden/>
    <w:rsid w:val="005801C2"/>
    <w:rPr>
      <w:b/>
      <w:bCs/>
      <w:sz w:val="20"/>
      <w:szCs w:val="20"/>
    </w:rPr>
  </w:style>
  <w:style w:type="paragraph" w:styleId="Descripcin">
    <w:name w:val="caption"/>
    <w:basedOn w:val="Normal"/>
    <w:next w:val="Normal"/>
    <w:uiPriority w:val="35"/>
    <w:unhideWhenUsed/>
    <w:qFormat/>
    <w:rsid w:val="005801C2"/>
    <w:pPr>
      <w:spacing w:after="200" w:line="240" w:lineRule="auto"/>
    </w:pPr>
    <w:rPr>
      <w:i/>
      <w:iCs/>
      <w:color w:val="44546A" w:themeColor="text2"/>
      <w:sz w:val="18"/>
      <w:szCs w:val="18"/>
    </w:rPr>
  </w:style>
  <w:style w:type="paragraph" w:styleId="Sinespaciado">
    <w:name w:val="No Spacing"/>
    <w:uiPriority w:val="1"/>
    <w:qFormat/>
    <w:rsid w:val="005B1A16"/>
    <w:pPr>
      <w:spacing w:after="0" w:line="240" w:lineRule="auto"/>
    </w:pPr>
  </w:style>
  <w:style w:type="paragraph" w:styleId="Listaconvietas">
    <w:name w:val="List Bullet"/>
    <w:basedOn w:val="Normal"/>
    <w:uiPriority w:val="99"/>
    <w:semiHidden/>
    <w:unhideWhenUsed/>
    <w:rsid w:val="0083259A"/>
    <w:pPr>
      <w:numPr>
        <w:numId w:val="2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character" w:styleId="Hipervnculo">
    <w:name w:val="Hyperlink"/>
    <w:basedOn w:val="Fuentedeprrafopredeter"/>
    <w:uiPriority w:val="99"/>
    <w:unhideWhenUsed/>
    <w:rsid w:val="00F63F46"/>
    <w:rPr>
      <w:color w:val="0563C1" w:themeColor="hyperlink"/>
      <w:u w:val="single"/>
    </w:rPr>
  </w:style>
  <w:style w:type="character" w:styleId="Mencinsinresolver">
    <w:name w:val="Unresolved Mention"/>
    <w:basedOn w:val="Fuentedeprrafopredeter"/>
    <w:uiPriority w:val="99"/>
    <w:semiHidden/>
    <w:unhideWhenUsed/>
    <w:rsid w:val="00F63F46"/>
    <w:rPr>
      <w:color w:val="605E5C"/>
      <w:shd w:val="clear" w:color="auto" w:fill="E1DFDD"/>
    </w:rPr>
  </w:style>
  <w:style w:type="paragraph" w:styleId="Textonotapie">
    <w:name w:val="footnote text"/>
    <w:basedOn w:val="Normal"/>
    <w:link w:val="TextonotapieCar"/>
    <w:uiPriority w:val="99"/>
    <w:semiHidden/>
    <w:unhideWhenUsed/>
    <w:rsid w:val="005452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452F5"/>
    <w:rPr>
      <w:sz w:val="20"/>
      <w:szCs w:val="20"/>
    </w:rPr>
  </w:style>
  <w:style w:type="character" w:styleId="Refdenotaalpie">
    <w:name w:val="footnote reference"/>
    <w:basedOn w:val="Fuentedeprrafopredeter"/>
    <w:uiPriority w:val="99"/>
    <w:semiHidden/>
    <w:unhideWhenUsed/>
    <w:rsid w:val="00545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nfo16040326" TargetMode="External"/><Relationship Id="rId13" Type="http://schemas.openxmlformats.org/officeDocument/2006/relationships/hyperlink" Target="https://doi.org/10.3390/computation130801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encyclopedia404010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bjet.13388" TargetMode="External"/><Relationship Id="rId5" Type="http://schemas.openxmlformats.org/officeDocument/2006/relationships/webSettings" Target="webSettings.xml"/><Relationship Id="rId15" Type="http://schemas.openxmlformats.org/officeDocument/2006/relationships/hyperlink" Target="https://doi.org/10.7326/M18-1376" TargetMode="External"/><Relationship Id="rId10" Type="http://schemas.openxmlformats.org/officeDocument/2006/relationships/hyperlink" Target="https://doi.org/10.1016/j.eswa.2023.120933" TargetMode="External"/><Relationship Id="rId4" Type="http://schemas.openxmlformats.org/officeDocument/2006/relationships/settings" Target="settings.xml"/><Relationship Id="rId9" Type="http://schemas.openxmlformats.org/officeDocument/2006/relationships/hyperlink" Target="https://doi.org/10.3390/bdcc5040064" TargetMode="External"/><Relationship Id="rId14" Type="http://schemas.openxmlformats.org/officeDocument/2006/relationships/hyperlink" Target="https://doi.org/10.1016/j.techsoc.2024.1024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2EE0F4-360B-43A1-9B81-931F6AA8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15</Pages>
  <Words>6747</Words>
  <Characters>37110</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del arte v2 – Smart Agriculture</dc:title>
  <dc:subject/>
  <dc:creator>Ariel Llumiquinga</dc:creator>
  <cp:keywords/>
  <dc:description/>
  <cp:lastModifiedBy/>
  <cp:revision>116</cp:revision>
  <dcterms:created xsi:type="dcterms:W3CDTF">2026-01-20T16:10:00Z</dcterms:created>
  <dcterms:modified xsi:type="dcterms:W3CDTF">2026-08-31T15:58:00Z</dcterms:modified>
</cp:coreProperties>
</file>