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REQUIREMENTS REVIEW MEMO</w:t>
      </w:r>
    </w:p>
    <w:p>
      <w:pPr>
        <w:spacing w:after="40"/>
      </w:pPr>
      <w:r>
        <w:rPr>
          <w:rFonts w:ascii="Calibri" w:cs="Calibri" w:eastAsia="Calibri" w:hAnsi="Calibri"/>
          <w:color w:val="595959"/>
          <w:sz w:val="24"/>
          <w:szCs w:val="24"/>
        </w:rPr>
        <w:t xml:space="preserve">Project &amp; Task Time Tracking Application — Specifications Rev. 3</w:t>
      </w:r>
    </w:p>
    <w:p>
      <w:pPr>
        <w:spacing w:after="320"/>
      </w:pPr>
      <w:r>
        <w:rPr>
          <w:rFonts w:ascii="Calibri" w:cs="Calibri" w:eastAsia="Calibri" w:hAnsi="Calibri"/>
          <w:i/>
          <w:iCs/>
          <w:color w:val="595959"/>
          <w:sz w:val="20"/>
          <w:szCs w:val="20"/>
        </w:rPr>
        <w:t xml:space="preserve">Prepared as a critical analysis of the functional and technical specification, with proposed changes.</w:t>
      </w:r>
    </w:p>
    <w:p>
      <w:pPr>
        <w:pStyle w:val="Heading1"/>
        <w:spacing w:after="160" w:before="360"/>
      </w:pPr>
      <w:r>
        <w:rPr>
          <w:rFonts w:ascii="Calibri" w:cs="Calibri" w:eastAsia="Calibri" w:hAnsi="Calibri"/>
          <w:b/>
          <w:bCs/>
          <w:color w:val="1F3864"/>
          <w:sz w:val="30"/>
          <w:szCs w:val="30"/>
        </w:rPr>
        <w:t xml:space="preserve">Executive Summary</w:t>
      </w:r>
    </w:p>
    <w:p>
      <w:pPr>
        <w:spacing w:after="140"/>
      </w:pPr>
      <w:r>
        <w:rPr>
          <w:rFonts w:ascii="Calibri" w:cs="Calibri" w:eastAsia="Calibri" w:hAnsi="Calibri"/>
          <w:b w:val="false"/>
          <w:bCs w:val="false"/>
          <w:i w:val="false"/>
          <w:iCs w:val="false"/>
          <w:sz w:val="22"/>
          <w:szCs w:val="22"/>
        </w:rPr>
        <w:t xml:space="preserve">The specification lays out a coherent MVP for a self-managed time, project, and billing tracker, and the core workflow (manual time entry → manager approval → invoice generation) is sound. However, several requirements are ambiguous or incomplete in ways that would produce incorrect billing data, security exposure, or blocked users once built. This memo groups findings by severity, gives the specific requirement text proposed to close each gap, and adds a section-by-section review plus a list of missing non-functional requirements.</w:t>
      </w:r>
    </w:p>
    <w:p>
      <w:pPr>
        <w:spacing w:after="140"/>
      </w:pPr>
      <w:r>
        <w:rPr>
          <w:rFonts w:ascii="Calibri" w:cs="Calibri" w:eastAsia="Calibri" w:hAnsi="Calibri"/>
          <w:b w:val="false"/>
          <w:bCs w:val="false"/>
          <w:i w:val="false"/>
          <w:iCs w:val="false"/>
          <w:sz w:val="22"/>
          <w:szCs w:val="22"/>
        </w:rPr>
        <w:t xml:space="preserve">Recommended action: resolve all five Critical items before development begins on Sections 3–4 (Rates and Billing, Invoices) and Section 6 (User Access), since they affect the data model and cannot be retrofitted cheaply.</w:t>
      </w:r>
    </w:p>
    <w:p>
      <w:pPr>
        <w:pStyle w:val="Heading1"/>
        <w:spacing w:after="160" w:before="360"/>
      </w:pPr>
      <w:r>
        <w:rPr>
          <w:rFonts w:ascii="Calibri" w:cs="Calibri" w:eastAsia="Calibri" w:hAnsi="Calibri"/>
          <w:b/>
          <w:bCs/>
          <w:color w:val="1F3864"/>
          <w:sz w:val="30"/>
          <w:szCs w:val="30"/>
        </w:rPr>
        <w:t xml:space="preserve">Critical Issues — Resolve Before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000"/>
        <w:gridCol w:w="3800"/>
      </w:tblGrid>
      <w:tr>
        <w:trPr>
          <w:tblHeader/>
        </w:trPr>
        <w:tc>
          <w:tcPr>
            <w:tcW w:type="pct" w:w="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pct" w:w="2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Issue</w:t>
            </w:r>
          </w:p>
        </w:tc>
        <w:tc>
          <w:tcPr>
            <w:tcW w:type="pct" w:w="3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Risk if unresolved</w:t>
            </w:r>
          </w:p>
        </w:tc>
        <w:tc>
          <w:tcPr>
            <w:tcW w:type="pct" w:w="3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Proposed requirement</w:t>
            </w:r>
          </w:p>
        </w:tc>
      </w:tr>
      <w:tr>
        <w:tc>
          <w:tcPr>
            <w:tcW w:type="pct" w:w="6%"/>
            <w:tcMar>
              <w:top w:type="dxa" w:w="100"/>
              <w:left w:type="dxa" w:w="120"/>
              <w:bottom w:type="dxa" w:w="100"/>
              <w:right w:type="dxa" w:w="120"/>
            </w:tcMar>
          </w:tcPr>
          <w:p>
            <w:r>
              <w:rPr>
                <w:rFonts w:ascii="Calibri" w:cs="Calibri" w:eastAsia="Calibri" w:hAnsi="Calibri"/>
                <w:b/>
                <w:bCs/>
                <w:sz w:val="20"/>
                <w:szCs w:val="20"/>
              </w:rPr>
              <w:t xml:space="preserve">1</w:t>
            </w:r>
          </w:p>
        </w:tc>
        <w:tc>
          <w:tcPr>
            <w:tcW w:type="pct" w:w="26%"/>
            <w:tcMar>
              <w:top w:type="dxa" w:w="100"/>
              <w:left w:type="dxa" w:w="120"/>
              <w:bottom w:type="dxa" w:w="100"/>
              <w:right w:type="dxa" w:w="120"/>
            </w:tcMar>
          </w:tcPr>
          <w:p>
            <w:r>
              <w:rPr>
                <w:rFonts w:ascii="Calibri" w:cs="Calibri" w:eastAsia="Calibri" w:hAnsi="Calibri"/>
                <w:sz w:val="20"/>
                <w:szCs w:val="20"/>
              </w:rPr>
              <w:t xml:space="preserve">No rate-precedence rule when user, project, and task rates conflict</w:t>
            </w:r>
          </w:p>
        </w:tc>
        <w:tc>
          <w:tcPr>
            <w:tcW w:type="pct" w:w="30%"/>
            <w:tcMar>
              <w:top w:type="dxa" w:w="100"/>
              <w:left w:type="dxa" w:w="120"/>
              <w:bottom w:type="dxa" w:w="100"/>
              <w:right w:type="dxa" w:w="120"/>
            </w:tcMar>
          </w:tcPr>
          <w:p>
            <w:r>
              <w:rPr>
                <w:rFonts w:ascii="Calibri" w:cs="Calibri" w:eastAsia="Calibri" w:hAnsi="Calibri"/>
                <w:sz w:val="20"/>
                <w:szCs w:val="20"/>
              </w:rPr>
              <w:t xml:space="preserve">Billing engine is unspecified; two developers would implement two different cost calculations</w:t>
            </w:r>
          </w:p>
        </w:tc>
        <w:tc>
          <w:tcPr>
            <w:tcW w:type="pct" w:w="38%"/>
            <w:tcMar>
              <w:top w:type="dxa" w:w="100"/>
              <w:left w:type="dxa" w:w="120"/>
              <w:bottom w:type="dxa" w:w="100"/>
              <w:right w:type="dxa" w:w="120"/>
            </w:tcMar>
          </w:tcPr>
          <w:p>
            <w:r>
              <w:rPr>
                <w:rFonts w:ascii="Calibri" w:cs="Calibri" w:eastAsia="Calibri" w:hAnsi="Calibri"/>
                <w:i/>
                <w:iCs/>
                <w:sz w:val="20"/>
                <w:szCs w:val="20"/>
              </w:rPr>
              <w:t xml:space="preserve">“When a task rate is set, it overrides the project rate, which overrides the user rate. The resolved rate must be recorded, not just referenced, at the time the cost is calculated.”</w:t>
            </w:r>
          </w:p>
        </w:tc>
      </w:tr>
      <w:tr>
        <w:tc>
          <w:tcPr>
            <w:tcW w:type="pct" w:w="6%"/>
            <w:tcMar>
              <w:top w:type="dxa" w:w="100"/>
              <w:left w:type="dxa" w:w="120"/>
              <w:bottom w:type="dxa" w:w="100"/>
              <w:right w:type="dxa" w:w="120"/>
            </w:tcMar>
          </w:tcPr>
          <w:p>
            <w:r>
              <w:rPr>
                <w:rFonts w:ascii="Calibri" w:cs="Calibri" w:eastAsia="Calibri" w:hAnsi="Calibri"/>
                <w:b/>
                <w:bCs/>
                <w:sz w:val="20"/>
                <w:szCs w:val="20"/>
              </w:rPr>
              <w:t xml:space="preserve">2</w:t>
            </w:r>
          </w:p>
        </w:tc>
        <w:tc>
          <w:tcPr>
            <w:tcW w:type="pct" w:w="26%"/>
            <w:tcMar>
              <w:top w:type="dxa" w:w="100"/>
              <w:left w:type="dxa" w:w="120"/>
              <w:bottom w:type="dxa" w:w="100"/>
              <w:right w:type="dxa" w:w="120"/>
            </w:tcMar>
          </w:tcPr>
          <w:p>
            <w:r>
              <w:rPr>
                <w:rFonts w:ascii="Calibri" w:cs="Calibri" w:eastAsia="Calibri" w:hAnsi="Calibri"/>
                <w:sz w:val="20"/>
                <w:szCs w:val="20"/>
              </w:rPr>
              <w:t xml:space="preserve">No ‘invoiced’ flag on time records</w:t>
            </w:r>
          </w:p>
        </w:tc>
        <w:tc>
          <w:tcPr>
            <w:tcW w:type="pct" w:w="30%"/>
            <w:tcMar>
              <w:top w:type="dxa" w:w="100"/>
              <w:left w:type="dxa" w:w="120"/>
              <w:bottom w:type="dxa" w:w="100"/>
              <w:right w:type="dxa" w:w="120"/>
            </w:tcMar>
          </w:tcPr>
          <w:p>
            <w:r>
              <w:rPr>
                <w:rFonts w:ascii="Calibri" w:cs="Calibri" w:eastAsia="Calibri" w:hAnsi="Calibri"/>
                <w:sz w:val="20"/>
                <w:szCs w:val="20"/>
              </w:rPr>
              <w:t xml:space="preserve">The same billable time record can be pulled into two invoices, double-billing a client</w:t>
            </w:r>
          </w:p>
        </w:tc>
        <w:tc>
          <w:tcPr>
            <w:tcW w:type="pct" w:w="38%"/>
            <w:tcMar>
              <w:top w:type="dxa" w:w="100"/>
              <w:left w:type="dxa" w:w="120"/>
              <w:bottom w:type="dxa" w:w="100"/>
              <w:right w:type="dxa" w:w="120"/>
            </w:tcMar>
          </w:tcPr>
          <w:p>
            <w:r>
              <w:rPr>
                <w:rFonts w:ascii="Calibri" w:cs="Calibri" w:eastAsia="Calibri" w:hAnsi="Calibri"/>
                <w:i/>
                <w:iCs/>
                <w:sz w:val="20"/>
                <w:szCs w:val="20"/>
              </w:rPr>
              <w:t xml:space="preserve">“The software must mark a time record as invoiced once it is included on an invoice, and must exclude invoiced records from future invoice generation.”</w:t>
            </w:r>
          </w:p>
        </w:tc>
      </w:tr>
      <w:tr>
        <w:tc>
          <w:tcPr>
            <w:tcW w:type="pct" w:w="6%"/>
            <w:tcMar>
              <w:top w:type="dxa" w:w="100"/>
              <w:left w:type="dxa" w:w="120"/>
              <w:bottom w:type="dxa" w:w="100"/>
              <w:right w:type="dxa" w:w="120"/>
            </w:tcMar>
          </w:tcPr>
          <w:p>
            <w:r>
              <w:rPr>
                <w:rFonts w:ascii="Calibri" w:cs="Calibri" w:eastAsia="Calibri" w:hAnsi="Calibri"/>
                <w:b/>
                <w:bCs/>
                <w:sz w:val="20"/>
                <w:szCs w:val="20"/>
              </w:rPr>
              <w:t xml:space="preserve">3</w:t>
            </w:r>
          </w:p>
        </w:tc>
        <w:tc>
          <w:tcPr>
            <w:tcW w:type="pct" w:w="26%"/>
            <w:tcMar>
              <w:top w:type="dxa" w:w="100"/>
              <w:left w:type="dxa" w:w="120"/>
              <w:bottom w:type="dxa" w:w="100"/>
              <w:right w:type="dxa" w:w="120"/>
            </w:tcMar>
          </w:tcPr>
          <w:p>
            <w:r>
              <w:rPr>
                <w:rFonts w:ascii="Calibri" w:cs="Calibri" w:eastAsia="Calibri" w:hAnsi="Calibri"/>
                <w:sz w:val="20"/>
                <w:szCs w:val="20"/>
              </w:rPr>
              <w:t xml:space="preserve">No rate history / snapshotting</w:t>
            </w:r>
          </w:p>
        </w:tc>
        <w:tc>
          <w:tcPr>
            <w:tcW w:type="pct" w:w="30%"/>
            <w:tcMar>
              <w:top w:type="dxa" w:w="100"/>
              <w:left w:type="dxa" w:w="120"/>
              <w:bottom w:type="dxa" w:w="100"/>
              <w:right w:type="dxa" w:w="120"/>
            </w:tcMar>
          </w:tcPr>
          <w:p>
            <w:r>
              <w:rPr>
                <w:rFonts w:ascii="Calibri" w:cs="Calibri" w:eastAsia="Calibri" w:hAnsi="Calibri"/>
                <w:sz w:val="20"/>
                <w:szCs w:val="20"/>
              </w:rPr>
              <w:t xml:space="preserve">Changing a rate retroactively alters the cost of past, already-invoiced work</w:t>
            </w:r>
          </w:p>
        </w:tc>
        <w:tc>
          <w:tcPr>
            <w:tcW w:type="pct" w:w="38%"/>
            <w:tcMar>
              <w:top w:type="dxa" w:w="100"/>
              <w:left w:type="dxa" w:w="120"/>
              <w:bottom w:type="dxa" w:w="100"/>
              <w:right w:type="dxa" w:w="120"/>
            </w:tcMar>
          </w:tcPr>
          <w:p>
            <w:r>
              <w:rPr>
                <w:rFonts w:ascii="Calibri" w:cs="Calibri" w:eastAsia="Calibri" w:hAnsi="Calibri"/>
                <w:i/>
                <w:iCs/>
                <w:sz w:val="20"/>
                <w:szCs w:val="20"/>
              </w:rPr>
              <w:t xml:space="preserve">“The backend software must capture and store the applicable rate on the time record at the time the cost is calculated. Later rate changes must not alter previously calculated costs.”</w:t>
            </w:r>
          </w:p>
        </w:tc>
      </w:tr>
      <w:tr>
        <w:tc>
          <w:tcPr>
            <w:tcW w:type="pct" w:w="6%"/>
            <w:tcMar>
              <w:top w:type="dxa" w:w="100"/>
              <w:left w:type="dxa" w:w="120"/>
              <w:bottom w:type="dxa" w:w="100"/>
              <w:right w:type="dxa" w:w="120"/>
            </w:tcMar>
          </w:tcPr>
          <w:p>
            <w:r>
              <w:rPr>
                <w:rFonts w:ascii="Calibri" w:cs="Calibri" w:eastAsia="Calibri" w:hAnsi="Calibri"/>
                <w:b/>
                <w:bCs/>
                <w:sz w:val="20"/>
                <w:szCs w:val="20"/>
              </w:rPr>
              <w:t xml:space="preserve">4</w:t>
            </w:r>
          </w:p>
        </w:tc>
        <w:tc>
          <w:tcPr>
            <w:tcW w:type="pct" w:w="26%"/>
            <w:tcMar>
              <w:top w:type="dxa" w:w="100"/>
              <w:left w:type="dxa" w:w="120"/>
              <w:bottom w:type="dxa" w:w="100"/>
              <w:right w:type="dxa" w:w="120"/>
            </w:tcMar>
          </w:tcPr>
          <w:p>
            <w:r>
              <w:rPr>
                <w:rFonts w:ascii="Calibri" w:cs="Calibri" w:eastAsia="Calibri" w:hAnsi="Calibri"/>
                <w:sz w:val="20"/>
                <w:szCs w:val="20"/>
              </w:rPr>
              <w:t xml:space="preserve">No password reset / account recovery flow</w:t>
            </w:r>
          </w:p>
        </w:tc>
        <w:tc>
          <w:tcPr>
            <w:tcW w:type="pct" w:w="30%"/>
            <w:tcMar>
              <w:top w:type="dxa" w:w="100"/>
              <w:left w:type="dxa" w:w="120"/>
              <w:bottom w:type="dxa" w:w="100"/>
              <w:right w:type="dxa" w:w="120"/>
            </w:tcMar>
          </w:tcPr>
          <w:p>
            <w:r>
              <w:rPr>
                <w:rFonts w:ascii="Calibri" w:cs="Calibri" w:eastAsia="Calibri" w:hAnsi="Calibri"/>
                <w:sz w:val="20"/>
                <w:szCs w:val="20"/>
              </w:rPr>
              <w:t xml:space="preserve">The spec removes the central administrator but supplies no fallback if a user is locked out</w:t>
            </w:r>
          </w:p>
        </w:tc>
        <w:tc>
          <w:tcPr>
            <w:tcW w:type="pct" w:w="38%"/>
            <w:tcMar>
              <w:top w:type="dxa" w:w="100"/>
              <w:left w:type="dxa" w:w="120"/>
              <w:bottom w:type="dxa" w:w="100"/>
              <w:right w:type="dxa" w:w="120"/>
            </w:tcMar>
          </w:tcPr>
          <w:p>
            <w:r>
              <w:rPr>
                <w:rFonts w:ascii="Calibri" w:cs="Calibri" w:eastAsia="Calibri" w:hAnsi="Calibri"/>
                <w:i/>
                <w:iCs/>
                <w:sz w:val="20"/>
                <w:szCs w:val="20"/>
              </w:rPr>
              <w:t xml:space="preserve">“The software must let an unauthenticated user request a password reset via a verified email address, without requiring administrator intervention.”</w:t>
            </w:r>
          </w:p>
        </w:tc>
      </w:tr>
      <w:tr>
        <w:tc>
          <w:tcPr>
            <w:tcW w:type="pct" w:w="6%"/>
            <w:tcMar>
              <w:top w:type="dxa" w:w="100"/>
              <w:left w:type="dxa" w:w="120"/>
              <w:bottom w:type="dxa" w:w="100"/>
              <w:right w:type="dxa" w:w="120"/>
            </w:tcMar>
          </w:tcPr>
          <w:p>
            <w:r>
              <w:rPr>
                <w:rFonts w:ascii="Calibri" w:cs="Calibri" w:eastAsia="Calibri" w:hAnsi="Calibri"/>
                <w:b/>
                <w:bCs/>
                <w:sz w:val="20"/>
                <w:szCs w:val="20"/>
              </w:rPr>
              <w:t xml:space="preserve">5</w:t>
            </w:r>
          </w:p>
        </w:tc>
        <w:tc>
          <w:tcPr>
            <w:tcW w:type="pct" w:w="26%"/>
            <w:tcMar>
              <w:top w:type="dxa" w:w="100"/>
              <w:left w:type="dxa" w:w="120"/>
              <w:bottom w:type="dxa" w:w="100"/>
              <w:right w:type="dxa" w:w="120"/>
            </w:tcMar>
          </w:tcPr>
          <w:p>
            <w:r>
              <w:rPr>
                <w:rFonts w:ascii="Calibri" w:cs="Calibri" w:eastAsia="Calibri" w:hAnsi="Calibri"/>
                <w:sz w:val="20"/>
                <w:szCs w:val="20"/>
              </w:rPr>
              <w:t xml:space="preserve">User identification string (UID) format matches a raw MongoDB ObjectId</w:t>
            </w:r>
          </w:p>
        </w:tc>
        <w:tc>
          <w:tcPr>
            <w:tcW w:type="pct" w:w="30%"/>
            <w:tcMar>
              <w:top w:type="dxa" w:w="100"/>
              <w:left w:type="dxa" w:w="120"/>
              <w:bottom w:type="dxa" w:w="100"/>
              <w:right w:type="dxa" w:w="120"/>
            </w:tcMar>
          </w:tcPr>
          <w:p>
            <w:r>
              <w:rPr>
                <w:rFonts w:ascii="Calibri" w:cs="Calibri" w:eastAsia="Calibri" w:hAnsi="Calibri"/>
                <w:sz w:val="20"/>
                <w:szCs w:val="20"/>
              </w:rPr>
              <w:t xml:space="preserve">If the developer reuses the database _id as the UID, it becomes guessable/enumerable, since ObjectIds encode a creation timestamp</w:t>
            </w:r>
          </w:p>
        </w:tc>
        <w:tc>
          <w:tcPr>
            <w:tcW w:type="pct" w:w="38%"/>
            <w:tcMar>
              <w:top w:type="dxa" w:w="100"/>
              <w:left w:type="dxa" w:w="120"/>
              <w:bottom w:type="dxa" w:w="100"/>
              <w:right w:type="dxa" w:w="120"/>
            </w:tcMar>
          </w:tcPr>
          <w:p>
            <w:r>
              <w:rPr>
                <w:rFonts w:ascii="Calibri" w:cs="Calibri" w:eastAsia="Calibri" w:hAnsi="Calibri"/>
                <w:i/>
                <w:iCs/>
                <w:sz w:val="20"/>
                <w:szCs w:val="20"/>
              </w:rPr>
              <w:t xml:space="preserve">“The UID must be generated independently of any database primary key, using a cryptographically secure random source.”</w:t>
            </w:r>
          </w:p>
        </w:tc>
      </w:tr>
    </w:tbl>
    <w:p>
      <w:pPr>
        <w:spacing w:before="200"/>
      </w:pPr>
    </w:p>
    <w:p>
      <w:pPr>
        <w:pStyle w:val="Heading1"/>
        <w:spacing w:after="160" w:before="360"/>
      </w:pPr>
      <w:r>
        <w:rPr>
          <w:rFonts w:ascii="Calibri" w:cs="Calibri" w:eastAsia="Calibri" w:hAnsi="Calibri"/>
          <w:b/>
          <w:bCs/>
          <w:color w:val="1F3864"/>
          <w:sz w:val="30"/>
          <w:szCs w:val="30"/>
        </w:rPr>
        <w:t xml:space="preserve">Section-by-Section Review</w:t>
      </w:r>
    </w:p>
    <w:p>
      <w:pPr>
        <w:pStyle w:val="Heading2"/>
        <w:spacing w:after="120" w:before="280"/>
      </w:pPr>
      <w:r>
        <w:rPr>
          <w:rFonts w:ascii="Calibri" w:cs="Calibri" w:eastAsia="Calibri" w:hAnsi="Calibri"/>
          <w:b/>
          <w:bCs/>
          <w:color w:val="1F3864"/>
          <w:sz w:val="24"/>
          <w:szCs w:val="24"/>
        </w:rPr>
        <w:t xml:space="preserve">1. Time Recording</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explicit link stated between a time record and a client/project/task.</w:t>
      </w:r>
    </w:p>
    <w:p>
      <w:pPr>
        <w:spacing w:after="160"/>
        <w:ind w:left="360"/>
      </w:pPr>
      <w:r>
        <w:rPr>
          <w:rFonts w:ascii="Calibri" w:cs="Calibri" w:eastAsia="Calibri" w:hAnsi="Calibri"/>
          <w:color w:val="3A3A3A"/>
          <w:sz w:val="21"/>
          <w:szCs w:val="21"/>
        </w:rPr>
        <w:t xml:space="preserve">The connection is implied by Section 3 but never stated in Section 1. Add: “Every time record must be associated with exactly one project and, where applicable, one task.”</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validation rules for entries.</w:t>
      </w:r>
    </w:p>
    <w:p>
      <w:pPr>
        <w:spacing w:after="160"/>
        <w:ind w:left="360"/>
      </w:pPr>
      <w:r>
        <w:rPr>
          <w:rFonts w:ascii="Calibri" w:cs="Calibri" w:eastAsia="Calibri" w:hAnsi="Calibri"/>
          <w:color w:val="3A3A3A"/>
          <w:sz w:val="21"/>
          <w:szCs w:val="21"/>
        </w:rPr>
        <w:t xml:space="preserve">Overlapping entries for the same user, minimum/maximum duration, and time granularity (minutes vs. quarter-hours) are all undefined.</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edit history / audit trail on time records.</w:t>
      </w:r>
    </w:p>
    <w:p>
      <w:pPr>
        <w:spacing w:after="160"/>
        <w:ind w:left="360"/>
      </w:pPr>
      <w:r>
        <w:rPr>
          <w:rFonts w:ascii="Calibri" w:cs="Calibri" w:eastAsia="Calibri" w:hAnsi="Calibri"/>
          <w:color w:val="3A3A3A"/>
          <w:sz w:val="21"/>
          <w:szCs w:val="21"/>
        </w:rPr>
        <w:t xml:space="preserve">Once records feed billable invoices, an auditable change log (who changed what, when) is standard practice and currently missing.</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notes/description field on a time entry.</w:t>
      </w:r>
    </w:p>
    <w:p>
      <w:pPr>
        <w:spacing w:after="160"/>
        <w:ind w:left="360"/>
      </w:pPr>
      <w:r>
        <w:rPr>
          <w:rFonts w:ascii="Calibri" w:cs="Calibri" w:eastAsia="Calibri" w:hAnsi="Calibri"/>
          <w:color w:val="3A3A3A"/>
          <w:sz w:val="21"/>
          <w:szCs w:val="21"/>
        </w:rPr>
        <w:t xml:space="preserve">Most time and task tracking tools rely on a free-text note for context; the current schema has none.</w:t>
      </w:r>
    </w:p>
    <w:p>
      <w:pPr>
        <w:pStyle w:val="Heading2"/>
        <w:spacing w:after="120" w:before="280"/>
      </w:pPr>
      <w:r>
        <w:rPr>
          <w:rFonts w:ascii="Calibri" w:cs="Calibri" w:eastAsia="Calibri" w:hAnsi="Calibri"/>
          <w:b/>
          <w:bCs/>
          <w:color w:val="1F3864"/>
          <w:sz w:val="24"/>
          <w:szCs w:val="24"/>
        </w:rPr>
        <w:t xml:space="preserve">2. Clients, Projects, and Tasks</w:t>
      </w:r>
    </w:p>
    <w:p>
      <w:pPr>
        <w:spacing w:after="60"/>
      </w:pPr>
      <w:r>
        <w:rPr>
          <w:rFonts w:ascii="Calibri" w:cs="Calibri" w:eastAsia="Calibri" w:hAnsi="Calibri"/>
          <w:b/>
          <w:bCs/>
          <w:color w:val="B36B00"/>
          <w:sz w:val="21"/>
          <w:szCs w:val="21"/>
        </w:rPr>
        <w:t xml:space="preserve">[HIGH] </w:t>
      </w:r>
      <w:r>
        <w:rPr>
          <w:rFonts w:ascii="Calibri" w:cs="Calibri" w:eastAsia="Calibri" w:hAnsi="Calibri"/>
          <w:b/>
          <w:bCs/>
          <w:sz w:val="21"/>
          <w:szCs w:val="21"/>
        </w:rPr>
        <w:t xml:space="preserve">Client record lacks billing details.</w:t>
      </w:r>
    </w:p>
    <w:p>
      <w:pPr>
        <w:spacing w:after="160"/>
        <w:ind w:left="360"/>
      </w:pPr>
      <w:r>
        <w:rPr>
          <w:rFonts w:ascii="Calibri" w:cs="Calibri" w:eastAsia="Calibri" w:hAnsi="Calibri"/>
          <w:color w:val="3A3A3A"/>
          <w:sz w:val="21"/>
          <w:szCs w:val="21"/>
        </w:rPr>
        <w:t xml:space="preserve">Name, contact person, and email are insufficient for a real invoice — billing address and tax ID are typically required and are referenced nowhere else in the spec.</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Project status is limited to active/complete.</w:t>
      </w:r>
    </w:p>
    <w:p>
      <w:pPr>
        <w:spacing w:after="160"/>
        <w:ind w:left="360"/>
      </w:pPr>
      <w:r>
        <w:rPr>
          <w:rFonts w:ascii="Calibri" w:cs="Calibri" w:eastAsia="Calibri" w:hAnsi="Calibri"/>
          <w:color w:val="3A3A3A"/>
          <w:sz w:val="21"/>
          <w:szCs w:val="21"/>
        </w:rPr>
        <w:t xml:space="preserve">Missing “on hold” and “cancelled,” and there is no rule preventing new time entries against a completed project.</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Tasks have no status field.</w:t>
      </w:r>
    </w:p>
    <w:p>
      <w:pPr>
        <w:spacing w:after="160"/>
        <w:ind w:left="360"/>
      </w:pPr>
      <w:r>
        <w:rPr>
          <w:rFonts w:ascii="Calibri" w:cs="Calibri" w:eastAsia="Calibri" w:hAnsi="Calibri"/>
          <w:color w:val="3A3A3A"/>
          <w:sz w:val="21"/>
          <w:szCs w:val="21"/>
        </w:rPr>
        <w:t xml:space="preserve">Only projects carry a status; for an application described as a task tracker, tasks should have their own lifecycle (e.g., open/in progress/done).</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task assignment (assignee).</w:t>
      </w:r>
    </w:p>
    <w:p>
      <w:pPr>
        <w:spacing w:after="160"/>
        <w:ind w:left="360"/>
      </w:pPr>
      <w:r>
        <w:rPr>
          <w:rFonts w:ascii="Calibri" w:cs="Calibri" w:eastAsia="Calibri" w:hAnsi="Calibri"/>
          <w:color w:val="3A3A3A"/>
          <w:sz w:val="21"/>
          <w:szCs w:val="21"/>
        </w:rPr>
        <w:t xml:space="preserve">A manager can create tasks but the spec never lets them assign a task to a specific team member.</w:t>
      </w:r>
    </w:p>
    <w:p>
      <w:pPr>
        <w:spacing w:after="60"/>
      </w:pPr>
      <w:r>
        <w:rPr>
          <w:rFonts w:ascii="Calibri" w:cs="Calibri" w:eastAsia="Calibri" w:hAnsi="Calibri"/>
          <w:b/>
          <w:bCs/>
          <w:color w:val="595959"/>
          <w:sz w:val="21"/>
          <w:szCs w:val="21"/>
        </w:rPr>
        <w:t xml:space="preserve">[LOW] </w:t>
      </w:r>
      <w:r>
        <w:rPr>
          <w:rFonts w:ascii="Calibri" w:cs="Calibri" w:eastAsia="Calibri" w:hAnsi="Calibri"/>
          <w:b/>
          <w:bCs/>
          <w:sz w:val="21"/>
          <w:szCs w:val="21"/>
        </w:rPr>
        <w:t xml:space="preserve">No project budget or estimated-hours cap.</w:t>
      </w:r>
    </w:p>
    <w:p>
      <w:pPr>
        <w:spacing w:after="160"/>
        <w:ind w:left="360"/>
      </w:pPr>
      <w:r>
        <w:rPr>
          <w:rFonts w:ascii="Calibri" w:cs="Calibri" w:eastAsia="Calibri" w:hAnsi="Calibri"/>
          <w:color w:val="3A3A3A"/>
          <w:sz w:val="21"/>
          <w:szCs w:val="21"/>
        </w:rPr>
        <w:t xml:space="preserve">Useful for flagging overruns; not currently supported anywhere in the reporting requirements either.</w:t>
      </w:r>
    </w:p>
    <w:p>
      <w:pPr>
        <w:pStyle w:val="Heading2"/>
        <w:spacing w:after="120" w:before="280"/>
      </w:pPr>
      <w:r>
        <w:rPr>
          <w:rFonts w:ascii="Calibri" w:cs="Calibri" w:eastAsia="Calibri" w:hAnsi="Calibri"/>
          <w:b/>
          <w:bCs/>
          <w:color w:val="1F3864"/>
          <w:sz w:val="24"/>
          <w:szCs w:val="24"/>
        </w:rPr>
        <w:t xml:space="preserve">3. Rates and Billing</w:t>
      </w:r>
    </w:p>
    <w:p>
      <w:pPr>
        <w:spacing w:after="60"/>
      </w:pPr>
      <w:r>
        <w:rPr>
          <w:rFonts w:ascii="Calibri" w:cs="Calibri" w:eastAsia="Calibri" w:hAnsi="Calibri"/>
          <w:b/>
          <w:bCs/>
          <w:color w:val="B00020"/>
          <w:sz w:val="21"/>
          <w:szCs w:val="21"/>
        </w:rPr>
        <w:t xml:space="preserve">[CRITICAL] </w:t>
      </w:r>
      <w:r>
        <w:rPr>
          <w:rFonts w:ascii="Calibri" w:cs="Calibri" w:eastAsia="Calibri" w:hAnsi="Calibri"/>
          <w:b/>
          <w:bCs/>
          <w:sz w:val="21"/>
          <w:szCs w:val="21"/>
        </w:rPr>
        <w:t xml:space="preserve">Rate precedence is undefined.</w:t>
      </w:r>
    </w:p>
    <w:p>
      <w:pPr>
        <w:spacing w:after="160"/>
        <w:ind w:left="360"/>
      </w:pPr>
      <w:r>
        <w:rPr>
          <w:rFonts w:ascii="Calibri" w:cs="Calibri" w:eastAsia="Calibri" w:hAnsi="Calibri"/>
          <w:color w:val="3A3A3A"/>
          <w:sz w:val="21"/>
          <w:szCs w:val="21"/>
        </w:rPr>
        <w:t xml:space="preserve">See Critical Issue #1. This is the single highest-priority fix in the document.</w:t>
      </w:r>
    </w:p>
    <w:p>
      <w:pPr>
        <w:spacing w:after="60"/>
      </w:pPr>
      <w:r>
        <w:rPr>
          <w:rFonts w:ascii="Calibri" w:cs="Calibri" w:eastAsia="Calibri" w:hAnsi="Calibri"/>
          <w:b/>
          <w:bCs/>
          <w:color w:val="B00020"/>
          <w:sz w:val="21"/>
          <w:szCs w:val="21"/>
        </w:rPr>
        <w:t xml:space="preserve">[CRITICAL] </w:t>
      </w:r>
      <w:r>
        <w:rPr>
          <w:rFonts w:ascii="Calibri" w:cs="Calibri" w:eastAsia="Calibri" w:hAnsi="Calibri"/>
          <w:b/>
          <w:bCs/>
          <w:sz w:val="21"/>
          <w:szCs w:val="21"/>
        </w:rPr>
        <w:t xml:space="preserve">No rate history / snapshotting.</w:t>
      </w:r>
    </w:p>
    <w:p>
      <w:pPr>
        <w:spacing w:after="160"/>
        <w:ind w:left="360"/>
      </w:pPr>
      <w:r>
        <w:rPr>
          <w:rFonts w:ascii="Calibri" w:cs="Calibri" w:eastAsia="Calibri" w:hAnsi="Calibri"/>
          <w:color w:val="3A3A3A"/>
          <w:sz w:val="21"/>
          <w:szCs w:val="21"/>
        </w:rPr>
        <w:t xml:space="preserve">See Critical Issue #3.</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currency field anywhere in the spec.</w:t>
      </w:r>
    </w:p>
    <w:p>
      <w:pPr>
        <w:spacing w:after="160"/>
        <w:ind w:left="360"/>
      </w:pPr>
      <w:r>
        <w:rPr>
          <w:rFonts w:ascii="Calibri" w:cs="Calibri" w:eastAsia="Calibri" w:hAnsi="Calibri"/>
          <w:color w:val="3A3A3A"/>
          <w:sz w:val="21"/>
          <w:szCs w:val="21"/>
        </w:rPr>
        <w:t xml:space="preserve">Reasonable to keep single-currency for an MVP, but this should be stated explicitly rather than left implicit, since it affects the invoice and database schema.</w:t>
      </w:r>
    </w:p>
    <w:p>
      <w:pPr>
        <w:spacing w:after="60"/>
      </w:pPr>
      <w:r>
        <w:rPr>
          <w:rFonts w:ascii="Calibri" w:cs="Calibri" w:eastAsia="Calibri" w:hAnsi="Calibri"/>
          <w:b/>
          <w:bCs/>
          <w:color w:val="595959"/>
          <w:sz w:val="21"/>
          <w:szCs w:val="21"/>
        </w:rPr>
        <w:t xml:space="preserve">[LOW] </w:t>
      </w:r>
      <w:r>
        <w:rPr>
          <w:rFonts w:ascii="Calibri" w:cs="Calibri" w:eastAsia="Calibri" w:hAnsi="Calibri"/>
          <w:b/>
          <w:bCs/>
          <w:sz w:val="21"/>
          <w:szCs w:val="21"/>
        </w:rPr>
        <w:t xml:space="preserve">Unclear what a regular user may see about their own cost.</w:t>
      </w:r>
    </w:p>
    <w:p>
      <w:pPr>
        <w:spacing w:after="160"/>
        <w:ind w:left="360"/>
      </w:pPr>
      <w:r>
        <w:rPr>
          <w:rFonts w:ascii="Calibri" w:cs="Calibri" w:eastAsia="Calibri" w:hAnsi="Calibri"/>
          <w:color w:val="3A3A3A"/>
          <w:sz w:val="21"/>
          <w:szCs w:val="21"/>
        </w:rPr>
        <w:t xml:space="preserve">The spec only restricts viewing of other users' rates; it doesn't say whether a user can see the cost of their own time.</w:t>
      </w:r>
    </w:p>
    <w:p>
      <w:pPr>
        <w:pStyle w:val="Heading2"/>
        <w:spacing w:after="120" w:before="280"/>
      </w:pPr>
      <w:r>
        <w:rPr>
          <w:rFonts w:ascii="Calibri" w:cs="Calibri" w:eastAsia="Calibri" w:hAnsi="Calibri"/>
          <w:b/>
          <w:bCs/>
          <w:color w:val="1F3864"/>
          <w:sz w:val="24"/>
          <w:szCs w:val="24"/>
        </w:rPr>
        <w:t xml:space="preserve">4. Invoices</w:t>
      </w:r>
    </w:p>
    <w:p>
      <w:pPr>
        <w:spacing w:after="60"/>
      </w:pPr>
      <w:r>
        <w:rPr>
          <w:rFonts w:ascii="Calibri" w:cs="Calibri" w:eastAsia="Calibri" w:hAnsi="Calibri"/>
          <w:b/>
          <w:bCs/>
          <w:color w:val="B00020"/>
          <w:sz w:val="21"/>
          <w:szCs w:val="21"/>
        </w:rPr>
        <w:t xml:space="preserve">[CRITICAL] </w:t>
      </w:r>
      <w:r>
        <w:rPr>
          <w:rFonts w:ascii="Calibri" w:cs="Calibri" w:eastAsia="Calibri" w:hAnsi="Calibri"/>
          <w:b/>
          <w:bCs/>
          <w:sz w:val="21"/>
          <w:szCs w:val="21"/>
        </w:rPr>
        <w:t xml:space="preserve">No ‘invoiced’ flag on time records.</w:t>
      </w:r>
    </w:p>
    <w:p>
      <w:pPr>
        <w:spacing w:after="160"/>
        <w:ind w:left="360"/>
      </w:pPr>
      <w:r>
        <w:rPr>
          <w:rFonts w:ascii="Calibri" w:cs="Calibri" w:eastAsia="Calibri" w:hAnsi="Calibri"/>
          <w:color w:val="3A3A3A"/>
          <w:sz w:val="21"/>
          <w:szCs w:val="21"/>
        </w:rPr>
        <w:t xml:space="preserve">See Critical Issue #2.</w:t>
      </w:r>
    </w:p>
    <w:p>
      <w:pPr>
        <w:spacing w:after="60"/>
      </w:pPr>
      <w:r>
        <w:rPr>
          <w:rFonts w:ascii="Calibri" w:cs="Calibri" w:eastAsia="Calibri" w:hAnsi="Calibri"/>
          <w:b/>
          <w:bCs/>
          <w:color w:val="B36B00"/>
          <w:sz w:val="21"/>
          <w:szCs w:val="21"/>
        </w:rPr>
        <w:t xml:space="preserve">[HIGH] </w:t>
      </w:r>
      <w:r>
        <w:rPr>
          <w:rFonts w:ascii="Calibri" w:cs="Calibri" w:eastAsia="Calibri" w:hAnsi="Calibri"/>
          <w:b/>
          <w:bCs/>
          <w:sz w:val="21"/>
          <w:szCs w:val="21"/>
        </w:rPr>
        <w:t xml:space="preserve">No invoice numbering scheme.</w:t>
      </w:r>
    </w:p>
    <w:p>
      <w:pPr>
        <w:spacing w:after="160"/>
        <w:ind w:left="360"/>
      </w:pPr>
      <w:r>
        <w:rPr>
          <w:rFonts w:ascii="Calibri" w:cs="Calibri" w:eastAsia="Calibri" w:hAnsi="Calibri"/>
          <w:color w:val="3A3A3A"/>
          <w:sz w:val="21"/>
          <w:szCs w:val="21"/>
        </w:rPr>
        <w:t xml:space="preserve">A sequential or otherwise unique invoice ID is normally required for audit and tax purposes and is absent from the spec.</w:t>
      </w:r>
    </w:p>
    <w:p>
      <w:pPr>
        <w:spacing w:after="60"/>
      </w:pPr>
      <w:r>
        <w:rPr>
          <w:rFonts w:ascii="Calibri" w:cs="Calibri" w:eastAsia="Calibri" w:hAnsi="Calibri"/>
          <w:b/>
          <w:bCs/>
          <w:color w:val="B36B00"/>
          <w:sz w:val="21"/>
          <w:szCs w:val="21"/>
        </w:rPr>
        <w:t xml:space="preserve">[HIGH] </w:t>
      </w:r>
      <w:r>
        <w:rPr>
          <w:rFonts w:ascii="Calibri" w:cs="Calibri" w:eastAsia="Calibri" w:hAnsi="Calibri"/>
          <w:b/>
          <w:bCs/>
          <w:sz w:val="21"/>
          <w:szCs w:val="21"/>
        </w:rPr>
        <w:t xml:space="preserve">No invoice status lifecycle.</w:t>
      </w:r>
    </w:p>
    <w:p>
      <w:pPr>
        <w:spacing w:after="160"/>
        <w:ind w:left="360"/>
      </w:pPr>
      <w:r>
        <w:rPr>
          <w:rFonts w:ascii="Calibri" w:cs="Calibri" w:eastAsia="Calibri" w:hAnsi="Calibri"/>
          <w:color w:val="3A3A3A"/>
          <w:sz w:val="21"/>
          <w:szCs w:val="21"/>
        </w:rPr>
        <w:t xml:space="preserve">The spec captures only a single payment date, with no draft/sent/paid/overdue states and no support for partial payments.</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tax/VAT handling.</w:t>
      </w:r>
    </w:p>
    <w:p>
      <w:pPr>
        <w:spacing w:after="160"/>
        <w:ind w:left="360"/>
      </w:pPr>
      <w:r>
        <w:rPr>
          <w:rFonts w:ascii="Calibri" w:cs="Calibri" w:eastAsia="Calibri" w:hAnsi="Calibri"/>
          <w:color w:val="3A3A3A"/>
          <w:sz w:val="21"/>
          <w:szCs w:val="21"/>
        </w:rPr>
        <w:t xml:space="preserve">Most real invoicing requires at least a configurable tax line; currently absent.</w:t>
      </w:r>
    </w:p>
    <w:p>
      <w:pPr>
        <w:spacing w:after="60"/>
      </w:pPr>
      <w:r>
        <w:rPr>
          <w:rFonts w:ascii="Calibri" w:cs="Calibri" w:eastAsia="Calibri" w:hAnsi="Calibri"/>
          <w:b/>
          <w:bCs/>
          <w:color w:val="595959"/>
          <w:sz w:val="21"/>
          <w:szCs w:val="21"/>
        </w:rPr>
        <w:t xml:space="preserve">[LOW] </w:t>
      </w:r>
      <w:r>
        <w:rPr>
          <w:rFonts w:ascii="Calibri" w:cs="Calibri" w:eastAsia="Calibri" w:hAnsi="Calibri"/>
          <w:b/>
          <w:bCs/>
          <w:sz w:val="21"/>
          <w:szCs w:val="21"/>
        </w:rPr>
        <w:t xml:space="preserve">Invoice creation/send permission not explicit.</w:t>
      </w:r>
    </w:p>
    <w:p>
      <w:pPr>
        <w:spacing w:after="160"/>
        <w:ind w:left="360"/>
      </w:pPr>
      <w:r>
        <w:rPr>
          <w:rFonts w:ascii="Calibri" w:cs="Calibri" w:eastAsia="Calibri" w:hAnsi="Calibri"/>
          <w:color w:val="3A3A3A"/>
          <w:sz w:val="21"/>
          <w:szCs w:val="21"/>
        </w:rPr>
        <w:t xml:space="preserve">Only “view” permission is defined for managers; who can generate or transmit an invoice is left implicit.</w:t>
      </w:r>
    </w:p>
    <w:p>
      <w:pPr>
        <w:pStyle w:val="Heading2"/>
        <w:spacing w:after="120" w:before="280"/>
      </w:pPr>
      <w:r>
        <w:rPr>
          <w:rFonts w:ascii="Calibri" w:cs="Calibri" w:eastAsia="Calibri" w:hAnsi="Calibri"/>
          <w:b/>
          <w:bCs/>
          <w:color w:val="1F3864"/>
          <w:sz w:val="24"/>
          <w:szCs w:val="24"/>
        </w:rPr>
        <w:t xml:space="preserve">5. Reports and Data</w:t>
      </w:r>
    </w:p>
    <w:p>
      <w:pPr>
        <w:spacing w:after="60"/>
      </w:pPr>
      <w:r>
        <w:rPr>
          <w:rFonts w:ascii="Calibri" w:cs="Calibri" w:eastAsia="Calibri" w:hAnsi="Calibri"/>
          <w:b/>
          <w:bCs/>
          <w:color w:val="595959"/>
          <w:sz w:val="21"/>
          <w:szCs w:val="21"/>
        </w:rPr>
        <w:t xml:space="preserve">[LOW] </w:t>
      </w:r>
      <w:r>
        <w:rPr>
          <w:rFonts w:ascii="Calibri" w:cs="Calibri" w:eastAsia="Calibri" w:hAnsi="Calibri"/>
          <w:b/>
          <w:bCs/>
          <w:sz w:val="21"/>
          <w:szCs w:val="21"/>
        </w:rPr>
        <w:t xml:space="preserve">Access scope not restated for reports.</w:t>
      </w:r>
    </w:p>
    <w:p>
      <w:pPr>
        <w:spacing w:after="160"/>
        <w:ind w:left="360"/>
      </w:pPr>
      <w:r>
        <w:rPr>
          <w:rFonts w:ascii="Calibri" w:cs="Calibri" w:eastAsia="Calibri" w:hAnsi="Calibri"/>
          <w:color w:val="3A3A3A"/>
          <w:sz w:val="21"/>
          <w:szCs w:val="21"/>
        </w:rPr>
        <w:t xml:space="preserve">Section 6 defines that a regular user sees only their own data and a manager sees their team's; Section 5 should cross-reference this rather than leave it implicit.</w:t>
      </w:r>
    </w:p>
    <w:p>
      <w:pPr>
        <w:pStyle w:val="Heading2"/>
        <w:spacing w:after="120" w:before="280"/>
      </w:pPr>
      <w:r>
        <w:rPr>
          <w:rFonts w:ascii="Calibri" w:cs="Calibri" w:eastAsia="Calibri" w:hAnsi="Calibri"/>
          <w:b/>
          <w:bCs/>
          <w:color w:val="1F3864"/>
          <w:sz w:val="24"/>
          <w:szCs w:val="24"/>
        </w:rPr>
        <w:t xml:space="preserve">6. User Access and Collaborative Teams</w:t>
      </w:r>
    </w:p>
    <w:p>
      <w:pPr>
        <w:spacing w:after="60"/>
      </w:pPr>
      <w:r>
        <w:rPr>
          <w:rFonts w:ascii="Calibri" w:cs="Calibri" w:eastAsia="Calibri" w:hAnsi="Calibri"/>
          <w:b/>
          <w:bCs/>
          <w:color w:val="B00020"/>
          <w:sz w:val="21"/>
          <w:szCs w:val="21"/>
        </w:rPr>
        <w:t xml:space="preserve">[CRITICAL] </w:t>
      </w:r>
      <w:r>
        <w:rPr>
          <w:rFonts w:ascii="Calibri" w:cs="Calibri" w:eastAsia="Calibri" w:hAnsi="Calibri"/>
          <w:b/>
          <w:bCs/>
          <w:sz w:val="21"/>
          <w:szCs w:val="21"/>
        </w:rPr>
        <w:t xml:space="preserve">No password reset / account recovery.</w:t>
      </w:r>
    </w:p>
    <w:p>
      <w:pPr>
        <w:spacing w:after="160"/>
        <w:ind w:left="360"/>
      </w:pPr>
      <w:r>
        <w:rPr>
          <w:rFonts w:ascii="Calibri" w:cs="Calibri" w:eastAsia="Calibri" w:hAnsi="Calibri"/>
          <w:color w:val="3A3A3A"/>
          <w:sz w:val="21"/>
          <w:szCs w:val="21"/>
        </w:rPr>
        <w:t xml:space="preserve">See Critical Issue #4 — particularly important given the explicit “no central administrator” design.</w:t>
      </w:r>
    </w:p>
    <w:p>
      <w:pPr>
        <w:spacing w:after="60"/>
      </w:pPr>
      <w:r>
        <w:rPr>
          <w:rFonts w:ascii="Calibri" w:cs="Calibri" w:eastAsia="Calibri" w:hAnsi="Calibri"/>
          <w:b/>
          <w:bCs/>
          <w:color w:val="B00020"/>
          <w:sz w:val="21"/>
          <w:szCs w:val="21"/>
        </w:rPr>
        <w:t xml:space="preserve">[CRITICAL] </w:t>
      </w:r>
      <w:r>
        <w:rPr>
          <w:rFonts w:ascii="Calibri" w:cs="Calibri" w:eastAsia="Calibri" w:hAnsi="Calibri"/>
          <w:b/>
          <w:bCs/>
          <w:sz w:val="21"/>
          <w:szCs w:val="21"/>
        </w:rPr>
        <w:t xml:space="preserve">UID format likely exposes a raw database ID.</w:t>
      </w:r>
    </w:p>
    <w:p>
      <w:pPr>
        <w:spacing w:after="160"/>
        <w:ind w:left="360"/>
      </w:pPr>
      <w:r>
        <w:rPr>
          <w:rFonts w:ascii="Calibri" w:cs="Calibri" w:eastAsia="Calibri" w:hAnsi="Calibri"/>
          <w:color w:val="3A3A3A"/>
          <w:sz w:val="21"/>
          <w:szCs w:val="21"/>
        </w:rPr>
        <w:t xml:space="preserve">See Critical Issue #5.</w:t>
      </w:r>
    </w:p>
    <w:p>
      <w:pPr>
        <w:spacing w:after="60"/>
      </w:pPr>
      <w:r>
        <w:rPr>
          <w:rFonts w:ascii="Calibri" w:cs="Calibri" w:eastAsia="Calibri" w:hAnsi="Calibri"/>
          <w:b/>
          <w:bCs/>
          <w:color w:val="B36B00"/>
          <w:sz w:val="21"/>
          <w:szCs w:val="21"/>
        </w:rPr>
        <w:t xml:space="preserve">[HIGH] </w:t>
      </w:r>
      <w:r>
        <w:rPr>
          <w:rFonts w:ascii="Calibri" w:cs="Calibri" w:eastAsia="Calibri" w:hAnsi="Calibri"/>
          <w:b/>
          <w:bCs/>
          <w:sz w:val="21"/>
          <w:szCs w:val="21"/>
        </w:rPr>
        <w:t xml:space="preserve">Multi-team membership is undefined.</w:t>
      </w:r>
    </w:p>
    <w:p>
      <w:pPr>
        <w:spacing w:after="160"/>
        <w:ind w:left="360"/>
      </w:pPr>
      <w:r>
        <w:rPr>
          <w:rFonts w:ascii="Calibri" w:cs="Calibri" w:eastAsia="Calibri" w:hAnsi="Calibri"/>
          <w:color w:val="3A3A3A"/>
          <w:sz w:val="21"/>
          <w:szCs w:val="21"/>
        </w:rPr>
        <w:t xml:space="preserve">Can a user belong to more than one collaborative team? This matters for contractors/freelancers working with multiple managers and is not addressed.</w:t>
      </w:r>
    </w:p>
    <w:p>
      <w:pPr>
        <w:spacing w:after="60"/>
      </w:pPr>
      <w:r>
        <w:rPr>
          <w:rFonts w:ascii="Calibri" w:cs="Calibri" w:eastAsia="Calibri" w:hAnsi="Calibri"/>
          <w:b/>
          <w:bCs/>
          <w:color w:val="B36B00"/>
          <w:sz w:val="21"/>
          <w:szCs w:val="21"/>
        </w:rPr>
        <w:t xml:space="preserve">[HIGH] </w:t>
      </w:r>
      <w:r>
        <w:rPr>
          <w:rFonts w:ascii="Calibri" w:cs="Calibri" w:eastAsia="Calibri" w:hAnsi="Calibri"/>
          <w:b/>
          <w:bCs/>
          <w:sz w:val="21"/>
          <w:szCs w:val="21"/>
        </w:rPr>
        <w:t xml:space="preserve">No team management operations beyond adding members.</w:t>
      </w:r>
    </w:p>
    <w:p>
      <w:pPr>
        <w:spacing w:after="160"/>
        <w:ind w:left="360"/>
      </w:pPr>
      <w:r>
        <w:rPr>
          <w:rFonts w:ascii="Calibri" w:cs="Calibri" w:eastAsia="Calibri" w:hAnsi="Calibri"/>
          <w:color w:val="3A3A3A"/>
          <w:sz w:val="21"/>
          <w:szCs w:val="21"/>
        </w:rPr>
        <w:t xml:space="preserve">Removing a member, revoking a manager's role, and deleting a team are all missing.</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rule preventing self-approval.</w:t>
      </w:r>
    </w:p>
    <w:p>
      <w:pPr>
        <w:spacing w:after="160"/>
        <w:ind w:left="360"/>
      </w:pPr>
      <w:r>
        <w:rPr>
          <w:rFonts w:ascii="Calibri" w:cs="Calibri" w:eastAsia="Calibri" w:hAnsi="Calibri"/>
          <w:color w:val="3A3A3A"/>
          <w:sz w:val="21"/>
          <w:szCs w:val="21"/>
        </w:rPr>
        <w:t xml:space="preserve">As written, a manager who logs their own billable time could approve their own record.</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account deletion / data-erasure path.</w:t>
      </w:r>
    </w:p>
    <w:p>
      <w:pPr>
        <w:spacing w:after="160"/>
        <w:ind w:left="360"/>
      </w:pPr>
      <w:r>
        <w:rPr>
          <w:rFonts w:ascii="Calibri" w:cs="Calibri" w:eastAsia="Calibri" w:hAnsi="Calibri"/>
          <w:color w:val="3A3A3A"/>
          <w:sz w:val="21"/>
          <w:szCs w:val="21"/>
        </w:rPr>
        <w:t xml:space="preserve">A gap if the product will ever serve EU users, given ‘right to be forgotten’ obligations.</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email verification or anti-abuse control on self-registration.</w:t>
      </w:r>
    </w:p>
    <w:p>
      <w:pPr>
        <w:spacing w:after="160"/>
        <w:ind w:left="360"/>
      </w:pPr>
      <w:r>
        <w:rPr>
          <w:rFonts w:ascii="Calibri" w:cs="Calibri" w:eastAsia="Calibri" w:hAnsi="Calibri"/>
          <w:color w:val="3A3A3A"/>
          <w:sz w:val="21"/>
          <w:szCs w:val="21"/>
        </w:rPr>
        <w:t xml:space="preserve">Matters more, not less, in a system with no central admin to catch abuse after the fact.</w:t>
      </w:r>
    </w:p>
    <w:p>
      <w:pPr>
        <w:pStyle w:val="Heading2"/>
        <w:spacing w:after="120" w:before="280"/>
      </w:pPr>
      <w:r>
        <w:rPr>
          <w:rFonts w:ascii="Calibri" w:cs="Calibri" w:eastAsia="Calibri" w:hAnsi="Calibri"/>
          <w:b/>
          <w:bCs/>
          <w:color w:val="1F3864"/>
          <w:sz w:val="24"/>
          <w:szCs w:val="24"/>
        </w:rPr>
        <w:t xml:space="preserve">7. Technical Specifications and Architecture</w:t>
      </w:r>
    </w:p>
    <w:p>
      <w:pPr>
        <w:spacing w:after="60"/>
      </w:pPr>
      <w:r>
        <w:rPr>
          <w:rFonts w:ascii="Calibri" w:cs="Calibri" w:eastAsia="Calibri" w:hAnsi="Calibri"/>
          <w:b/>
          <w:bCs/>
          <w:color w:val="B36B00"/>
          <w:sz w:val="21"/>
          <w:szCs w:val="21"/>
        </w:rPr>
        <w:t xml:space="preserve">[HIGH] </w:t>
      </w:r>
      <w:r>
        <w:rPr>
          <w:rFonts w:ascii="Calibri" w:cs="Calibri" w:eastAsia="Calibri" w:hAnsi="Calibri"/>
          <w:b/>
          <w:bCs/>
          <w:sz w:val="21"/>
          <w:szCs w:val="21"/>
        </w:rPr>
        <w:t xml:space="preserve">Kubernetes may be disproportionate for the described scope.</w:t>
      </w:r>
    </w:p>
    <w:p>
      <w:pPr>
        <w:spacing w:after="160"/>
        <w:ind w:left="360"/>
      </w:pPr>
      <w:r>
        <w:rPr>
          <w:rFonts w:ascii="Calibri" w:cs="Calibri" w:eastAsia="Calibri" w:hAnsi="Calibri"/>
          <w:color w:val="3A3A3A"/>
          <w:sz w:val="21"/>
          <w:szCs w:val="21"/>
        </w:rPr>
        <w:t xml:space="preserve">Worth confirming this is justified by expected scale; otherwise Docker Compose or a managed container service delivers the same benefits with far less DevOps overhead for a v1.</w:t>
      </w:r>
    </w:p>
    <w:p>
      <w:pPr>
        <w:spacing w:after="60"/>
      </w:pPr>
      <w:r>
        <w:rPr>
          <w:rFonts w:ascii="Calibri" w:cs="Calibri" w:eastAsia="Calibri" w:hAnsi="Calibri"/>
          <w:b/>
          <w:bCs/>
          <w:color w:val="B36B00"/>
          <w:sz w:val="21"/>
          <w:szCs w:val="21"/>
        </w:rPr>
        <w:t xml:space="preserve">[HIGH] </w:t>
      </w:r>
      <w:r>
        <w:rPr>
          <w:rFonts w:ascii="Calibri" w:cs="Calibri" w:eastAsia="Calibri" w:hAnsi="Calibri"/>
          <w:b/>
          <w:bCs/>
          <w:sz w:val="21"/>
          <w:szCs w:val="21"/>
        </w:rPr>
        <w:t xml:space="preserve">JWT strategy is underspecified.</w:t>
      </w:r>
    </w:p>
    <w:p>
      <w:pPr>
        <w:spacing w:after="160"/>
        <w:ind w:left="360"/>
      </w:pPr>
      <w:r>
        <w:rPr>
          <w:rFonts w:ascii="Calibri" w:cs="Calibri" w:eastAsia="Calibri" w:hAnsi="Calibri"/>
          <w:color w:val="3A3A3A"/>
          <w:sz w:val="21"/>
          <w:szCs w:val="21"/>
        </w:rPr>
        <w:t xml:space="preserve">No token expiry, refresh, or revocation strategy is defined. This is a real problem because roles (manager status) can change at runtime, and a stale token could retain stale permissions.</w:t>
      </w:r>
    </w:p>
    <w:p>
      <w:pPr>
        <w:spacing w:after="60"/>
      </w:pPr>
      <w:r>
        <w:rPr>
          <w:rFonts w:ascii="Calibri" w:cs="Calibri" w:eastAsia="Calibri" w:hAnsi="Calibri"/>
          <w:b/>
          <w:bCs/>
          <w:color w:val="B36B00"/>
          <w:sz w:val="21"/>
          <w:szCs w:val="21"/>
        </w:rPr>
        <w:t xml:space="preserve">[HIGH] </w:t>
      </w:r>
      <w:r>
        <w:rPr>
          <w:rFonts w:ascii="Calibri" w:cs="Calibri" w:eastAsia="Calibri" w:hAnsi="Calibri"/>
          <w:b/>
          <w:bCs/>
          <w:sz w:val="21"/>
          <w:szCs w:val="21"/>
        </w:rPr>
        <w:t xml:space="preserve">No transactional-integrity requirement for billing operations.</w:t>
      </w:r>
    </w:p>
    <w:p>
      <w:pPr>
        <w:spacing w:after="160"/>
        <w:ind w:left="360"/>
      </w:pPr>
      <w:r>
        <w:rPr>
          <w:rFonts w:ascii="Calibri" w:cs="Calibri" w:eastAsia="Calibri" w:hAnsi="Calibri"/>
          <w:color w:val="3A3A3A"/>
          <w:sz w:val="21"/>
          <w:szCs w:val="21"/>
        </w:rPr>
        <w:t xml:space="preserve">MongoDB supports multi-document ACID transactions, but nothing in the spec requires their use for invoice generation or rate capture, risking partial writes on financial data.</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encryption-at-rest / in-transit requirement.</w:t>
      </w:r>
    </w:p>
    <w:p>
      <w:pPr>
        <w:spacing w:after="160"/>
        <w:ind w:left="360"/>
      </w:pPr>
      <w:r>
        <w:rPr>
          <w:rFonts w:ascii="Calibri" w:cs="Calibri" w:eastAsia="Calibri" w:hAnsi="Calibri"/>
          <w:color w:val="3A3A3A"/>
          <w:sz w:val="21"/>
          <w:szCs w:val="21"/>
        </w:rPr>
        <w:t xml:space="preserve">Notable given the system stores PII and compensation-adjacent data (hourly rates).</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backup / disaster-recovery requirement.</w:t>
      </w:r>
    </w:p>
    <w:p>
      <w:pPr>
        <w:spacing w:after="160"/>
        <w:ind w:left="360"/>
      </w:pPr>
      <w:r>
        <w:rPr>
          <w:rFonts w:ascii="Calibri" w:cs="Calibri" w:eastAsia="Calibri" w:hAnsi="Calibri"/>
          <w:color w:val="3A3A3A"/>
          <w:sz w:val="21"/>
          <w:szCs w:val="21"/>
        </w:rPr>
        <w:t xml:space="preserve">This system is, functionally, a financial record keeper; data-loss tolerance should be stated.</w:t>
      </w:r>
    </w:p>
    <w:p>
      <w:pPr>
        <w:spacing w:after="60"/>
      </w:pPr>
      <w:r>
        <w:rPr>
          <w:rFonts w:ascii="Calibri" w:cs="Calibri" w:eastAsia="Calibri" w:hAnsi="Calibri"/>
          <w:b/>
          <w:bCs/>
          <w:color w:val="595959"/>
          <w:sz w:val="21"/>
          <w:szCs w:val="21"/>
        </w:rPr>
        <w:t xml:space="preserve">[MEDIUM] </w:t>
      </w:r>
      <w:r>
        <w:rPr>
          <w:rFonts w:ascii="Calibri" w:cs="Calibri" w:eastAsia="Calibri" w:hAnsi="Calibri"/>
          <w:b/>
          <w:bCs/>
          <w:sz w:val="21"/>
          <w:szCs w:val="21"/>
        </w:rPr>
        <w:t xml:space="preserve">No non-functional requirements at all.</w:t>
      </w:r>
    </w:p>
    <w:p>
      <w:pPr>
        <w:spacing w:after="160"/>
        <w:ind w:left="360"/>
      </w:pPr>
      <w:r>
        <w:rPr>
          <w:rFonts w:ascii="Calibri" w:cs="Calibri" w:eastAsia="Calibri" w:hAnsi="Calibri"/>
          <w:color w:val="3A3A3A"/>
          <w:sz w:val="21"/>
          <w:szCs w:val="21"/>
        </w:rPr>
        <w:t xml:space="preserve">No performance targets, concurrency expectations, uptime/SLA, or API rate limiting are defined anywhere in the document.</w:t>
      </w:r>
    </w:p>
    <w:p>
      <w:pPr>
        <w:spacing w:after="60"/>
      </w:pPr>
      <w:r>
        <w:rPr>
          <w:rFonts w:ascii="Calibri" w:cs="Calibri" w:eastAsia="Calibri" w:hAnsi="Calibri"/>
          <w:b/>
          <w:bCs/>
          <w:color w:val="595959"/>
          <w:sz w:val="21"/>
          <w:szCs w:val="21"/>
        </w:rPr>
        <w:t xml:space="preserve">[LOW] </w:t>
      </w:r>
      <w:r>
        <w:rPr>
          <w:rFonts w:ascii="Calibri" w:cs="Calibri" w:eastAsia="Calibri" w:hAnsi="Calibri"/>
          <w:b/>
          <w:bCs/>
          <w:sz w:val="21"/>
          <w:szCs w:val="21"/>
        </w:rPr>
        <w:t xml:space="preserve">No testing, logging/observability, or environment-separation requirements.</w:t>
      </w:r>
    </w:p>
    <w:p>
      <w:pPr>
        <w:spacing w:after="160"/>
        <w:ind w:left="360"/>
      </w:pPr>
      <w:r>
        <w:rPr>
          <w:rFonts w:ascii="Calibri" w:cs="Calibri" w:eastAsia="Calibri" w:hAnsi="Calibri"/>
          <w:color w:val="3A3A3A"/>
          <w:sz w:val="21"/>
          <w:szCs w:val="21"/>
        </w:rPr>
        <w:t xml:space="preserve">These matter more once Kubernetes is in play, not less.</w:t>
      </w:r>
    </w:p>
    <w:p>
      <w:pPr>
        <w:spacing w:after="60"/>
      </w:pPr>
      <w:r>
        <w:rPr>
          <w:rFonts w:ascii="Calibri" w:cs="Calibri" w:eastAsia="Calibri" w:hAnsi="Calibri"/>
          <w:b/>
          <w:bCs/>
          <w:color w:val="595959"/>
          <w:sz w:val="21"/>
          <w:szCs w:val="21"/>
        </w:rPr>
        <w:t xml:space="preserve">[LOW] </w:t>
      </w:r>
      <w:r>
        <w:rPr>
          <w:rFonts w:ascii="Calibri" w:cs="Calibri" w:eastAsia="Calibri" w:hAnsi="Calibri"/>
          <w:b/>
          <w:bCs/>
          <w:sz w:val="21"/>
          <w:szCs w:val="21"/>
        </w:rPr>
        <w:t xml:space="preserve">No responsive/mobile requirement.</w:t>
      </w:r>
    </w:p>
    <w:p>
      <w:pPr>
        <w:spacing w:after="160"/>
        <w:ind w:left="360"/>
      </w:pPr>
      <w:r>
        <w:rPr>
          <w:rFonts w:ascii="Calibri" w:cs="Calibri" w:eastAsia="Calibri" w:hAnsi="Calibri"/>
          <w:color w:val="3A3A3A"/>
          <w:sz w:val="21"/>
          <w:szCs w:val="21"/>
        </w:rPr>
        <w:t xml:space="preserve">Time tracking is a heavily mobile-driven use case; the frontend requirements say nothing about device support.</w:t>
      </w:r>
    </w:p>
    <w:p>
      <w:pPr>
        <w:pStyle w:val="Heading1"/>
        <w:spacing w:after="160" w:before="360"/>
      </w:pPr>
      <w:r>
        <w:rPr>
          <w:rFonts w:ascii="Calibri" w:cs="Calibri" w:eastAsia="Calibri" w:hAnsi="Calibri"/>
          <w:b/>
          <w:bCs/>
          <w:color w:val="1F3864"/>
          <w:sz w:val="30"/>
          <w:szCs w:val="30"/>
        </w:rPr>
        <w:t xml:space="preserve">Cross-Cutting Structural Recommendation</w:t>
      </w:r>
    </w:p>
    <w:p>
      <w:pPr>
        <w:spacing w:after="140"/>
      </w:pPr>
      <w:r>
        <w:rPr>
          <w:rFonts w:ascii="Calibri" w:cs="Calibri" w:eastAsia="Calibri" w:hAnsi="Calibri"/>
          <w:b w:val="false"/>
          <w:bCs w:val="false"/>
          <w:i w:val="false"/>
          <w:iCs w:val="false"/>
          <w:sz w:val="22"/>
          <w:szCs w:val="22"/>
        </w:rPr>
        <w:t xml:space="preserve">Every requirement in the current document is phrased as a flat “must,” with no priority tiering and no acceptance criteria. For Rev. 4, consider converting this into a MoSCoW-style (Must/Should/Could/Won't) table so implementation and QA can agree on what “done” means per item, and so the gaps identified here can be sequenced rather than treated as equally urgent.</w:t>
      </w:r>
    </w:p>
    <w:p>
      <w:pPr>
        <w:pStyle w:val="Heading1"/>
        <w:spacing w:after="160" w:before="360"/>
      </w:pPr>
      <w:r>
        <w:rPr>
          <w:rFonts w:ascii="Calibri" w:cs="Calibri" w:eastAsia="Calibri" w:hAnsi="Calibri"/>
          <w:b/>
          <w:bCs/>
          <w:color w:val="1F3864"/>
          <w:sz w:val="30"/>
          <w:szCs w:val="30"/>
        </w:rPr>
        <w:t xml:space="preserve">Suggested Next Steps</w:t>
      </w:r>
    </w:p>
    <w:p>
      <w:pPr>
        <w:pStyle w:val="ListParagraph"/>
        <w:numPr>
          <w:ilvl w:val="0"/>
          <w:numId w:val="2"/>
        </w:numPr>
        <w:spacing w:after="8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Resolve the five Critical items — they affect the core data model (rate resolution, invoice/time-record relationship, UID generation) and are expensive to retrofit after development starts.</w:t>
      </w:r>
    </w:p>
    <w:p>
      <w:pPr>
        <w:pStyle w:val="ListParagraph"/>
        <w:numPr>
          <w:ilvl w:val="0"/>
          <w:numId w:val="2"/>
        </w:numPr>
        <w:spacing w:after="8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Add the missing billing details to the client record and define the invoice numbering/status lifecycle before Section 4 is built.</w:t>
      </w:r>
    </w:p>
    <w:p>
      <w:pPr>
        <w:pStyle w:val="ListParagraph"/>
        <w:numPr>
          <w:ilvl w:val="0"/>
          <w:numId w:val="2"/>
        </w:numPr>
        <w:spacing w:after="8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Add a non-functional requirements section covering performance, uptime, backups, and security (encryption, JWT lifecycle) before Section 7 is finalized.</w:t>
      </w:r>
    </w:p>
    <w:p>
      <w:pPr>
        <w:pStyle w:val="ListParagraph"/>
        <w:numPr>
          <w:ilvl w:val="0"/>
          <w:numId w:val="2"/>
        </w:numPr>
        <w:spacing w:after="8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Reconvene with stakeholders to prioritize the High/Medium items into MVP vs. later phases using a MoSCoW pass over the full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2026-08-09T00:54:10.321Z</dcterms:created>
  <dcterms:modified xsi:type="dcterms:W3CDTF">2026-08-09T00:54:10.350Z</dcterms:modified>
</cp:coreProperties>
</file>

<file path=docProps/custom.xml><?xml version="1.0" encoding="utf-8"?>
<Properties xmlns="http://schemas.openxmlformats.org/officeDocument/2006/custom-properties" xmlns:vt="http://schemas.openxmlformats.org/officeDocument/2006/docPropsVTypes"/>
</file>