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l8kslb00hhj" w:id="0"/>
      <w:bookmarkEnd w:id="0"/>
      <w:r w:rsidDel="00000000" w:rsidR="00000000" w:rsidRPr="00000000">
        <w:rPr>
          <w:b w:val="1"/>
          <w:bCs w:val="1"/>
          <w:sz w:val="34"/>
          <w:szCs w:val="34"/>
          <w:rtl w:val="0"/>
        </w:rPr>
        <w:t xml:space="preserve">Expected Returns — Independent Validation Assessment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yth8zx2daoh" w:id="1"/>
      <w:bookmarkEnd w:id="1"/>
      <w:r w:rsidDel="00000000" w:rsidR="00000000" w:rsidRPr="00000000">
        <w:rPr>
          <w:b w:val="1"/>
          <w:bCs w:val="1"/>
          <w:color w:val="000000"/>
          <w:sz w:val="26"/>
          <w:szCs w:val="26"/>
          <w:rtl w:val="0"/>
        </w:rPr>
        <w:t xml:space="preserve">General Review of the Building Block Approach</w:t>
      </w:r>
    </w:p>
    <w:p w:rsidR="00000000" w:rsidDel="00000000" w:rsidP="00000000" w:rsidRDefault="00000000" w:rsidRPr="00000000" w14:paraId="00000003">
      <w:pPr>
        <w:spacing w:after="240" w:before="240" w:lineRule="auto"/>
        <w:rPr/>
      </w:pPr>
      <w:r w:rsidDel="00000000" w:rsidR="00000000" w:rsidRPr="00000000">
        <w:rPr>
          <w:rtl w:val="0"/>
        </w:rPr>
        <w:t xml:space="preserve">The Building Block Approach ("BBA") is an established methodology within the industry for the estimation of long-term strategic expected returns. Rather than forecasting total return directly, the approach decomposes expected return into discrete, economically-grounded components — typically an income component (e.g. yield), a growth component (e.g. earnings or GDP growth), and, in some formulations, a valuation-change component — which are estimated individually, usually from long-run historical or fundamental data, and summed to produce the total expected return.</w:t>
      </w:r>
    </w:p>
    <w:p w:rsidR="00000000" w:rsidDel="00000000" w:rsidP="00000000" w:rsidRDefault="00000000" w:rsidRPr="00000000" w14:paraId="00000004">
      <w:pPr>
        <w:spacing w:after="240" w:before="240" w:lineRule="auto"/>
        <w:rPr/>
      </w:pPr>
      <w:r w:rsidDel="00000000" w:rsidR="00000000" w:rsidRPr="00000000">
        <w:rPr>
          <w:rtl w:val="0"/>
        </w:rPr>
        <w:t xml:space="preserve">The rationale for this decomposition is well supported in the academic and practitioner literature. Individual components of return (e.g. dividend yield, GDP growth) are generally considered more stable and more tractable to estimate than total return forecast as a single figure, and the approach provides transparency into the drivers of the resulting return estimate, supporting explainability to stakeholders and governance committees. The BBA is also, by design, oriented toward long-run "steady-state" return expectations rather than short-term market timing, which is an appropriate characteristic for an input to a Strategic — as opposed to Tactical — Asset Allocation process; short-term valuation mean-reversion signals are typically excluded from BBA formulations for this reason.</w:t>
      </w:r>
    </w:p>
    <w:p w:rsidR="00000000" w:rsidDel="00000000" w:rsidP="00000000" w:rsidRDefault="00000000" w:rsidRPr="00000000" w14:paraId="00000005">
      <w:pPr>
        <w:spacing w:after="240" w:before="240" w:lineRule="auto"/>
        <w:rPr/>
      </w:pPr>
      <w:r w:rsidDel="00000000" w:rsidR="00000000" w:rsidRPr="00000000">
        <w:rPr>
          <w:rtl w:val="0"/>
        </w:rPr>
        <w:t xml:space="preserve">The BBA is not a single standardised methodology but a family of related approaches, with variation across providers in the specific components used and how they are combined (for example, Arnott's Yield + Growth + Valuation Change; Bogle's Dividend Yield + Earnings Growth + Expected P/E Change). This variation is not, in itself, a weakness, but it does mean that the appropriateness of any specific BBA implementation cannot be assessed against a single industry benchmark; rather, it must be assessed component-by-component, considering whether the specific blocks selected, their data sources, and their combination are individually defensible and collectively coherent for the asset classes in scope.</w:t>
      </w:r>
    </w:p>
    <w:p w:rsidR="00000000" w:rsidDel="00000000" w:rsidP="00000000" w:rsidRDefault="00000000" w:rsidRPr="00000000" w14:paraId="00000006">
      <w:pPr>
        <w:spacing w:after="240" w:before="240" w:lineRule="auto"/>
        <w:rPr/>
      </w:pPr>
      <w:r w:rsidDel="00000000" w:rsidR="00000000" w:rsidRPr="00000000">
        <w:rPr>
          <w:rtl w:val="0"/>
        </w:rPr>
        <w:t xml:space="preserve">A general limitation inherent to all BBA implementations, irrespective of the specific components selected, is that the approach — like any forecasting methodology — is contingent on historical relationships (e.g. between yield/growth and subsequent realised returns) continuing to hold over the forecast horizon; this is a structural limitation of the methodology class rather than an implementation-specific deficiency, and should be considered when interpreting model outputs and associated model risk, rather than treated as a deficiency to be remediated.</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qecp0dmjvcu9" w:id="2"/>
      <w:bookmarkEnd w:id="2"/>
      <w:r w:rsidDel="00000000" w:rsidR="00000000" w:rsidRPr="00000000">
        <w:rPr>
          <w:b w:val="1"/>
          <w:bCs w:val="1"/>
          <w:color w:val="000000"/>
          <w:sz w:val="26"/>
          <w:szCs w:val="26"/>
          <w:rtl w:val="0"/>
        </w:rPr>
        <w:t xml:space="preserve">Rationale for Excluding Historic Total Returns as a Forecasting Basis</w:t>
      </w:r>
    </w:p>
    <w:p w:rsidR="00000000" w:rsidDel="00000000" w:rsidP="00000000" w:rsidRDefault="00000000" w:rsidRPr="00000000" w14:paraId="00000008">
      <w:pPr>
        <w:spacing w:after="240" w:before="240" w:lineRule="auto"/>
        <w:rPr/>
      </w:pPr>
      <w:r w:rsidDel="00000000" w:rsidR="00000000" w:rsidRPr="00000000">
        <w:rPr>
          <w:rtl w:val="0"/>
        </w:rPr>
        <w:t xml:space="preserve">The documentation explicitly excludes historic total returns as a model of forward-looking expected returns, citing low predictive power. In support of this, the Bank presents annualised total returns for its equity indices across the 2000–2010 and 2010–2020 decades, showing substantial variation between the two periods — most notably a 15.9 percentage point swing for US equities (from -0.7% to +15.1%), alongside material swings for the UK, Japan, and other regions. The document further notes that an allocation process reliant on 2000–2010 historic returns would have assigned zero weight to the US and Japan going into the following decade, immediately ahead of both markets delivering strong performance — illustrating the practical consequence of relying on trailing returns for a forward-looking, long-horizon allocation.</w:t>
      </w:r>
    </w:p>
    <w:p w:rsidR="00000000" w:rsidDel="00000000" w:rsidP="00000000" w:rsidRDefault="00000000" w:rsidRPr="00000000" w14:paraId="00000009">
      <w:pPr>
        <w:spacing w:after="240" w:before="240" w:lineRule="auto"/>
        <w:rPr/>
      </w:pPr>
      <w:r w:rsidDel="00000000" w:rsidR="00000000" w:rsidRPr="00000000">
        <w:rPr>
          <w:rtl w:val="0"/>
        </w:rPr>
        <w:t xml:space="preserve">This argument is considered reasonable. Trailing historic returns are widely recognised in the academic literature as a weak predictor of subsequent-period returns, particularly at the asset-class level and over decade-length horizons, where returns are heavily influenced by the starting and ending valuation levels of the period measured rather than by any persistent, forecastable characteristic of the asset class. The specific example cited is a valid and intuitive illustration of this weakness, and the resulting design choice — to build expected returns from more stable, fundamentally-grounded components (yield, growth, risk-free rate) rather than extrapolating trailing performance — is consistent with the broader practitioner consensus on long-term return forecasting.</w:t>
      </w:r>
    </w:p>
    <w:p w:rsidR="00000000" w:rsidDel="00000000" w:rsidP="00000000" w:rsidRDefault="00000000" w:rsidRPr="00000000" w14:paraId="0000000A">
      <w:pPr>
        <w:spacing w:after="240" w:before="240" w:lineRule="auto"/>
        <w:rPr/>
      </w:pPr>
      <w:r w:rsidDel="00000000" w:rsidR="00000000" w:rsidRPr="00000000">
        <w:rPr>
          <w:rtl w:val="0"/>
        </w:rPr>
        <w:t xml:space="preserve">One point worth noting for completeness: excluding historic total returns as a </w:t>
      </w:r>
      <w:r w:rsidDel="00000000" w:rsidR="00000000" w:rsidRPr="00000000">
        <w:rPr>
          <w:i w:val="1"/>
          <w:iCs w:val="1"/>
          <w:rtl w:val="0"/>
        </w:rPr>
        <w:t xml:space="preserve">direct</w:t>
      </w:r>
      <w:r w:rsidDel="00000000" w:rsidR="00000000" w:rsidRPr="00000000">
        <w:rPr>
          <w:rtl w:val="0"/>
        </w:rPr>
        <w:t xml:space="preserve"> forecasting input does not fully remove reliance on historical data — several BBA components (e.g. historic dividend yield, historic GDP growth, used as inputs to the blocks themselves) are still historically derived, and the Historic Volatility Approach used to blend with the BBA reintroduces a historical risk/return relationship at a later stage. The distinction the Bank draws is therefore more precise than "no reliance on history" — it is specifically the exclusion of trailing </w:t>
      </w:r>
      <w:r w:rsidDel="00000000" w:rsidR="00000000" w:rsidRPr="00000000">
        <w:rPr>
          <w:i w:val="1"/>
          <w:iCs w:val="1"/>
          <w:rtl w:val="0"/>
        </w:rPr>
        <w:t xml:space="preserve">total return</w:t>
      </w:r>
      <w:r w:rsidDel="00000000" w:rsidR="00000000" w:rsidRPr="00000000">
        <w:rPr>
          <w:rtl w:val="0"/>
        </w:rPr>
        <w:t xml:space="preserve"> as a naïve extrapolative forecast, which is the correct and narrower claim to assess, and one the evidence presented reasonably supports.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ysva2kaobrrw" w:id="3"/>
      <w:bookmarkEnd w:id="3"/>
      <w:r w:rsidDel="00000000" w:rsidR="00000000" w:rsidRPr="00000000">
        <w:rPr>
          <w:b w:val="1"/>
          <w:bCs w:val="1"/>
          <w:sz w:val="34"/>
          <w:szCs w:val="34"/>
          <w:rtl w:val="0"/>
        </w:rPr>
        <w:t xml:space="preserve">2.6.x Building Block Approach — Core Specification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p69g22293gkl" w:id="4"/>
      <w:bookmarkEnd w:id="4"/>
      <w:r w:rsidDel="00000000" w:rsidR="00000000" w:rsidRPr="00000000">
        <w:rPr>
          <w:b w:val="1"/>
          <w:bCs w:val="1"/>
          <w:color w:val="000000"/>
          <w:sz w:val="26"/>
          <w:szCs w:val="26"/>
          <w:rtl w:val="0"/>
        </w:rPr>
        <w:t xml:space="preserve">Description</w:t>
      </w:r>
    </w:p>
    <w:p w:rsidR="00000000" w:rsidDel="00000000" w:rsidP="00000000" w:rsidRDefault="00000000" w:rsidRPr="00000000" w14:paraId="0000000E">
      <w:pPr>
        <w:spacing w:after="240" w:before="240" w:lineRule="auto"/>
        <w:rPr/>
      </w:pPr>
      <w:r w:rsidDel="00000000" w:rsidR="00000000" w:rsidRPr="00000000">
        <w:rPr>
          <w:rtl w:val="0"/>
        </w:rPr>
        <w:t xml:space="preserve">The Bank's core BBA formula, applied consistently (with asset-class-specific adaptations) across the asset universe, is: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Risk-Free Rate + Income Return + Real Earnings Growth</w:t>
      </w:r>
    </w:p>
    <w:p w:rsidR="00000000" w:rsidDel="00000000" w:rsidP="00000000" w:rsidRDefault="00000000" w:rsidRPr="00000000" w14:paraId="00000010">
      <w:pPr>
        <w:spacing w:after="240" w:before="240" w:lineRule="auto"/>
        <w:rPr/>
      </w:pPr>
      <w:r w:rsidDel="00000000" w:rsidR="00000000" w:rsidRPr="00000000">
        <w:rPr>
          <w:rtl w:val="0"/>
        </w:rPr>
        <w:t xml:space="preserve">For equities specifically, this base formula is extended with two further components — a Small Cap Premium and an FX Change adjustment — bringing the full equity formula to five components. The three core blocks, however, form the foundation applied (in adapted form) across equities, fixed income, and property.</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Rationale, as documented:</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Risk-Free Rate</w:t>
      </w:r>
      <w:r w:rsidDel="00000000" w:rsidR="00000000" w:rsidRPr="00000000">
        <w:rPr>
          <w:rtl w:val="0"/>
        </w:rPr>
        <w:t xml:space="preserve"> anchors the estimate to the prevailing cost of capital / time value of money in each local market, using the historic 10-year government bond yield (1-year median) rather than short-term cash rates, on the basis that the 10-year yield captures a term premium for unexpected or variable inflation.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Income Return</w:t>
      </w:r>
      <w:r w:rsidDel="00000000" w:rsidR="00000000" w:rsidRPr="00000000">
        <w:rPr>
          <w:rtl w:val="0"/>
        </w:rPr>
        <w:t xml:space="preserve"> captures the cash yield investors currently earn (dividend yield for equities, option-adjusted spread for credit, etc.), using a 20-year median to reflect a "steady-state" premium.</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Real Earnings Growth</w:t>
      </w:r>
      <w:r w:rsidDel="00000000" w:rsidR="00000000" w:rsidRPr="00000000">
        <w:rPr>
          <w:rtl w:val="0"/>
        </w:rPr>
        <w:t xml:space="preserve"> is intended to capture the growth in underlying corporate profitability, proxied using historic real GDP growth (20-year median) on the logic that corporate profit growth, over the long run, transforms into share price growth.</w:t>
      </w:r>
    </w:p>
    <w:p w:rsidR="00000000" w:rsidDel="00000000" w:rsidP="00000000" w:rsidRDefault="00000000" w:rsidRPr="00000000" w14:paraId="00000015">
      <w:pPr>
        <w:spacing w:after="240" w:before="240" w:lineRule="auto"/>
        <w:rPr/>
      </w:pPr>
      <w:r w:rsidDel="00000000" w:rsidR="00000000" w:rsidRPr="00000000">
        <w:rPr>
          <w:rtl w:val="0"/>
        </w:rPr>
        <w:t xml:space="preserve">This three-part structure is consistent with the broader BBA literature referenced earlier (e.g. Bogle's Dividend Yield + Earnings Growth + P/E Change), though — as addressed below — it notably omits the third, valuation-based term that several established BBA variants include.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eoc9tvkq4as" w:id="5"/>
      <w:bookmarkEnd w:id="5"/>
      <w:r w:rsidDel="00000000" w:rsidR="00000000" w:rsidRPr="00000000">
        <w:rPr>
          <w:b w:val="1"/>
          <w:bCs w:val="1"/>
          <w:color w:val="000000"/>
          <w:sz w:val="26"/>
          <w:szCs w:val="26"/>
          <w:rtl w:val="0"/>
        </w:rPr>
        <w:t xml:space="preserve">Validator Commentary — Challenges to This Specification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1. Omission of an explicit valuation / repricing component.</w:t>
      </w:r>
      <w:r w:rsidDel="00000000" w:rsidR="00000000" w:rsidRPr="00000000">
        <w:rPr>
          <w:rtl w:val="0"/>
        </w:rPr>
        <w:t xml:space="preserve"> Several of the external BBA frameworks the Bank references in its own documentation (Arnott's Yield + Growth + Valuation Change; Bogle's Dividend Yield + Earnings Growth + Expected P/E Change) include a third component explicitly capturing valuation level or expected repricing. The Bank's core formula excludes this, on the stated basis that valuation reversion is instead captured within the Tactical Asset Allocation ("TAA") process. This is a defensible design choice — SAA is intended to represent long-run "steady-state" allocation rather than valuation-timing — however, it is not without cost: to the extent that starting valuation levels have historically shown some explanatory power for </w:t>
      </w:r>
      <w:r w:rsidDel="00000000" w:rsidR="00000000" w:rsidRPr="00000000">
        <w:rPr>
          <w:i w:val="1"/>
          <w:iCs w:val="1"/>
          <w:rtl w:val="0"/>
        </w:rPr>
        <w:t xml:space="preserve">subsequent long-horizon</w:t>
      </w:r>
      <w:r w:rsidDel="00000000" w:rsidR="00000000" w:rsidRPr="00000000">
        <w:rPr>
          <w:rtl w:val="0"/>
        </w:rPr>
        <w:t xml:space="preserve"> returns (i.e. not purely a short-term/tactical signal), excluding this from the SAA-level expected return entirely, rather than partially, may leave a structural blind spot in the SAA return estimate that TAA is not designed, or sized, to fully correct. This allocation-of-responsibility between SAA and TAA would benefit from further explanation as to why valuation is treated as </w:t>
      </w:r>
      <w:r w:rsidDel="00000000" w:rsidR="00000000" w:rsidRPr="00000000">
        <w:rPr>
          <w:i w:val="1"/>
          <w:iCs w:val="1"/>
          <w:rtl w:val="0"/>
        </w:rPr>
        <w:t xml:space="preserve">entirely</w:t>
      </w:r>
      <w:r w:rsidDel="00000000" w:rsidR="00000000" w:rsidRPr="00000000">
        <w:rPr>
          <w:rtl w:val="0"/>
        </w:rPr>
        <w:t xml:space="preserve"> tactical rather than partially strategic.</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2. Use of real GDP growth as a direct proxy for real earnings growth.</w:t>
      </w:r>
      <w:r w:rsidDel="00000000" w:rsidR="00000000" w:rsidRPr="00000000">
        <w:rPr>
          <w:rtl w:val="0"/>
        </w:rPr>
        <w:t xml:space="preserve"> The documentation itself discloses several assumptions underpinning this substitution — a constant share of corporate profits in the economy, constant valuation multiples, domestic-only company listings, and a closed economy — and separately acknowledges that the latter two are "less relevant" given optimization occurs at the composite (not regional) level. However, the </w:t>
      </w:r>
      <w:r w:rsidDel="00000000" w:rsidR="00000000" w:rsidRPr="00000000">
        <w:rPr>
          <w:i w:val="1"/>
          <w:iCs w:val="1"/>
          <w:rtl w:val="0"/>
        </w:rPr>
        <w:t xml:space="preserve">first</w:t>
      </w:r>
      <w:r w:rsidDel="00000000" w:rsidR="00000000" w:rsidRPr="00000000">
        <w:rPr>
          <w:rtl w:val="0"/>
        </w:rPr>
        <w:t xml:space="preserve"> assumption — a constant profit share of GDP — is not similarly caveated, despite being the more material and more commonly challenged assumption in the academic literature (corporate earnings growth has, over various historical periods, diverged materially from GDP growth due to factors such as margin expansion, globalisation of revenue sources, and share buyback activity reducing share count independent of GDP). The Bank does not appear to have tested or quantified the historic divergence between real GDP growth and real earnings growth for the markets in scope, which would help establish the materiality of this proxy's error.</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3. Potential nominal/real inconsistency across components.</w:t>
      </w:r>
      <w:r w:rsidDel="00000000" w:rsidR="00000000" w:rsidRPr="00000000">
        <w:rPr>
          <w:rtl w:val="0"/>
        </w:rPr>
        <w:t xml:space="preserve"> The Risk-Free Rate and Income Return components are nominal (derived from nominal bond yields and nominal income yields), while the Real Earnings Growth component is explicitly real (deflated). Summing a real growth term directly into an otherwise nominal formula, without an explicit inflation add-back, risks either a mismatched estimate (if the intent was to construct a nominal expected return) or an ambiguity in interpretation of what the final "Expected Return BBA (Total)" figure actually represents (nominal or partially-real). This is a technical point rather than a substantive concern with the block choice itself, but merits clarification from the model owner to confirm the treatment is deliberate and consistently applied across all asset classes.</w:t>
      </w:r>
    </w:p>
    <w:p w:rsidR="00000000" w:rsidDel="00000000" w:rsidP="00000000" w:rsidRDefault="00000000" w:rsidRPr="00000000" w14:paraId="0000001A">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8.4316246183514"/>
        <w:gridCol w:w="2187.305158283786"/>
        <w:gridCol w:w="1980.0867748674275"/>
        <w:gridCol w:w="3499.688253254058"/>
        <w:tblGridChange w:id="0">
          <w:tblGrid>
            <w:gridCol w:w="1358.4316246183514"/>
            <w:gridCol w:w="2187.305158283786"/>
            <w:gridCol w:w="1980.0867748674275"/>
            <w:gridCol w:w="3499.68825325405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Assumption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Summary of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Rationale / Justification</w:t>
            </w: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Core BBA formula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Expected Return = Risk-Free Rate + Income Return + Real Earnings Growth, applied (in adapted form) across asset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Reflects an established building-block methodology; each component is individually more tractable to estimate than total return, and the structure provides transparency into return drivers</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Exclusion of historic total returns as forecast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Trailing historic total returns are not used to forecast future returns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Documented evidence (2000–2010 vs 2010–2020 equity returns) shows historic returns have low predictive power over subsequent decades; a trailing-return-based approach would have misallocated away from the US and Japan ahead of strong subsequent performance</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Exclusion of valuation/repricing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The core formula excludes a valuation-change or repricing term, unlike some external BBA variants (e.g. Arnott, Bogle)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Valuation reversion is treated as a highly volatile, shorter-horizon signal, and is instead captured separately within the Tactical Asset Allocation (TAA) process, keeping SAA focused on long-run "steady-state" returns</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A4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Annual refresh 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Expected return inputs are refreshed annually, ahead of SAA re-optimisation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Balances timeliness with the desire for a slow-moving, stable strategic allocation; larger, more frequent shifts are expected to occur within TAA rather than SAA</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Use of median rather than mean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All historic inputs (risk-free rate, income return, real earnings growth) use the median, not the mean, of the lookback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Median strips out the effect of outliers and skew in the data (e.g. crashes or bubbles), better reflecting a "steady state"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Risk-free rate proxy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Risk-free rate is defined as the local 10-year government bond yield, not the short-term cash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The 10-year yield captures a term premium for unexpected/variable inflation, which a short-term cash rate would not reflect</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A7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1-year median lookback for risk-free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Risk-free rate uses a 1-year historic median, rather than current spot yield or a longer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Reflects current market conditions while avoiding "pin-drop risk" (undue sensitivity to the specific calculation date); a longer window (e.g. 20-year) risked anchoring to a stale interest rate regime</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20-year median lookback for income return and real earnings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Income return and real earnings growth use a 20-year historic 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Intended to capture multiple market cycles without spanning materially different economic paradigms, producing a "steady-state" risk premium; also the longest period for which data is available consistently across all inputs</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A9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Real GDP growth as proxy for real earnings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Historic real GDP growth is used to represent real earnings growth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Based on the premise that corporate profit growth, over the long run, transforms into share price growth; documented as resting on several simplifying assumptions (constant profit share of GDP, constant valuation multiples, domestic-only company listings, closed economy)</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Blending with Historic Volatility Approach (HVA)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Final expected return is a blend of the BBA output and a second, historic-volatility-regressed return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Intended to dampen reliance on the BBA forecast alone and incorporate the empirical power of historic volatility in predicting future volatility/return relationships</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8v258bbl8zee" w:id="6"/>
      <w:bookmarkEnd w:id="6"/>
      <w:r w:rsidDel="00000000" w:rsidR="00000000" w:rsidRPr="00000000">
        <w:rPr>
          <w:b w:val="1"/>
          <w:bCs w:val="1"/>
          <w:sz w:val="34"/>
          <w:szCs w:val="34"/>
          <w:rtl w:val="0"/>
        </w:rPr>
        <w:t xml:space="preserve">2.6.y Asset-Class Specific Building Blocks — Fixed Income, Property, Gold, Hedge Funds, Cash and Inflation</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pip6jg45eyx4" w:id="7"/>
      <w:bookmarkEnd w:id="7"/>
      <w:r w:rsidDel="00000000" w:rsidR="00000000" w:rsidRPr="00000000">
        <w:rPr>
          <w:b w:val="1"/>
          <w:bCs w:val="1"/>
          <w:color w:val="000000"/>
          <w:sz w:val="26"/>
          <w:szCs w:val="26"/>
          <w:rtl w:val="0"/>
        </w:rPr>
        <w:t xml:space="preserve">Description</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Fixed Income</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Expected return = Risk-Free Rate + Risky Income Return + FX Change + FX Hedging Gain/(Cost) − Defaults</w:t>
      </w:r>
    </w:p>
    <w:p w:rsidR="00000000" w:rsidDel="00000000" w:rsidP="00000000" w:rsidRDefault="00000000" w:rsidRPr="00000000" w14:paraId="0000004D">
      <w:pPr>
        <w:numPr>
          <w:ilvl w:val="0"/>
          <w:numId w:val="6"/>
        </w:numPr>
        <w:spacing w:after="0" w:afterAutospacing="0" w:before="240" w:lineRule="auto"/>
        <w:ind w:left="720" w:hanging="360"/>
      </w:pPr>
      <w:r w:rsidDel="00000000" w:rsidR="00000000" w:rsidRPr="00000000">
        <w:rPr>
          <w:rtl w:val="0"/>
        </w:rPr>
        <w:t xml:space="preserve">Risk-Free Rate: local market historic risk-free rate, 1-year median.</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Risky Income Return: historic option-adjusted spread (local market), 20-year median.</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rtl w:val="0"/>
        </w:rPr>
        <w:t xml:space="preserve">FX Change: covered interest rate parity (UK risk-free rate less local risk-free rate), 1-year median.</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FX Hedging Gain/(Cost): approximated as the difference between UK and local 1-month LIBOR, 1-year median, applied where indices are GBP-hedged.</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Defaults: historic default rate multiplied by loss-given-default, and by income, both using 20-year data (S&amp;P for default rate, JPMorgan for loss-given-default).</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For UK Inflation-Linked Gilts specifically, the risk-free rate is proxied using the risk-free rate calculated for UK Conventional Gilts.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Property</w:t>
      </w:r>
    </w:p>
    <w:p w:rsidR="00000000" w:rsidDel="00000000" w:rsidP="00000000" w:rsidRDefault="00000000" w:rsidRPr="00000000" w14:paraId="00000054">
      <w:pPr>
        <w:spacing w:after="240" w:before="240" w:lineRule="auto"/>
        <w:rPr/>
      </w:pPr>
      <w:r w:rsidDel="00000000" w:rsidR="00000000" w:rsidRPr="00000000">
        <w:rPr>
          <w:rtl w:val="0"/>
        </w:rPr>
        <w:t xml:space="preserve">Expected return = Risk-Free Rate + Income Return</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Risk-Free Rate: local 10-year bond yield, 1-year median.</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Income Return: historic dividend yield, 20-year median (MSCI).</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Gold</w:t>
      </w:r>
    </w:p>
    <w:p w:rsidR="00000000" w:rsidDel="00000000" w:rsidP="00000000" w:rsidRDefault="00000000" w:rsidRPr="00000000" w14:paraId="00000058">
      <w:pPr>
        <w:spacing w:after="240" w:before="240" w:lineRule="auto"/>
        <w:rPr/>
      </w:pPr>
      <w:r w:rsidDel="00000000" w:rsidR="00000000" w:rsidRPr="00000000">
        <w:rPr>
          <w:rtl w:val="0"/>
        </w:rPr>
        <w:t xml:space="preserve">Expected return = Risk-Free Rate + FX Hedging Gain/(Cost)</w:t>
      </w:r>
    </w:p>
    <w:p w:rsidR="00000000" w:rsidDel="00000000" w:rsidP="00000000" w:rsidRDefault="00000000" w:rsidRPr="00000000" w14:paraId="00000059">
      <w:pPr>
        <w:numPr>
          <w:ilvl w:val="0"/>
          <w:numId w:val="4"/>
        </w:numPr>
        <w:spacing w:after="240" w:before="240" w:lineRule="auto"/>
        <w:ind w:left="720" w:hanging="360"/>
      </w:pPr>
      <w:r w:rsidDel="00000000" w:rsidR="00000000" w:rsidRPr="00000000">
        <w:rPr>
          <w:rtl w:val="0"/>
        </w:rPr>
        <w:t xml:space="preserve">As gold generates no income, it is assumed to earn the risk-free rate, net of hedging costs, with no additional risk premium applied.</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Hedge Funds</w:t>
      </w:r>
    </w:p>
    <w:p w:rsidR="00000000" w:rsidDel="00000000" w:rsidP="00000000" w:rsidRDefault="00000000" w:rsidRPr="00000000" w14:paraId="0000005B">
      <w:pPr>
        <w:spacing w:after="240" w:before="240" w:lineRule="auto"/>
        <w:rPr/>
      </w:pPr>
      <w:r w:rsidDel="00000000" w:rsidR="00000000" w:rsidRPr="00000000">
        <w:rPr>
          <w:rtl w:val="0"/>
        </w:rPr>
        <w:t xml:space="preserve">Expected return = Historic Total Return (20-year, HFRX)</w:t>
      </w:r>
    </w:p>
    <w:p w:rsidR="00000000" w:rsidDel="00000000" w:rsidP="00000000" w:rsidRDefault="00000000" w:rsidRPr="00000000" w14:paraId="0000005C">
      <w:pPr>
        <w:numPr>
          <w:ilvl w:val="0"/>
          <w:numId w:val="7"/>
        </w:numPr>
        <w:spacing w:after="240" w:before="240" w:lineRule="auto"/>
        <w:ind w:left="720" w:hanging="360"/>
      </w:pPr>
      <w:r w:rsidDel="00000000" w:rsidR="00000000" w:rsidRPr="00000000">
        <w:rPr>
          <w:rtl w:val="0"/>
        </w:rPr>
        <w:t xml:space="preserve">The documentation states that, because hedge funds encompass a broad range of underlying strategies, no consistent fundamental return decomposition is available; an exception to the BBA is therefore made, using historic returns directly as the return proxy.</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Cash</w:t>
      </w:r>
    </w:p>
    <w:p w:rsidR="00000000" w:rsidDel="00000000" w:rsidP="00000000" w:rsidRDefault="00000000" w:rsidRPr="00000000" w14:paraId="0000005E">
      <w:pPr>
        <w:spacing w:after="240" w:before="240" w:lineRule="auto"/>
        <w:rPr/>
      </w:pPr>
      <w:r w:rsidDel="00000000" w:rsidR="00000000" w:rsidRPr="00000000">
        <w:rPr>
          <w:rtl w:val="0"/>
        </w:rPr>
        <w:t xml:space="preserve">Expected return = Risk-Free Rate (historic 1-month GBP LIBOR, 1-year median)</w:t>
      </w:r>
    </w:p>
    <w:p w:rsidR="00000000" w:rsidDel="00000000" w:rsidP="00000000" w:rsidRDefault="00000000" w:rsidRPr="00000000" w14:paraId="0000005F">
      <w:pPr>
        <w:numPr>
          <w:ilvl w:val="0"/>
          <w:numId w:val="2"/>
        </w:numPr>
        <w:spacing w:after="240" w:before="240" w:lineRule="auto"/>
        <w:ind w:left="720" w:hanging="360"/>
      </w:pPr>
      <w:r w:rsidDel="00000000" w:rsidR="00000000" w:rsidRPr="00000000">
        <w:rPr>
          <w:rtl w:val="0"/>
        </w:rPr>
        <w:t xml:space="preserve">Methodologically identical to the risk-free rate calculation used elsewhere, substituting 1-month GBP LIBOR for a government bond yield.</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Inflation</w:t>
      </w:r>
    </w:p>
    <w:p w:rsidR="00000000" w:rsidDel="00000000" w:rsidP="00000000" w:rsidRDefault="00000000" w:rsidRPr="00000000" w14:paraId="00000061">
      <w:pPr>
        <w:spacing w:after="240" w:before="240" w:lineRule="auto"/>
        <w:rPr/>
      </w:pPr>
      <w:r w:rsidDel="00000000" w:rsidR="00000000" w:rsidRPr="00000000">
        <w:rPr>
          <w:rtl w:val="0"/>
        </w:rPr>
        <w:t xml:space="preserve">Expected return = Risk-Free Rate (historic 1-month GBP LIBOR, 1-year median)</w:t>
      </w:r>
    </w:p>
    <w:p w:rsidR="00000000" w:rsidDel="00000000" w:rsidP="00000000" w:rsidRDefault="00000000" w:rsidRPr="00000000" w14:paraId="00000062">
      <w:pPr>
        <w:numPr>
          <w:ilvl w:val="0"/>
          <w:numId w:val="5"/>
        </w:numPr>
        <w:spacing w:after="240" w:before="240" w:lineRule="auto"/>
        <w:ind w:left="720" w:hanging="360"/>
      </w:pPr>
      <w:r w:rsidDel="00000000" w:rsidR="00000000" w:rsidRPr="00000000">
        <w:rPr>
          <w:rtl w:val="0"/>
        </w:rPr>
        <w:t xml:space="preserve">The expected inflation assumption is set equal to the cash assumption, implying an assumed real return on cash of zero. The documentation acknowledges this is a contested position in finance generally, but notes the UK has delivered a real rate fluctuating around zero over the last decade, which it treats as supportive of the assumption under current market conditions.</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q11wuvlmtfa8" w:id="8"/>
      <w:bookmarkEnd w:id="8"/>
      <w:r w:rsidDel="00000000" w:rsidR="00000000" w:rsidRPr="00000000">
        <w:rPr>
          <w:b w:val="1"/>
          <w:bCs w:val="1"/>
          <w:color w:val="000000"/>
          <w:sz w:val="26"/>
          <w:szCs w:val="26"/>
          <w:rtl w:val="0"/>
        </w:rPr>
        <w:t xml:space="preserve">Validator Commentary</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1. Hedge Funds reintroduces the very methodology the Bank explicitly rejected elsewhere.</w:t>
      </w:r>
      <w:r w:rsidDel="00000000" w:rsidR="00000000" w:rsidRPr="00000000">
        <w:rPr>
          <w:rtl w:val="0"/>
        </w:rPr>
        <w:t xml:space="preserve"> Section 2.6's own stated rationale for excluding historic total returns as a forecasting basis — evidenced by the 2000–2010 vs 2010–2020 equity comparison — is directly contradicted by the Hedge Funds methodology, which uses trailing 20-year historic returns as the sole return estimate. The documentation's justification (no consistent fundamental decomposition available) is a reasonable practical constraint, but it is not addressed why this constraint could not be partially mitigated (e.g. a shorter lookback, a fundamental proxy such as a cash-plus-spread approach, or a blended treatment similar to BBA/HVA elsewhere). This inconsistency between asset classes should be explicitly acknowledged and justified by the model owner rather than left implicit.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2. Property excludes a growth component entirely.</w:t>
      </w:r>
      <w:r w:rsidDel="00000000" w:rsidR="00000000" w:rsidRPr="00000000">
        <w:rPr>
          <w:rtl w:val="0"/>
        </w:rPr>
        <w:t xml:space="preserve"> Unlike equities, which include a Real Earnings Growth block, the Property formula consists only of Risk-Free Rate + Income Return, with no analogous growth term (e.g. rental growth or capital appreciation). Given real estate returns are commonly decomposed into income return and capital growth in both academic and industry practice, this appears to be a structural omission rather than a deliberate simplification, and the resulting expected return may be systematically understated relative to a full income-plus-growth decomposition. This warrants clarification from the model owner.</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3. Gold is assumed to earn only the risk-free rate, with no risk premium or inflation-hedge characteristic reflected.</w:t>
      </w:r>
      <w:r w:rsidDel="00000000" w:rsidR="00000000" w:rsidRPr="00000000">
        <w:rPr>
          <w:rtl w:val="0"/>
        </w:rPr>
        <w:t xml:space="preserve"> Gold is commonly viewed by market participants as a tail-risk or inflation hedge, and has, over some historical periods, exhibited returns distinct from a pure risk-free proxy. Treating gold as risk-free-rate-equivalent net of hedging cost is a simplifying and conservative assumption, but it may not adequately reflect gold's role or observed behaviour within a diversified portfolio, and the rationale for omitting any premium (positive or negative) merits further explanation.</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4. Fixed Income combines a 1-year lookback (risk-free rate, FX change, hedging cost) with a 20-year lookback (income spread, defaults) within a single formula.</w:t>
      </w:r>
      <w:r w:rsidDel="00000000" w:rsidR="00000000" w:rsidRPr="00000000">
        <w:rPr>
          <w:rtl w:val="0"/>
        </w:rPr>
        <w:t xml:space="preserve"> This mirrors the lookback inconsistency already raised in relation to Expected Yield (Section 2.4) and the core BBA (Assumptions A7/A8), now recurring within a single asset class's own formula. The compounding of short- and long-window inputs into one output warrants a consolidated response from the model owner covering all instances, rather than being addressed piecemeal by asset class.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5. The default-adjustment treatment in Fixed Income has an internal logic that would benefit from clarification.</w:t>
      </w:r>
      <w:r w:rsidDel="00000000" w:rsidR="00000000" w:rsidRPr="00000000">
        <w:rPr>
          <w:rtl w:val="0"/>
        </w:rPr>
        <w:t xml:space="preserve"> Defaults are calculated as historic default rate × loss-given-default × income, using long-term (20-year) data, while the Risky Income Return (option-adjusted spread) it is netted against is also a long-term measure. It is not clear from the documentation whether the option-adjusted spread already partially prices in expected default risk (as OAS conventionally does), in which case subtracting a separately-modelled default cost could result in double-counting. This should be confirmed with the model owner.</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xejgd1itx8" w:id="9"/>
      <w:bookmarkEnd w:id="9"/>
      <w:r w:rsidDel="00000000" w:rsidR="00000000" w:rsidRPr="00000000">
        <w:rPr>
          <w:b w:val="1"/>
          <w:bCs w:val="1"/>
          <w:sz w:val="34"/>
          <w:szCs w:val="34"/>
          <w:rtl w:val="0"/>
        </w:rPr>
        <w:t xml:space="preserve">Asset-Class Specific Assumptions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3.942463126903"/>
        <w:gridCol w:w="1756.3655179882953"/>
        <w:gridCol w:w="2363.277162947602"/>
        <w:gridCol w:w="3521.9266669608232"/>
        <w:tblGridChange w:id="0">
          <w:tblGrid>
            <w:gridCol w:w="1383.942463126903"/>
            <w:gridCol w:w="1756.3655179882953"/>
            <w:gridCol w:w="2363.277162947602"/>
            <w:gridCol w:w="3521.926666960823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Assumption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Summary of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Rationale / Justification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B1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Fixed Income — risky income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Historic option-adjusted spread (local market), 20-year 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Reflects a "steady-state" credit/risk premium over the risk-free rate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B2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Fixed Income — FX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Covered interest rate parity (UK risk-free rate less local risk-free rate), 1-year 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Assumes currency movements are offset by relative risk-free rate differentials between markets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B3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Fixed Income — hedging gain/cost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Approximated as UK 1-month LIBOR less local 1-month LIBOR, 1-year 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Simplified proxy for the cost/benefit of GBP-hedging non-GBP fixed income exposure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B4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Fixed Income — default adjustment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Historic default rate × loss-given-default × income, 20-year data (S&amp;P, JPMorgan)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Reduces expected return to reflect expected credit losses over the long run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B5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Fixed Income — UK IL Gilts risk-free rate proxy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UK Inflation-Linked Gilts use the same risk-free rate as UK Conventional Gilts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Practical proxy in the absence of a distinct real risk-free rate input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B6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Property — formula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Risk-Free Rate + Income Return only, no growth 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No explicit rationale documented for the absence of a growth/appreciation term</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B7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Gold — return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Assumed equal to Risk-Free Rate net of hedging cost, no additional 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Gold is non-income-generating; simplifying assumption that it earns a risk-free-equivalent return</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B8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Hedge Funds — historic return proxy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Historic total return, 20-year, HFRX, used directly as expected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Exception to the BBA methodology; no consistent fundamental decomposition available across the range of hedge fund strategies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B9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Cash — risk-free rate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Historic 1-month GBP LIBOR, 1-year 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Same methodology as other risk-free rate inputs, substituting a short-term reference rate appropriate for cash</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B10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Inflation — assumption 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Set equal to the cash assumption (1-month GBP LIBOR, 1-year median)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Assumes a real cash return of zero; documented as contested in principle but broadly consistent with realised UK real yields over the last decade</w:t>
            </w:r>
          </w:p>
        </w:tc>
      </w:tr>
    </w:tbl>
    <w:p w:rsidR="00000000" w:rsidDel="00000000" w:rsidP="00000000" w:rsidRDefault="00000000" w:rsidRPr="00000000" w14:paraId="00000097">
      <w:pPr>
        <w:spacing w:after="240" w:before="240" w:lineRule="auto"/>
        <w:rPr/>
      </w:pPr>
      <w:r w:rsidDel="00000000" w:rsidR="00000000" w:rsidRPr="00000000">
        <w:rPr>
          <w:rtl w:val="0"/>
        </w:rPr>
        <w:t xml:space="preserve">Ready to move to the equity-specific components (Small Cap Premium and FX Change) when you'd like.</w:t>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