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left"/>
      </w:pPr>
      <w:r>
        <w:rPr>
          <w:rFonts w:ascii="Aptos Display" w:hAnsi="Aptos Display" w:eastAsia="Aptos Display"/>
          <w:b/>
          <w:color w:val="159A9C"/>
          <w:sz w:val="32"/>
        </w:rPr>
        <w:t>REHAVID S.A.S.</w:t>
      </w:r>
    </w:p>
    <w:p>
      <w:pPr>
        <w:pStyle w:val="Title"/>
        <w:spacing w:before="700"/>
      </w:pPr>
      <w:r>
        <w:rPr>
          <w:rFonts w:ascii="Aptos Display" w:hAnsi="Aptos Display" w:eastAsia="Aptos Display"/>
          <w:b/>
          <w:color w:val="4B2E83"/>
          <w:sz w:val="54"/>
        </w:rPr>
        <w:t>Documento técnico maestro para una app de modulación financiera</w:t>
      </w:r>
    </w:p>
    <w:p>
      <w:pPr>
        <w:pStyle w:val="Subtitle"/>
      </w:pPr>
      <w:r>
        <w:rPr>
          <w:rFonts w:ascii="Aptos Display" w:hAnsi="Aptos Display" w:eastAsia="Aptos Display"/>
          <w:color w:val="5F6368"/>
          <w:sz w:val="25"/>
        </w:rPr>
        <w:t>Nombre técnico del proceso: modelación financiera de deuda, liquidez, incertidumbre y aprendizaje certificado</w:t>
      </w:r>
    </w:p>
    <w:tbl>
      <w:tblPr>
        <w:tblW w:type="auto" w:w="0"/>
        <w:tblLayout w:type="fixed"/>
        <w:tblLook w:firstColumn="1" w:firstRow="1" w:lastColumn="0" w:lastRow="0" w:noHBand="0" w:noVBand="1" w:val="04A0"/>
      </w:tblPr>
      <w:tblGrid>
        <w:gridCol w:w="4961"/>
        <w:gridCol w:w="4961"/>
      </w:tblGrid>
      <w:tr>
        <w:tc>
          <w:tcPr>
            <w:tcW w:type="dxa" w:w="2948"/>
            <w:shd w:fill="159A9C"/>
            <w:tcMar>
              <w:top w:w="0" w:type="dxa"/>
              <w:start w:w="0" w:type="dxa"/>
              <w:bottom w:w="0" w:type="dxa"/>
              <w:end w:w="0" w:type="dxa"/>
            </w:tcMar>
          </w:tcPr>
          <w:p>
            <w:pPr>
              <w:spacing w:after="0"/>
            </w:pPr>
          </w:p>
        </w:tc>
        <w:tc>
          <w:tcPr>
            <w:tcW w:type="dxa" w:w="6633"/>
            <w:shd w:fill="4B2E83"/>
            <w:tcMar>
              <w:top w:w="0" w:type="dxa"/>
              <w:start w:w="0" w:type="dxa"/>
              <w:bottom w:w="0" w:type="dxa"/>
              <w:end w:w="0" w:type="dxa"/>
            </w:tcMar>
          </w:tcPr>
          <w:p>
            <w:pPr>
              <w:spacing w:after="0"/>
            </w:pPr>
          </w:p>
        </w:tc>
      </w:tr>
    </w:tbl>
    <w:p>
      <w:pPr>
        <w:spacing w:before="0" w:after="60" w:line="259" w:lineRule="auto"/>
      </w:pPr>
      <w:r>
        <w:rPr>
          <w:rFonts w:ascii="Aptos" w:hAnsi="Aptos" w:eastAsia="Aptos"/>
          <w:b/>
          <w:color w:val="A7358B"/>
          <w:sz w:val="18"/>
        </w:rPr>
        <w:t>PROPÓSITO</w:t>
      </w:r>
    </w:p>
    <w:p>
      <w:pPr>
        <w:spacing w:before="0" w:after="320" w:line="276" w:lineRule="auto"/>
      </w:pPr>
      <w:r>
        <w:rPr>
          <w:rFonts w:ascii="Aptos" w:hAnsi="Aptos" w:eastAsia="Aptos"/>
          <w:b/>
          <w:color w:val="263238"/>
          <w:sz w:val="24"/>
        </w:rPr>
        <w:t>Convertir las orientaciones de la transcripción y los requisitos definidos por Rehavid en un insumo conceptual, formativo, funcional y técnico que permita diseñar, desarrollar, probar, operar y gobernar una aplicación de modulación financiera.</w:t>
      </w:r>
    </w:p>
    <w:tbl>
      <w:tblPr>
        <w:tblW w:type="auto" w:w="0"/>
        <w:jc w:val="left"/>
        <w:tblLayout w:type="fixed"/>
        <w:tblLook w:firstColumn="1" w:firstRow="1" w:lastColumn="0" w:lastRow="0" w:noHBand="0" w:noVBand="1" w:val="04A0"/>
      </w:tblPr>
      <w:tblGrid>
        <w:gridCol w:w="4961"/>
        <w:gridCol w:w="4961"/>
      </w:tblGrid>
      <w:tr>
        <w:tc>
          <w:tcPr>
            <w:tcW w:type="dxa" w:w="2551"/>
            <w:shd w:fill="EEE9F7"/>
            <w:tcMar>
              <w:top w:w="90" w:type="dxa"/>
              <w:start w:w="110" w:type="dxa"/>
              <w:bottom w:w="90" w:type="dxa"/>
              <w:end w:w="110" w:type="dxa"/>
            </w:tcMar>
            <w:tcBorders>
              <w:top w:sz="6" w:val="single" w:color="D6D8DC"/>
              <w:left w:sz="6" w:val="single" w:color="D6D8DC"/>
              <w:bottom w:sz="6" w:val="single" w:color="D6D8DC"/>
              <w:right w:sz="6" w:val="single" w:color="D6D8DC"/>
            </w:tcBorders>
          </w:tcPr>
          <w:p>
            <w:r>
              <w:rPr>
                <w:rFonts w:ascii="Aptos" w:hAnsi="Aptos" w:eastAsia="Aptos"/>
                <w:b/>
                <w:color w:val="4B2E83"/>
                <w:sz w:val="17"/>
              </w:rPr>
              <w:t>Organización</w:t>
            </w:r>
          </w:p>
        </w:tc>
        <w:tc>
          <w:tcPr>
            <w:tcW w:type="dxa" w:w="6689"/>
            <w:shd w:fill="FFFFFF"/>
            <w:tcMar>
              <w:top w:w="90" w:type="dxa"/>
              <w:start w:w="110" w:type="dxa"/>
              <w:bottom w:w="90" w:type="dxa"/>
              <w:end w:w="110" w:type="dxa"/>
            </w:tcMar>
            <w:tcBorders>
              <w:top w:sz="6" w:val="single" w:color="D6D8DC"/>
              <w:left w:sz="6" w:val="single" w:color="D6D8DC"/>
              <w:bottom w:sz="6" w:val="single" w:color="D6D8DC"/>
              <w:right w:sz="6" w:val="single" w:color="D6D8DC"/>
            </w:tcBorders>
          </w:tcPr>
          <w:p>
            <w:r>
              <w:rPr>
                <w:rFonts w:ascii="Aptos" w:hAnsi="Aptos" w:eastAsia="Aptos"/>
                <w:sz w:val="17"/>
              </w:rPr>
              <w:t>Rehavid S.A.S.</w:t>
            </w:r>
          </w:p>
        </w:tc>
      </w:tr>
      <w:tr>
        <w:tc>
          <w:tcPr>
            <w:tcW w:type="dxa" w:w="2551"/>
            <w:shd w:fill="EEE9F7"/>
            <w:tcMar>
              <w:top w:w="90" w:type="dxa"/>
              <w:start w:w="110" w:type="dxa"/>
              <w:bottom w:w="90" w:type="dxa"/>
              <w:end w:w="110" w:type="dxa"/>
            </w:tcMar>
            <w:tcBorders>
              <w:top w:sz="6" w:val="single" w:color="D6D8DC"/>
              <w:left w:sz="6" w:val="single" w:color="D6D8DC"/>
              <w:bottom w:sz="6" w:val="single" w:color="D6D8DC"/>
              <w:right w:sz="6" w:val="single" w:color="D6D8DC"/>
            </w:tcBorders>
          </w:tcPr>
          <w:p>
            <w:r>
              <w:rPr>
                <w:rFonts w:ascii="Aptos" w:hAnsi="Aptos" w:eastAsia="Aptos"/>
                <w:b/>
                <w:color w:val="4B2E83"/>
                <w:sz w:val="17"/>
              </w:rPr>
              <w:t>Estado</w:t>
            </w:r>
          </w:p>
        </w:tc>
        <w:tc>
          <w:tcPr>
            <w:tcW w:type="dxa" w:w="6689"/>
            <w:shd w:fill="FFFFFF"/>
            <w:tcMar>
              <w:top w:w="90" w:type="dxa"/>
              <w:start w:w="110" w:type="dxa"/>
              <w:bottom w:w="90" w:type="dxa"/>
              <w:end w:w="110" w:type="dxa"/>
            </w:tcMar>
            <w:tcBorders>
              <w:top w:sz="6" w:val="single" w:color="D6D8DC"/>
              <w:left w:sz="6" w:val="single" w:color="D6D8DC"/>
              <w:bottom w:sz="6" w:val="single" w:color="D6D8DC"/>
              <w:right w:sz="6" w:val="single" w:color="D6D8DC"/>
            </w:tcBorders>
          </w:tcPr>
          <w:p>
            <w:r>
              <w:rPr>
                <w:rFonts w:ascii="Aptos" w:hAnsi="Aptos" w:eastAsia="Aptos"/>
                <w:sz w:val="17"/>
              </w:rPr>
              <w:t>Base técnica para validación funcional y construcción del producto mínimo viable</w:t>
            </w:r>
          </w:p>
        </w:tc>
      </w:tr>
      <w:tr>
        <w:tc>
          <w:tcPr>
            <w:tcW w:type="dxa" w:w="2551"/>
            <w:shd w:fill="EEE9F7"/>
            <w:tcMar>
              <w:top w:w="90" w:type="dxa"/>
              <w:start w:w="110" w:type="dxa"/>
              <w:bottom w:w="90" w:type="dxa"/>
              <w:end w:w="110" w:type="dxa"/>
            </w:tcMar>
            <w:tcBorders>
              <w:top w:sz="6" w:val="single" w:color="D6D8DC"/>
              <w:left w:sz="6" w:val="single" w:color="D6D8DC"/>
              <w:bottom w:sz="6" w:val="single" w:color="D6D8DC"/>
              <w:right w:sz="6" w:val="single" w:color="D6D8DC"/>
            </w:tcBorders>
          </w:tcPr>
          <w:p>
            <w:r>
              <w:rPr>
                <w:rFonts w:ascii="Aptos" w:hAnsi="Aptos" w:eastAsia="Aptos"/>
                <w:b/>
                <w:color w:val="4B2E83"/>
                <w:sz w:val="17"/>
              </w:rPr>
              <w:t>Versión</w:t>
            </w:r>
          </w:p>
        </w:tc>
        <w:tc>
          <w:tcPr>
            <w:tcW w:type="dxa" w:w="6689"/>
            <w:shd w:fill="FFFFFF"/>
            <w:tcMar>
              <w:top w:w="90" w:type="dxa"/>
              <w:start w:w="110" w:type="dxa"/>
              <w:bottom w:w="90" w:type="dxa"/>
              <w:end w:w="110" w:type="dxa"/>
            </w:tcMar>
            <w:tcBorders>
              <w:top w:sz="6" w:val="single" w:color="D6D8DC"/>
              <w:left w:sz="6" w:val="single" w:color="D6D8DC"/>
              <w:bottom w:sz="6" w:val="single" w:color="D6D8DC"/>
              <w:right w:sz="6" w:val="single" w:color="D6D8DC"/>
            </w:tcBorders>
          </w:tcPr>
          <w:p>
            <w:r>
              <w:rPr>
                <w:rFonts w:ascii="Aptos" w:hAnsi="Aptos" w:eastAsia="Aptos"/>
                <w:sz w:val="17"/>
              </w:rPr>
              <w:t>1.0</w:t>
            </w:r>
          </w:p>
        </w:tc>
      </w:tr>
      <w:tr>
        <w:tc>
          <w:tcPr>
            <w:tcW w:type="dxa" w:w="2551"/>
            <w:shd w:fill="EEE9F7"/>
            <w:tcMar>
              <w:top w:w="90" w:type="dxa"/>
              <w:start w:w="110" w:type="dxa"/>
              <w:bottom w:w="90" w:type="dxa"/>
              <w:end w:w="110" w:type="dxa"/>
            </w:tcMar>
            <w:tcBorders>
              <w:top w:sz="6" w:val="single" w:color="D6D8DC"/>
              <w:left w:sz="6" w:val="single" w:color="D6D8DC"/>
              <w:bottom w:sz="6" w:val="single" w:color="D6D8DC"/>
              <w:right w:sz="6" w:val="single" w:color="D6D8DC"/>
            </w:tcBorders>
          </w:tcPr>
          <w:p>
            <w:r>
              <w:rPr>
                <w:rFonts w:ascii="Aptos" w:hAnsi="Aptos" w:eastAsia="Aptos"/>
                <w:b/>
                <w:color w:val="4B2E83"/>
                <w:sz w:val="17"/>
              </w:rPr>
              <w:t>Fecha</w:t>
            </w:r>
          </w:p>
        </w:tc>
        <w:tc>
          <w:tcPr>
            <w:tcW w:type="dxa" w:w="6689"/>
            <w:shd w:fill="FFFFFF"/>
            <w:tcMar>
              <w:top w:w="90" w:type="dxa"/>
              <w:start w:w="110" w:type="dxa"/>
              <w:bottom w:w="90" w:type="dxa"/>
              <w:end w:w="110" w:type="dxa"/>
            </w:tcMar>
            <w:tcBorders>
              <w:top w:sz="6" w:val="single" w:color="D6D8DC"/>
              <w:left w:sz="6" w:val="single" w:color="D6D8DC"/>
              <w:bottom w:sz="6" w:val="single" w:color="D6D8DC"/>
              <w:right w:sz="6" w:val="single" w:color="D6D8DC"/>
            </w:tcBorders>
          </w:tcPr>
          <w:p>
            <w:r>
              <w:rPr>
                <w:rFonts w:ascii="Aptos" w:hAnsi="Aptos" w:eastAsia="Aptos"/>
                <w:sz w:val="17"/>
              </w:rPr>
              <w:t>3 de agosto de 2026</w:t>
            </w:r>
          </w:p>
        </w:tc>
      </w:tr>
      <w:tr>
        <w:tc>
          <w:tcPr>
            <w:tcW w:type="dxa" w:w="2551"/>
            <w:shd w:fill="EEE9F7"/>
            <w:tcMar>
              <w:top w:w="90" w:type="dxa"/>
              <w:start w:w="110" w:type="dxa"/>
              <w:bottom w:w="90" w:type="dxa"/>
              <w:end w:w="110" w:type="dxa"/>
            </w:tcMar>
            <w:tcBorders>
              <w:top w:sz="6" w:val="single" w:color="D6D8DC"/>
              <w:left w:sz="6" w:val="single" w:color="D6D8DC"/>
              <w:bottom w:sz="6" w:val="single" w:color="D6D8DC"/>
              <w:right w:sz="6" w:val="single" w:color="D6D8DC"/>
            </w:tcBorders>
          </w:tcPr>
          <w:p>
            <w:r>
              <w:rPr>
                <w:rFonts w:ascii="Aptos" w:hAnsi="Aptos" w:eastAsia="Aptos"/>
                <w:b/>
                <w:color w:val="4B2E83"/>
                <w:sz w:val="17"/>
              </w:rPr>
              <w:t>Fuente primaria</w:t>
            </w:r>
          </w:p>
        </w:tc>
        <w:tc>
          <w:tcPr>
            <w:tcW w:type="dxa" w:w="6689"/>
            <w:shd w:fill="FFFFFF"/>
            <w:tcMar>
              <w:top w:w="90" w:type="dxa"/>
              <w:start w:w="110" w:type="dxa"/>
              <w:bottom w:w="90" w:type="dxa"/>
              <w:end w:w="110" w:type="dxa"/>
            </w:tcMar>
            <w:tcBorders>
              <w:top w:sz="6" w:val="single" w:color="D6D8DC"/>
              <w:left w:sz="6" w:val="single" w:color="D6D8DC"/>
              <w:bottom w:sz="6" w:val="single" w:color="D6D8DC"/>
              <w:right w:sz="6" w:val="single" w:color="D6D8DC"/>
            </w:tcBorders>
          </w:tcPr>
          <w:p>
            <w:r>
              <w:rPr>
                <w:rFonts w:ascii="Aptos" w:hAnsi="Aptos" w:eastAsia="Aptos"/>
                <w:sz w:val="17"/>
              </w:rPr>
              <w:t>Transcripción suministrada por Rehavid, segmento 02:10:14–02:13:20</w:t>
            </w:r>
          </w:p>
        </w:tc>
      </w:tr>
      <w:tr>
        <w:tc>
          <w:tcPr>
            <w:tcW w:type="dxa" w:w="2551"/>
            <w:shd w:fill="EEE9F7"/>
            <w:tcMar>
              <w:top w:w="90" w:type="dxa"/>
              <w:start w:w="110" w:type="dxa"/>
              <w:bottom w:w="90" w:type="dxa"/>
              <w:end w:w="110" w:type="dxa"/>
            </w:tcMar>
            <w:tcBorders>
              <w:top w:sz="6" w:val="single" w:color="D6D8DC"/>
              <w:left w:sz="6" w:val="single" w:color="D6D8DC"/>
              <w:bottom w:sz="6" w:val="single" w:color="D6D8DC"/>
              <w:right w:sz="6" w:val="single" w:color="D6D8DC"/>
            </w:tcBorders>
          </w:tcPr>
          <w:p>
            <w:r>
              <w:rPr>
                <w:rFonts w:ascii="Aptos" w:hAnsi="Aptos" w:eastAsia="Aptos"/>
                <w:b/>
                <w:color w:val="4B2E83"/>
                <w:sz w:val="17"/>
              </w:rPr>
              <w:t>Clasificación</w:t>
            </w:r>
          </w:p>
        </w:tc>
        <w:tc>
          <w:tcPr>
            <w:tcW w:type="dxa" w:w="6689"/>
            <w:shd w:fill="FFFFFF"/>
            <w:tcMar>
              <w:top w:w="90" w:type="dxa"/>
              <w:start w:w="110" w:type="dxa"/>
              <w:bottom w:w="90" w:type="dxa"/>
              <w:end w:w="110" w:type="dxa"/>
            </w:tcMar>
            <w:tcBorders>
              <w:top w:sz="6" w:val="single" w:color="D6D8DC"/>
              <w:left w:sz="6" w:val="single" w:color="D6D8DC"/>
              <w:bottom w:sz="6" w:val="single" w:color="D6D8DC"/>
              <w:right w:sz="6" w:val="single" w:color="D6D8DC"/>
            </w:tcBorders>
          </w:tcPr>
          <w:p>
            <w:r>
              <w:rPr>
                <w:rFonts w:ascii="Aptos" w:hAnsi="Aptos" w:eastAsia="Aptos"/>
                <w:sz w:val="17"/>
              </w:rPr>
              <w:t>Documento interno de diseño; no constituye concepto contable, jurídico, tributario ni crediticio</w:t>
            </w:r>
          </w:p>
        </w:tc>
      </w:tr>
    </w:tbl>
    <w:p>
      <w:pPr>
        <w:spacing w:before="480"/>
        <w:jc w:val="left"/>
      </w:pPr>
      <w:r>
        <w:rPr>
          <w:rFonts w:ascii="Aptos" w:hAnsi="Aptos" w:eastAsia="Aptos"/>
          <w:i/>
          <w:color w:val="5F6368"/>
          <w:sz w:val="17"/>
        </w:rPr>
        <w:t>Alcance construido sin reutilizar nombres, empresas, cifras ni datos de los ejemplos citados en la transcripción.</w:t>
      </w:r>
    </w:p>
    <w:p>
      <w:r>
        <w:br w:type="page"/>
      </w:r>
    </w:p>
    <w:p>
      <w:pPr>
        <w:pStyle w:val="Heading1"/>
        <w:keepNext/>
        <w:spacing w:before="160" w:after="80"/>
      </w:pPr>
      <w:r>
        <w:rPr>
          <w:rFonts w:ascii="Aptos Display" w:hAnsi="Aptos Display" w:eastAsia="Aptos Display"/>
          <w:b/>
          <w:color w:val="4B2E83"/>
        </w:rPr>
        <w:t>Control del documento</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381"/>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Campo</w:t>
            </w:r>
          </w:p>
        </w:tc>
        <w:tc>
          <w:tcPr>
            <w:tcW w:type="dxa" w:w="6973"/>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Definición</w:t>
            </w:r>
          </w:p>
        </w:tc>
      </w:tr>
      <w:tr>
        <w:trPr>
          <w:cantSplit/>
        </w:trPr>
        <w:tc>
          <w:tcPr>
            <w:tcW w:type="dxa" w:w="238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Objetivo del entregable</w:t>
            </w:r>
          </w:p>
        </w:tc>
        <w:tc>
          <w:tcPr>
            <w:tcW w:type="dxa" w:w="697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Servir como documento maestro para formación, operación y desarrollo de la app.</w:t>
            </w:r>
          </w:p>
        </w:tc>
      </w:tr>
      <w:tr>
        <w:trPr>
          <w:cantSplit/>
        </w:trPr>
        <w:tc>
          <w:tcPr>
            <w:tcW w:type="dxa" w:w="238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Cobertura</w:t>
            </w:r>
          </w:p>
        </w:tc>
        <w:tc>
          <w:tcPr>
            <w:tcW w:type="dxa" w:w="697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Módulo de formación; manual de operación; especificación funcional y técnica.</w:t>
            </w:r>
          </w:p>
        </w:tc>
      </w:tr>
      <w:tr>
        <w:trPr>
          <w:cantSplit/>
        </w:trPr>
        <w:tc>
          <w:tcPr>
            <w:tcW w:type="dxa" w:w="238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Trazabilidad</w:t>
            </w:r>
          </w:p>
        </w:tc>
        <w:tc>
          <w:tcPr>
            <w:tcW w:type="dxa" w:w="697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Cada requisito se clasifica por origen: transcripción, instrucción de Rehavid o validación externa.</w:t>
            </w:r>
          </w:p>
        </w:tc>
      </w:tr>
      <w:tr>
        <w:trPr>
          <w:cantSplit/>
        </w:trPr>
        <w:tc>
          <w:tcPr>
            <w:tcW w:type="dxa" w:w="238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Criterio de certeza</w:t>
            </w:r>
          </w:p>
        </w:tc>
        <w:tc>
          <w:tcPr>
            <w:tcW w:type="dxa" w:w="697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Los fragmentos ambiguos no se convierten en fórmulas ni funcionalidades obligatorias.</w:t>
            </w:r>
          </w:p>
        </w:tc>
      </w:tr>
      <w:tr>
        <w:trPr>
          <w:cantSplit/>
        </w:trPr>
        <w:tc>
          <w:tcPr>
            <w:tcW w:type="dxa" w:w="238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Gestión de cambios</w:t>
            </w:r>
          </w:p>
        </w:tc>
        <w:tc>
          <w:tcPr>
            <w:tcW w:type="dxa" w:w="697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Toda modificación posterior debe actualizar versión, fuente, regla afectada y casos de prueba.</w:t>
            </w:r>
          </w:p>
        </w:tc>
      </w:tr>
    </w:tbl>
    <w:p>
      <w:pPr>
        <w:spacing w:after="20"/>
      </w:pPr>
    </w:p>
    <w:tbl>
      <w:tblPr>
        <w:tblW w:type="auto" w:w="0"/>
        <w:jc w:val="center"/>
        <w:tblLayout w:type="autofit"/>
        <w:tblLook w:firstColumn="1" w:firstRow="1" w:lastColumn="0" w:lastRow="0" w:noHBand="0" w:noVBand="1" w:val="04A0"/>
      </w:tblPr>
      <w:tblGrid>
        <w:gridCol w:w="9922"/>
      </w:tblGrid>
      <w:tr>
        <w:trPr>
          <w:cantSplit/>
        </w:trPr>
        <w:tc>
          <w:tcPr>
            <w:tcW w:type="dxa" w:w="9922"/>
            <w:shd w:fill="FFF4E5"/>
            <w:tcBorders>
              <w:top w:sz="8" w:val="single" w:color="9A6700"/>
              <w:left w:sz="22" w:val="single" w:color="9A6700"/>
              <w:bottom w:sz="8" w:val="single" w:color="9A6700"/>
              <w:right w:sz="8" w:val="single" w:color="9A6700"/>
            </w:tcBorders>
            <w:tcMar>
              <w:top w:w="120" w:type="dxa"/>
              <w:start w:w="180" w:type="dxa"/>
              <w:bottom w:w="120" w:type="dxa"/>
              <w:end w:w="160" w:type="dxa"/>
            </w:tcMar>
          </w:tcPr>
          <w:p>
            <w:pPr>
              <w:spacing w:after="40"/>
            </w:pPr>
            <w:r>
              <w:rPr>
                <w:rFonts w:ascii="Aptos" w:hAnsi="Aptos" w:eastAsia="Aptos"/>
                <w:b/>
                <w:color w:val="9A6700"/>
                <w:sz w:val="20"/>
              </w:rPr>
              <w:t>Advertencia de alcance probatorio</w:t>
            </w:r>
          </w:p>
          <w:p>
            <w:pPr>
              <w:spacing w:before="0" w:after="0" w:line="247" w:lineRule="auto"/>
            </w:pPr>
            <w:r>
              <w:rPr>
                <w:rFonts w:ascii="Aptos" w:hAnsi="Aptos" w:eastAsia="Aptos"/>
                <w:color w:val="263238"/>
                <w:sz w:val="18"/>
              </w:rPr>
              <w:t>La transcripción aportada corresponde a un segmento breve del cierre de un curso. Permite definir con solidez el núcleo de deuda, cobertura, capacidad, liquidez, simulación, auditoría y aprendizaje; no permite atribuir autores, cursos o metodologías que no estén nombrados. En este segmento no se identifican autores, libros, universidades ni cursos con nombre propio. Por tanto, el documento no inventa dichas referencias.</w:t>
            </w:r>
          </w:p>
        </w:tc>
      </w:tr>
    </w:tbl>
    <w:p>
      <w:pPr>
        <w:spacing w:after="0"/>
      </w:pPr>
    </w:p>
    <w:p>
      <w:pPr>
        <w:pStyle w:val="Heading1"/>
        <w:keepNext/>
        <w:spacing w:before="160" w:after="80"/>
      </w:pPr>
      <w:r>
        <w:rPr>
          <w:rFonts w:ascii="Aptos Display" w:hAnsi="Aptos Display" w:eastAsia="Aptos Display"/>
          <w:b/>
          <w:color w:val="4B2E83"/>
        </w:rPr>
        <w:t>Contenido</w:t>
      </w:r>
    </w:p>
    <w:p>
      <w:pPr>
        <w:pStyle w:val="ListBullet"/>
        <w:spacing w:before="0" w:after="40" w:line="259" w:lineRule="auto"/>
      </w:pPr>
      <w:r>
        <w:rPr>
          <w:rFonts w:ascii="Aptos" w:hAnsi="Aptos" w:eastAsia="Aptos"/>
        </w:rPr>
        <w:t>1. Síntesis ejecutiva y propósito del producto</w:t>
      </w:r>
    </w:p>
    <w:p>
      <w:pPr>
        <w:pStyle w:val="ListBullet"/>
        <w:spacing w:before="0" w:after="40" w:line="259" w:lineRule="auto"/>
      </w:pPr>
      <w:r>
        <w:rPr>
          <w:rFonts w:ascii="Aptos" w:hAnsi="Aptos" w:eastAsia="Aptos"/>
        </w:rPr>
        <w:t>2. Método de transformación de la transcripción</w:t>
      </w:r>
    </w:p>
    <w:p>
      <w:pPr>
        <w:pStyle w:val="ListBullet"/>
        <w:spacing w:before="0" w:after="40" w:line="259" w:lineRule="auto"/>
      </w:pPr>
      <w:r>
        <w:rPr>
          <w:rFonts w:ascii="Aptos" w:hAnsi="Aptos" w:eastAsia="Aptos"/>
        </w:rPr>
        <w:t>3. Modelo conceptual derivado</w:t>
      </w:r>
    </w:p>
    <w:p>
      <w:pPr>
        <w:pStyle w:val="ListBullet"/>
        <w:spacing w:before="0" w:after="40" w:line="259" w:lineRule="auto"/>
      </w:pPr>
      <w:r>
        <w:rPr>
          <w:rFonts w:ascii="Aptos" w:hAnsi="Aptos" w:eastAsia="Aptos"/>
        </w:rPr>
        <w:t>4. Módulo 1: formación en conceptos básicos</w:t>
      </w:r>
    </w:p>
    <w:p>
      <w:pPr>
        <w:pStyle w:val="ListBullet"/>
        <w:spacing w:before="0" w:after="40" w:line="259" w:lineRule="auto"/>
      </w:pPr>
      <w:r>
        <w:rPr>
          <w:rFonts w:ascii="Aptos" w:hAnsi="Aptos" w:eastAsia="Aptos"/>
        </w:rPr>
        <w:t>5. Evaluación adaptativa, aprobación y certificado</w:t>
      </w:r>
    </w:p>
    <w:p>
      <w:pPr>
        <w:pStyle w:val="ListBullet"/>
        <w:spacing w:before="0" w:after="40" w:line="259" w:lineRule="auto"/>
      </w:pPr>
      <w:r>
        <w:rPr>
          <w:rFonts w:ascii="Aptos" w:hAnsi="Aptos" w:eastAsia="Aptos"/>
        </w:rPr>
        <w:t>6. Módulo 2: manual de operación</w:t>
      </w:r>
    </w:p>
    <w:p>
      <w:pPr>
        <w:pStyle w:val="ListBullet"/>
        <w:spacing w:before="0" w:after="40" w:line="259" w:lineRule="auto"/>
      </w:pPr>
      <w:r>
        <w:rPr>
          <w:rFonts w:ascii="Aptos" w:hAnsi="Aptos" w:eastAsia="Aptos"/>
        </w:rPr>
        <w:t>7. Módulo 3: especificación funcional de la app</w:t>
      </w:r>
    </w:p>
    <w:p>
      <w:pPr>
        <w:pStyle w:val="ListBullet"/>
        <w:spacing w:before="0" w:after="40" w:line="259" w:lineRule="auto"/>
      </w:pPr>
      <w:r>
        <w:rPr>
          <w:rFonts w:ascii="Aptos" w:hAnsi="Aptos" w:eastAsia="Aptos"/>
        </w:rPr>
        <w:t>8. Motor financiero, reglas y fórmulas</w:t>
      </w:r>
    </w:p>
    <w:p>
      <w:pPr>
        <w:pStyle w:val="ListBullet"/>
        <w:spacing w:before="0" w:after="40" w:line="259" w:lineRule="auto"/>
      </w:pPr>
      <w:r>
        <w:rPr>
          <w:rFonts w:ascii="Aptos" w:hAnsi="Aptos" w:eastAsia="Aptos"/>
        </w:rPr>
        <w:t>9. Uso e interoperabilidad con Risk Simulator</w:t>
      </w:r>
    </w:p>
    <w:p>
      <w:pPr>
        <w:pStyle w:val="ListBullet"/>
        <w:spacing w:before="0" w:after="40" w:line="259" w:lineRule="auto"/>
      </w:pPr>
      <w:r>
        <w:rPr>
          <w:rFonts w:ascii="Aptos" w:hAnsi="Aptos" w:eastAsia="Aptos"/>
        </w:rPr>
        <w:t>10. Modelo de datos, seguridad y marco colombiano</w:t>
      </w:r>
    </w:p>
    <w:p>
      <w:pPr>
        <w:pStyle w:val="ListBullet"/>
        <w:spacing w:before="0" w:after="40" w:line="259" w:lineRule="auto"/>
      </w:pPr>
      <w:r>
        <w:rPr>
          <w:rFonts w:ascii="Aptos" w:hAnsi="Aptos" w:eastAsia="Aptos"/>
        </w:rPr>
        <w:t>11. Historias de usuario, requisitos y pruebas</w:t>
      </w:r>
    </w:p>
    <w:p>
      <w:pPr>
        <w:pStyle w:val="ListBullet"/>
        <w:spacing w:before="0" w:after="40" w:line="259" w:lineRule="auto"/>
      </w:pPr>
      <w:r>
        <w:rPr>
          <w:rFonts w:ascii="Aptos" w:hAnsi="Aptos" w:eastAsia="Aptos"/>
        </w:rPr>
        <w:t>12. Producto mínimo viable, riesgos y pendientes</w:t>
      </w:r>
    </w:p>
    <w:p>
      <w:pPr>
        <w:pStyle w:val="ListBullet"/>
        <w:spacing w:before="0" w:after="40" w:line="259" w:lineRule="auto"/>
      </w:pPr>
      <w:r>
        <w:rPr>
          <w:rFonts w:ascii="Aptos" w:hAnsi="Aptos" w:eastAsia="Aptos"/>
        </w:rPr>
        <w:t>13. Matriz de trazabilidad y fuentes</w:t>
      </w:r>
    </w:p>
    <w:p>
      <w:pPr>
        <w:pStyle w:val="Heading1"/>
        <w:keepNext/>
        <w:spacing w:before="160" w:after="80"/>
      </w:pPr>
      <w:r>
        <w:rPr>
          <w:rFonts w:ascii="Aptos Display" w:hAnsi="Aptos Display" w:eastAsia="Aptos Display"/>
          <w:b/>
          <w:color w:val="4B2E83"/>
        </w:rPr>
        <w:t>1. Síntesis ejecutiva y propósito del producto</w:t>
      </w:r>
    </w:p>
    <w:p>
      <w:pPr>
        <w:keepNext w:val="0"/>
        <w:spacing w:before="0" w:after="100" w:line="259" w:lineRule="auto"/>
      </w:pPr>
      <w:r>
        <w:rPr>
          <w:rFonts w:ascii="Aptos" w:hAnsi="Aptos" w:eastAsia="Aptos"/>
        </w:rPr>
        <w:t>La aplicación debe transformar la modelación financiera en un proceso guiado y verificable: enseñar los conceptos, permitir construir y revisar modelos de deuda y liquidez, analizar restricciones financieras, incorporar incertidumbre mediante Risk Simulator, comparar resultados con la realidad y conservar evidencia de decisiones y aprendizaje. [T-01][T-02][T-03][R-05]</w:t>
      </w:r>
    </w:p>
    <w:tbl>
      <w:tblPr>
        <w:tblW w:type="auto" w:w="0"/>
        <w:jc w:val="center"/>
        <w:tblLayout w:type="autofit"/>
        <w:tblLook w:firstColumn="1" w:firstRow="1" w:lastColumn="0" w:lastRow="0" w:noHBand="0" w:noVBand="1" w:val="04A0"/>
      </w:tblPr>
      <w:tblGrid>
        <w:gridCol w:w="9922"/>
      </w:tblGrid>
      <w:tr>
        <w:trPr>
          <w:cantSplit/>
        </w:trPr>
        <w:tc>
          <w:tcPr>
            <w:tcW w:type="dxa" w:w="9922"/>
            <w:shd w:fill="EEE9F7"/>
            <w:tcBorders>
              <w:top w:sz="8" w:val="single" w:color="4B2E83"/>
              <w:left w:sz="22" w:val="single" w:color="4B2E83"/>
              <w:bottom w:sz="8" w:val="single" w:color="4B2E83"/>
              <w:right w:sz="8" w:val="single" w:color="4B2E83"/>
            </w:tcBorders>
            <w:tcMar>
              <w:top w:w="120" w:type="dxa"/>
              <w:start w:w="180" w:type="dxa"/>
              <w:bottom w:w="120" w:type="dxa"/>
              <w:end w:w="160" w:type="dxa"/>
            </w:tcMar>
          </w:tcPr>
          <w:p>
            <w:pPr>
              <w:spacing w:after="40"/>
            </w:pPr>
            <w:r>
              <w:rPr>
                <w:rFonts w:ascii="Aptos" w:hAnsi="Aptos" w:eastAsia="Aptos"/>
                <w:b/>
                <w:color w:val="4B2E83"/>
                <w:sz w:val="20"/>
              </w:rPr>
              <w:t>Propósito del producto</w:t>
            </w:r>
          </w:p>
          <w:p>
            <w:pPr>
              <w:spacing w:before="0" w:after="0" w:line="247" w:lineRule="auto"/>
            </w:pPr>
            <w:r>
              <w:rPr>
                <w:rFonts w:ascii="Aptos" w:hAnsi="Aptos" w:eastAsia="Aptos"/>
                <w:color w:val="263238"/>
                <w:sz w:val="18"/>
              </w:rPr>
              <w:t>Formar, evaluar y certificar a usuarios de Rehavid; guiarlos en la construcción, simulación, auditoría e interpretación de modelos financieros; y apoyar decisiones de deuda y liquidez sin reemplazar el juicio profesional ni las condiciones contractuales del financiador.</w:t>
            </w:r>
          </w:p>
        </w:tc>
      </w:tr>
    </w:tbl>
    <w:p>
      <w:pPr>
        <w:spacing w:after="0"/>
      </w:pPr>
    </w:p>
    <w:p>
      <w:pPr>
        <w:pStyle w:val="Heading2"/>
        <w:keepNext/>
        <w:spacing w:before="100" w:after="80"/>
      </w:pPr>
      <w:r>
        <w:rPr>
          <w:rFonts w:ascii="Aptos Display" w:hAnsi="Aptos Display" w:eastAsia="Aptos Display"/>
          <w:b/>
          <w:color w:val="263238"/>
        </w:rPr>
        <w:t>1.1 Nombre y precisión terminológica</w:t>
      </w:r>
    </w:p>
    <w:p>
      <w:pPr>
        <w:keepNext w:val="0"/>
        <w:spacing w:before="0" w:after="100" w:line="259" w:lineRule="auto"/>
      </w:pPr>
      <w:r>
        <w:rPr>
          <w:rFonts w:ascii="Aptos" w:hAnsi="Aptos" w:eastAsia="Aptos"/>
        </w:rPr>
        <w:t>Rehavid ha denominado el producto “app de modulación financiera”. La transcripción utiliza “modelación financiera”, que es el término técnico para representar mediante variables, relaciones y supuestos el comportamiento financiero de una empresa o proyecto. El nombre comercial puede conservar “modulación”; la documentación técnica debe usar “modelación” cuando se refiera al método.</w:t>
      </w:r>
    </w:p>
    <w:p>
      <w:pPr>
        <w:pStyle w:val="Heading2"/>
        <w:keepNext/>
        <w:spacing w:before="100" w:after="80"/>
      </w:pPr>
      <w:r>
        <w:rPr>
          <w:rFonts w:ascii="Aptos Display" w:hAnsi="Aptos Display" w:eastAsia="Aptos Display"/>
          <w:b/>
          <w:color w:val="263238"/>
        </w:rPr>
        <w:t>1.2 Problema que resuelve</w:t>
      </w:r>
    </w:p>
    <w:p>
      <w:pPr>
        <w:pStyle w:val="ListBullet"/>
        <w:spacing w:before="0" w:after="40" w:line="259" w:lineRule="auto"/>
      </w:pPr>
      <w:r>
        <w:rPr>
          <w:rFonts w:ascii="Aptos" w:hAnsi="Aptos" w:eastAsia="Aptos"/>
        </w:rPr>
        <w:t>La construcción de modelos de deuda puede quedar dispersa en hojas de cálculo, con supuestos poco trazables y sin control explícito de restricciones.</w:t>
      </w:r>
    </w:p>
    <w:p>
      <w:pPr>
        <w:pStyle w:val="ListBullet"/>
        <w:spacing w:before="0" w:after="40" w:line="259" w:lineRule="auto"/>
      </w:pPr>
      <w:r>
        <w:rPr>
          <w:rFonts w:ascii="Aptos" w:hAnsi="Aptos" w:eastAsia="Aptos"/>
        </w:rPr>
        <w:t>El cumplimiento de una cuota no garantiza por sí solo una posición de liquidez sostenible.</w:t>
      </w:r>
    </w:p>
    <w:p>
      <w:pPr>
        <w:pStyle w:val="ListBullet"/>
        <w:spacing w:before="0" w:after="40" w:line="259" w:lineRule="auto"/>
      </w:pPr>
      <w:r>
        <w:rPr>
          <w:rFonts w:ascii="Aptos" w:hAnsi="Aptos" w:eastAsia="Aptos"/>
        </w:rPr>
        <w:t>Las decisiones pueden basarse en un único escenario determinístico, ignorando incertidumbre y exposición a variables externas.</w:t>
      </w:r>
    </w:p>
    <w:p>
      <w:pPr>
        <w:pStyle w:val="ListBullet"/>
        <w:spacing w:before="0" w:after="40" w:line="259" w:lineRule="auto"/>
      </w:pPr>
      <w:r>
        <w:rPr>
          <w:rFonts w:ascii="Aptos" w:hAnsi="Aptos" w:eastAsia="Aptos"/>
        </w:rPr>
        <w:t>La práctica y la auditoría de errores no suelen quedar integradas al proceso de aprendizaje.</w:t>
      </w:r>
    </w:p>
    <w:p>
      <w:pPr>
        <w:pStyle w:val="ListBullet"/>
        <w:spacing w:before="0" w:after="40" w:line="259" w:lineRule="auto"/>
      </w:pPr>
      <w:r>
        <w:rPr>
          <w:rFonts w:ascii="Aptos" w:hAnsi="Aptos" w:eastAsia="Aptos"/>
        </w:rPr>
        <w:t>El conocimiento del modelo y su operación pueden depender excesivamente de una sola persona.</w:t>
      </w:r>
    </w:p>
    <w:p>
      <w:pPr>
        <w:pStyle w:val="Heading2"/>
        <w:keepNext/>
        <w:spacing w:before="100" w:after="80"/>
      </w:pPr>
      <w:r>
        <w:rPr>
          <w:rFonts w:ascii="Aptos Display" w:hAnsi="Aptos Display" w:eastAsia="Aptos Display"/>
          <w:b/>
          <w:color w:val="263238"/>
        </w:rPr>
        <w:t>1.3 Resultado esperado</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040"/>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Componente</w:t>
            </w:r>
          </w:p>
        </w:tc>
        <w:tc>
          <w:tcPr>
            <w:tcW w:type="dxa" w:w="7313"/>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Resultado esperado</w:t>
            </w:r>
          </w:p>
        </w:tc>
      </w:tr>
      <w:tr>
        <w:trPr>
          <w:cantSplit/>
        </w:trPr>
        <w:tc>
          <w:tcPr>
            <w:tcW w:type="dxa" w:w="204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Formación</w:t>
            </w:r>
          </w:p>
        </w:tc>
        <w:tc>
          <w:tcPr>
            <w:tcW w:type="dxa" w:w="731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Ruta de aprendizaje completa sobre los temas identificados en la transcripción y sobre Risk Simulator.</w:t>
            </w:r>
          </w:p>
        </w:tc>
      </w:tr>
      <w:tr>
        <w:trPr>
          <w:cantSplit/>
        </w:trPr>
        <w:tc>
          <w:tcPr>
            <w:tcW w:type="dxa" w:w="204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Evaluación</w:t>
            </w:r>
          </w:p>
        </w:tc>
        <w:tc>
          <w:tcPr>
            <w:tcW w:type="dxa" w:w="731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Corrección inmediata, repregunta diferente, aprobación mínima del 80 % y trazabilidad del dominio.</w:t>
            </w:r>
          </w:p>
        </w:tc>
      </w:tr>
      <w:tr>
        <w:trPr>
          <w:cantSplit/>
        </w:trPr>
        <w:tc>
          <w:tcPr>
            <w:tcW w:type="dxa" w:w="204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Certificación</w:t>
            </w:r>
          </w:p>
        </w:tc>
        <w:tc>
          <w:tcPr>
            <w:tcW w:type="dxa" w:w="731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Certificado interno con nombre, cargo en Rehavid, resultado, fecha, versión y código verificable.</w:t>
            </w:r>
          </w:p>
        </w:tc>
      </w:tr>
      <w:tr>
        <w:trPr>
          <w:cantSplit/>
        </w:trPr>
        <w:tc>
          <w:tcPr>
            <w:tcW w:type="dxa" w:w="204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Modelación</w:t>
            </w:r>
          </w:p>
        </w:tc>
        <w:tc>
          <w:tcPr>
            <w:tcW w:type="dxa" w:w="731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Construcción parametrizada de deuda, servicio de deuda, flujo disponible, cobertura y liquidez.</w:t>
            </w:r>
          </w:p>
        </w:tc>
      </w:tr>
      <w:tr>
        <w:trPr>
          <w:cantSplit/>
        </w:trPr>
        <w:tc>
          <w:tcPr>
            <w:tcW w:type="dxa" w:w="204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Simulación</w:t>
            </w:r>
          </w:p>
        </w:tc>
        <w:tc>
          <w:tcPr>
            <w:tcW w:type="dxa" w:w="731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Intercambio controlado con Risk Simulator para analizar incertidumbre, sensibilidad y probabilidad de incumplimiento.</w:t>
            </w:r>
          </w:p>
        </w:tc>
      </w:tr>
      <w:tr>
        <w:trPr>
          <w:cantSplit/>
        </w:trPr>
        <w:tc>
          <w:tcPr>
            <w:tcW w:type="dxa" w:w="204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Gobierno</w:t>
            </w:r>
          </w:p>
        </w:tc>
        <w:tc>
          <w:tcPr>
            <w:tcW w:type="dxa" w:w="731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Versiones, fuentes, responsables, revisión, auditoría y evidencia de los cambios.</w:t>
            </w:r>
          </w:p>
        </w:tc>
      </w:tr>
    </w:tbl>
    <w:p>
      <w:pPr>
        <w:spacing w:after="20"/>
      </w:pPr>
    </w:p>
    <w:p>
      <w:pPr>
        <w:pStyle w:val="Heading2"/>
        <w:keepNext/>
        <w:spacing w:before="100" w:after="80"/>
      </w:pPr>
      <w:r>
        <w:rPr>
          <w:rFonts w:ascii="Aptos Display" w:hAnsi="Aptos Display" w:eastAsia="Aptos Display"/>
          <w:b/>
          <w:color w:val="263238"/>
        </w:rPr>
        <w:t>1.4 Alcance incluido y exclusiones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4677"/>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Incluido en el alcance base</w:t>
            </w:r>
          </w:p>
        </w:tc>
        <w:tc>
          <w:tcPr>
            <w:tcW w:type="dxa" w:w="4677"/>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Excluido mientras no exista una instrucción adicional</w:t>
            </w:r>
          </w:p>
        </w:tc>
      </w:tr>
      <w:tr>
        <w:trPr>
          <w:cantSplit/>
        </w:trPr>
        <w:tc>
          <w:tcPr>
            <w:tcW w:type="dxa" w:w="467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Formación, evaluación adaptativa y certificación interna.</w:t>
            </w:r>
          </w:p>
        </w:tc>
        <w:tc>
          <w:tcPr>
            <w:tcW w:type="dxa" w:w="467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Contabilidad transaccional, libro mayor o sustitución del software contable.</w:t>
            </w:r>
          </w:p>
        </w:tc>
      </w:tr>
      <w:tr>
        <w:trPr>
          <w:cantSplit/>
        </w:trPr>
        <w:tc>
          <w:tcPr>
            <w:tcW w:type="dxa" w:w="467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Modelos de deuda, cobertura, capacidad y liquidez.</w:t>
            </w:r>
          </w:p>
        </w:tc>
        <w:tc>
          <w:tcPr>
            <w:tcW w:type="dxa" w:w="467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Aprobación automática de crédito o decisión vinculante frente a terceros.</w:t>
            </w:r>
          </w:p>
        </w:tc>
      </w:tr>
      <w:tr>
        <w:trPr>
          <w:cantSplit/>
        </w:trPr>
        <w:tc>
          <w:tcPr>
            <w:tcW w:type="dxa" w:w="467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Escenarios determinísticos y resultados probabilísticos importados.</w:t>
            </w:r>
          </w:p>
        </w:tc>
        <w:tc>
          <w:tcPr>
            <w:tcW w:type="dxa" w:w="467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Recomendaciones financieras automáticas sin revisión humana.</w:t>
            </w:r>
          </w:p>
        </w:tc>
      </w:tr>
      <w:tr>
        <w:trPr>
          <w:cantSplit/>
        </w:trPr>
        <w:tc>
          <w:tcPr>
            <w:tcW w:type="dxa" w:w="467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Auditoría, backtesting y aprendizaje con modelos.</w:t>
            </w:r>
          </w:p>
        </w:tc>
        <w:tc>
          <w:tcPr>
            <w:tcW w:type="dxa" w:w="467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Cálculos tributarios específicos o declaraciones fiscales.</w:t>
            </w:r>
          </w:p>
        </w:tc>
      </w:tr>
      <w:tr>
        <w:trPr>
          <w:cantSplit/>
        </w:trPr>
        <w:tc>
          <w:tcPr>
            <w:tcW w:type="dxa" w:w="467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Interoperabilidad asistida con Excel y Risk Simulator.</w:t>
            </w:r>
          </w:p>
        </w:tc>
        <w:tc>
          <w:tcPr>
            <w:tcW w:type="dxa" w:w="467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Integración directa con bancos, bolsas o fuentes de mercado en el MVP.</w:t>
            </w:r>
          </w:p>
        </w:tc>
      </w:tr>
      <w:tr>
        <w:trPr>
          <w:cantSplit/>
        </w:trPr>
        <w:tc>
          <w:tcPr>
            <w:tcW w:type="dxa" w:w="467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Reportes y trazabilidad.</w:t>
            </w:r>
          </w:p>
        </w:tc>
        <w:tc>
          <w:tcPr>
            <w:tcW w:type="dxa" w:w="467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Certificación oficial emitida por el fabricante de Risk Simulator.</w:t>
            </w:r>
          </w:p>
        </w:tc>
      </w:tr>
    </w:tbl>
    <w:p>
      <w:pPr>
        <w:spacing w:after="20"/>
      </w:pPr>
    </w:p>
    <w:p>
      <w:pPr>
        <w:pStyle w:val="Heading1"/>
        <w:keepNext/>
        <w:spacing w:before="160" w:after="80"/>
      </w:pPr>
      <w:r>
        <w:rPr>
          <w:rFonts w:ascii="Aptos Display" w:hAnsi="Aptos Display" w:eastAsia="Aptos Display"/>
          <w:b/>
          <w:color w:val="4B2E83"/>
        </w:rPr>
        <w:t>2. Método de transformación de la transcripción</w:t>
      </w:r>
    </w:p>
    <w:p>
      <w:pPr>
        <w:keepNext w:val="0"/>
        <w:spacing w:before="0" w:after="100" w:line="259" w:lineRule="auto"/>
      </w:pPr>
      <w:r>
        <w:rPr>
          <w:rFonts w:ascii="Aptos" w:hAnsi="Aptos" w:eastAsia="Aptos"/>
        </w:rPr>
        <w:t>El documento no reproduce la conversación ni resume el curso. Convierte las ideas verificables en contenidos de formación, reglas de negocio, funciones, datos, flujos y controles. La transformación usa tres capas:</w:t>
      </w:r>
    </w:p>
    <w:p>
      <w:pPr>
        <w:spacing w:before="0" w:after="40" w:line="259" w:lineRule="auto"/>
        <w:ind w:left="255" w:hanging="255"/>
      </w:pPr>
      <w:r>
        <w:rPr>
          <w:rFonts w:ascii="Aptos" w:hAnsi="Aptos" w:eastAsia="Aptos"/>
          <w:b/>
          <w:color w:val="4B2E83"/>
        </w:rPr>
        <w:t xml:space="preserve">1. </w:t>
      </w:r>
      <w:r>
        <w:rPr>
          <w:rFonts w:ascii="Aptos" w:hAnsi="Aptos" w:eastAsia="Aptos"/>
        </w:rPr>
        <w:t>Capa de origen: ideas explícitas del segmento transcrito.</w:t>
      </w:r>
    </w:p>
    <w:p>
      <w:pPr>
        <w:spacing w:before="0" w:after="40" w:line="259" w:lineRule="auto"/>
        <w:ind w:left="255" w:hanging="255"/>
      </w:pPr>
      <w:r>
        <w:rPr>
          <w:rFonts w:ascii="Aptos" w:hAnsi="Aptos" w:eastAsia="Aptos"/>
          <w:b/>
          <w:color w:val="4B2E83"/>
        </w:rPr>
        <w:t xml:space="preserve">2. </w:t>
      </w:r>
      <w:r>
        <w:rPr>
          <w:rFonts w:ascii="Aptos" w:hAnsi="Aptos" w:eastAsia="Aptos"/>
        </w:rPr>
        <w:t>Capa de requerimiento: condiciones definidas directamente por Rehavid en esta conversación.</w:t>
      </w:r>
    </w:p>
    <w:p>
      <w:pPr>
        <w:spacing w:before="0" w:after="40" w:line="259" w:lineRule="auto"/>
        <w:ind w:left="255" w:hanging="255"/>
      </w:pPr>
      <w:r>
        <w:rPr>
          <w:rFonts w:ascii="Aptos" w:hAnsi="Aptos" w:eastAsia="Aptos"/>
          <w:b/>
          <w:color w:val="4B2E83"/>
        </w:rPr>
        <w:t xml:space="preserve">3. </w:t>
      </w:r>
      <w:r>
        <w:rPr>
          <w:rFonts w:ascii="Aptos" w:hAnsi="Aptos" w:eastAsia="Aptos"/>
        </w:rPr>
        <w:t>Capa de validación: fuentes oficiales o institucionales que precisan fórmulas, seguridad, regulación o funcionamiento de Risk Simulator.</w:t>
      </w:r>
    </w:p>
    <w:p>
      <w:pPr>
        <w:pStyle w:val="Heading2"/>
        <w:keepNext/>
        <w:spacing w:before="100" w:after="80"/>
      </w:pPr>
      <w:r>
        <w:rPr>
          <w:rFonts w:ascii="Aptos Display" w:hAnsi="Aptos Display" w:eastAsia="Aptos Display"/>
          <w:b/>
          <w:color w:val="263238"/>
        </w:rPr>
        <w:t>2.1 Criterios para incluir una función</w:t>
      </w:r>
    </w:p>
    <w:p>
      <w:pPr>
        <w:pStyle w:val="ListBullet"/>
        <w:spacing w:before="0" w:after="40" w:line="259" w:lineRule="auto"/>
      </w:pPr>
      <w:r>
        <w:rPr>
          <w:rFonts w:ascii="Aptos" w:hAnsi="Aptos" w:eastAsia="Aptos"/>
        </w:rPr>
        <w:t>Debe existir una necesidad reconocible en la transcripción o una instrucción directa de Rehavid.</w:t>
      </w:r>
    </w:p>
    <w:p>
      <w:pPr>
        <w:pStyle w:val="ListBullet"/>
        <w:spacing w:before="0" w:after="40" w:line="259" w:lineRule="auto"/>
      </w:pPr>
      <w:r>
        <w:rPr>
          <w:rFonts w:ascii="Aptos" w:hAnsi="Aptos" w:eastAsia="Aptos"/>
        </w:rPr>
        <w:t>La fórmula debe ser explícita, verificable o quedar parametrizada cuando dependa de un contrato o política.</w:t>
      </w:r>
    </w:p>
    <w:p>
      <w:pPr>
        <w:pStyle w:val="ListBullet"/>
        <w:spacing w:before="0" w:after="40" w:line="259" w:lineRule="auto"/>
      </w:pPr>
      <w:r>
        <w:rPr>
          <w:rFonts w:ascii="Aptos" w:hAnsi="Aptos" w:eastAsia="Aptos"/>
        </w:rPr>
        <w:t>Las palabras ininteligibles o las frases parcialmente corruptas no pueden originar decisiones automáticas.</w:t>
      </w:r>
    </w:p>
    <w:p>
      <w:pPr>
        <w:pStyle w:val="ListBullet"/>
        <w:spacing w:before="0" w:after="40" w:line="259" w:lineRule="auto"/>
      </w:pPr>
      <w:r>
        <w:rPr>
          <w:rFonts w:ascii="Aptos" w:hAnsi="Aptos" w:eastAsia="Aptos"/>
        </w:rPr>
        <w:t>Los ejemplos narrados sirven para comprender la lógica, pero sus datos no se trasladan al producto ni a este documento.</w:t>
      </w:r>
    </w:p>
    <w:p>
      <w:pPr>
        <w:pStyle w:val="ListBullet"/>
        <w:spacing w:before="0" w:after="40" w:line="259" w:lineRule="auto"/>
      </w:pPr>
      <w:r>
        <w:rPr>
          <w:rFonts w:ascii="Aptos" w:hAnsi="Aptos" w:eastAsia="Aptos"/>
        </w:rPr>
        <w:t>Toda ampliación externa debe quedar identificada como requisito técnico de soporte y no como contenido atribuido a la transcripción.</w:t>
      </w:r>
    </w:p>
    <w:p>
      <w:pPr>
        <w:pStyle w:val="Heading2"/>
        <w:keepNext/>
        <w:spacing w:before="100" w:after="80"/>
      </w:pPr>
      <w:r>
        <w:rPr>
          <w:rFonts w:ascii="Aptos Display" w:hAnsi="Aptos Display" w:eastAsia="Aptos Display"/>
          <w:b/>
          <w:color w:val="263238"/>
        </w:rPr>
        <w:t>2.2 Evidencia temática identificada</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927"/>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Fuente</w:t>
            </w:r>
          </w:p>
        </w:tc>
        <w:tc>
          <w:tcPr>
            <w:tcW w:type="dxa" w:w="3401"/>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Tema identificado</w:t>
            </w:r>
          </w:p>
        </w:tc>
        <w:tc>
          <w:tcPr>
            <w:tcW w:type="dxa" w:w="4025"/>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Traducción al producto</w:t>
            </w:r>
          </w:p>
        </w:tc>
      </w:tr>
      <w:tr>
        <w:trPr>
          <w:cantSplit/>
        </w:trPr>
        <w:tc>
          <w:tcPr>
            <w:tcW w:type="dxa" w:w="192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[T-01] 02:10:14–02:10:48</w:t>
            </w:r>
          </w:p>
        </w:tc>
        <w:tc>
          <w:tcPr>
            <w:tcW w:type="dxa" w:w="340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Comportamiento y repago de la deuda; cobertura del servicio; restricción del banco; máximo endeudamiento; liquidez.</w:t>
            </w:r>
          </w:p>
        </w:tc>
        <w:tc>
          <w:tcPr>
            <w:tcW w:type="dxa" w:w="402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Motor de deuda, calendario, DSCR, covenant, capacidad máxima y alertas de caja.</w:t>
            </w:r>
          </w:p>
        </w:tc>
      </w:tr>
      <w:tr>
        <w:trPr>
          <w:cantSplit/>
        </w:trPr>
        <w:tc>
          <w:tcPr>
            <w:tcW w:type="dxa" w:w="192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[T-02] 02:11:06–02:11:36</w:t>
            </w:r>
          </w:p>
        </w:tc>
        <w:tc>
          <w:tcPr>
            <w:tcW w:type="dxa" w:w="340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Práctica reiterada; evaluación retrospectiva; auditoría de errores; curiosidad y visión multidisciplinaria.</w:t>
            </w:r>
          </w:p>
        </w:tc>
        <w:tc>
          <w:tcPr>
            <w:tcW w:type="dxa" w:w="402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Laboratorio, backtesting, bitácora de errores, revisión y biblioteca de supuestos.</w:t>
            </w:r>
          </w:p>
        </w:tc>
      </w:tr>
      <w:tr>
        <w:trPr>
          <w:cantSplit/>
        </w:trPr>
        <w:tc>
          <w:tcPr>
            <w:tcW w:type="dxa" w:w="192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[T-03] 02:12:14–02:13:20</w:t>
            </w:r>
          </w:p>
        </w:tc>
        <w:tc>
          <w:tcPr>
            <w:tcW w:type="dxa" w:w="340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Finanzas y estrategia como práctica social; lectura; pensamiento crítico; riesgo calculado; entorno externo.</w:t>
            </w:r>
          </w:p>
        </w:tc>
        <w:tc>
          <w:tcPr>
            <w:tcW w:type="dxa" w:w="402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Flujo de revisión, justificación de supuestos, análisis de incertidumbre y registro de decisión.</w:t>
            </w:r>
          </w:p>
        </w:tc>
      </w:tr>
      <w:tr>
        <w:trPr>
          <w:cantSplit/>
        </w:trPr>
        <w:tc>
          <w:tcPr>
            <w:tcW w:type="dxa" w:w="192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[R-03] Rehavid</w:t>
            </w:r>
          </w:p>
        </w:tc>
        <w:tc>
          <w:tcPr>
            <w:tcW w:type="dxa" w:w="340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Aprobación del 80 %; corrección inmediata; repregunta diferente.</w:t>
            </w:r>
          </w:p>
        </w:tc>
        <w:tc>
          <w:tcPr>
            <w:tcW w:type="dxa" w:w="402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Motor de evaluación adaptativa y examen certificable.</w:t>
            </w:r>
          </w:p>
        </w:tc>
      </w:tr>
      <w:tr>
        <w:trPr>
          <w:cantSplit/>
        </w:trPr>
        <w:tc>
          <w:tcPr>
            <w:tcW w:type="dxa" w:w="192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[R-04] Rehavid</w:t>
            </w:r>
          </w:p>
        </w:tc>
        <w:tc>
          <w:tcPr>
            <w:tcW w:type="dxa" w:w="340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Certificado con nombre, cargo y resultados.</w:t>
            </w:r>
          </w:p>
        </w:tc>
        <w:tc>
          <w:tcPr>
            <w:tcW w:type="dxa" w:w="402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Generador de certificado, verificación y expediente del participante.</w:t>
            </w:r>
          </w:p>
        </w:tc>
      </w:tr>
      <w:tr>
        <w:trPr>
          <w:cantSplit/>
        </w:trPr>
        <w:tc>
          <w:tcPr>
            <w:tcW w:type="dxa" w:w="192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[R-05] Rehavid</w:t>
            </w:r>
          </w:p>
        </w:tc>
        <w:tc>
          <w:tcPr>
            <w:tcW w:type="dxa" w:w="340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Uso de Risk Simulator, complemento de Excel.</w:t>
            </w:r>
          </w:p>
        </w:tc>
        <w:tc>
          <w:tcPr>
            <w:tcW w:type="dxa" w:w="402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Unidad formativa, exportación/importación y, en fase posterior, integración autorizada.</w:t>
            </w:r>
          </w:p>
        </w:tc>
      </w:tr>
    </w:tbl>
    <w:p>
      <w:pPr>
        <w:spacing w:after="20"/>
      </w:pPr>
    </w:p>
    <w:tbl>
      <w:tblPr>
        <w:tblW w:type="auto" w:w="0"/>
        <w:jc w:val="center"/>
        <w:tblLayout w:type="autofit"/>
        <w:tblLook w:firstColumn="1" w:firstRow="1" w:lastColumn="0" w:lastRow="0" w:noHBand="0" w:noVBand="1" w:val="04A0"/>
      </w:tblPr>
      <w:tblGrid>
        <w:gridCol w:w="9922"/>
      </w:tblGrid>
      <w:tr>
        <w:trPr>
          <w:cantSplit/>
        </w:trPr>
        <w:tc>
          <w:tcPr>
            <w:tcW w:type="dxa" w:w="9922"/>
            <w:shd w:fill="FDECEC"/>
            <w:tcBorders>
              <w:top w:sz="8" w:val="single" w:color="B42318"/>
              <w:left w:sz="22" w:val="single" w:color="B42318"/>
              <w:bottom w:sz="8" w:val="single" w:color="B42318"/>
              <w:right w:sz="8" w:val="single" w:color="B42318"/>
            </w:tcBorders>
            <w:tcMar>
              <w:top w:w="120" w:type="dxa"/>
              <w:start w:w="180" w:type="dxa"/>
              <w:bottom w:w="120" w:type="dxa"/>
              <w:end w:w="160" w:type="dxa"/>
            </w:tcMar>
          </w:tcPr>
          <w:p>
            <w:pPr>
              <w:spacing w:after="40"/>
            </w:pPr>
            <w:r>
              <w:rPr>
                <w:rFonts w:ascii="Aptos" w:hAnsi="Aptos" w:eastAsia="Aptos"/>
                <w:b/>
                <w:color w:val="B42318"/>
                <w:sz w:val="20"/>
              </w:rPr>
              <w:t>Hallazgo de integridad</w:t>
            </w:r>
          </w:p>
          <w:p>
            <w:pPr>
              <w:spacing w:before="0" w:after="0" w:line="247" w:lineRule="auto"/>
            </w:pPr>
            <w:r>
              <w:rPr>
                <w:rFonts w:ascii="Aptos" w:hAnsi="Aptos" w:eastAsia="Aptos"/>
                <w:color w:val="263238"/>
                <w:sz w:val="18"/>
              </w:rPr>
              <w:t>No se identificó en el segmento aportado un autor, libro, universidad o curso nombrado. La única referencia educativa explícita es un “curso de modelación financiera” y un “módulo 25”, sin identificación del proveedor. El documento usa fuentes institucionales para validar conceptos, pero no las presenta como autores mencionados por el hablante.</w:t>
            </w:r>
          </w:p>
        </w:tc>
      </w:tr>
    </w:tbl>
    <w:p>
      <w:pPr>
        <w:spacing w:after="0"/>
      </w:pPr>
    </w:p>
    <w:p>
      <w:pPr>
        <w:pStyle w:val="Heading1"/>
        <w:keepNext/>
        <w:spacing w:before="160" w:after="80"/>
      </w:pPr>
      <w:r>
        <w:rPr>
          <w:rFonts w:ascii="Aptos Display" w:hAnsi="Aptos Display" w:eastAsia="Aptos Display"/>
          <w:b/>
          <w:color w:val="4B2E83"/>
        </w:rPr>
        <w:t>3. Modelo conceptual derivado</w:t>
      </w:r>
    </w:p>
    <w:p>
      <w:pPr>
        <w:keepNext w:val="0"/>
        <w:spacing w:before="0" w:after="100" w:line="259" w:lineRule="auto"/>
      </w:pPr>
      <w:r>
        <w:rPr>
          <w:rFonts w:ascii="Aptos" w:hAnsi="Aptos" w:eastAsia="Aptos"/>
        </w:rPr>
        <w:t>El producto se organiza alrededor de un ciclo único: aprender → modelar → validar → simular → interpretar → revisar → decidir → comparar con la realidad → mejorar. Ese ciclo refleja la combinación de deuda, liquidez, incertidumbre, práctica, auditoría y discusión estratégica presente en la transcripción.</w:t>
      </w:r>
    </w:p>
    <w:p>
      <w:pPr>
        <w:pStyle w:val="Heading2"/>
        <w:keepNext/>
        <w:spacing w:before="100" w:after="80"/>
      </w:pPr>
      <w:r>
        <w:rPr>
          <w:rFonts w:ascii="Aptos Display" w:hAnsi="Aptos Display" w:eastAsia="Aptos Display"/>
          <w:b/>
          <w:color w:val="263238"/>
        </w:rPr>
        <w:t>3.1 Principios rectores del producto</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834"/>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Principio</w:t>
            </w:r>
          </w:p>
        </w:tc>
        <w:tc>
          <w:tcPr>
            <w:tcW w:type="dxa" w:w="6519"/>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Implicación</w:t>
            </w:r>
          </w:p>
        </w:tc>
      </w:tr>
      <w:tr>
        <w:trPr>
          <w:cantSplit/>
        </w:trPr>
        <w:tc>
          <w:tcPr>
            <w:tcW w:type="dxa" w:w="283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Trazabilidad antes que sofisticación</w:t>
            </w:r>
          </w:p>
        </w:tc>
        <w:tc>
          <w:tcPr>
            <w:tcW w:type="dxa" w:w="651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Un resultado sin fuente, versión, responsable o fórmula visible no es confiable.</w:t>
            </w:r>
          </w:p>
        </w:tc>
      </w:tr>
      <w:tr>
        <w:trPr>
          <w:cantSplit/>
        </w:trPr>
        <w:tc>
          <w:tcPr>
            <w:tcW w:type="dxa" w:w="283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Liquidez además de solvencia</w:t>
            </w:r>
          </w:p>
        </w:tc>
        <w:tc>
          <w:tcPr>
            <w:tcW w:type="dxa" w:w="651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Pagar una obligación no basta si la caja remanente vulnera el mínimo definido.</w:t>
            </w:r>
          </w:p>
        </w:tc>
      </w:tr>
      <w:tr>
        <w:trPr>
          <w:cantSplit/>
        </w:trPr>
        <w:tc>
          <w:tcPr>
            <w:tcW w:type="dxa" w:w="283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Restricciones parametrizables</w:t>
            </w:r>
          </w:p>
        </w:tc>
        <w:tc>
          <w:tcPr>
            <w:tcW w:type="dxa" w:w="651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El covenant proviene del contrato o política; la app no debe inventar el umbral.</w:t>
            </w:r>
          </w:p>
        </w:tc>
      </w:tr>
      <w:tr>
        <w:trPr>
          <w:cantSplit/>
        </w:trPr>
        <w:tc>
          <w:tcPr>
            <w:tcW w:type="dxa" w:w="283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Incertidumbre explícita</w:t>
            </w:r>
          </w:p>
        </w:tc>
        <w:tc>
          <w:tcPr>
            <w:tcW w:type="dxa" w:w="651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La simulación complementa, no reemplaza, el escenario determinístico.</w:t>
            </w:r>
          </w:p>
        </w:tc>
      </w:tr>
      <w:tr>
        <w:trPr>
          <w:cantSplit/>
        </w:trPr>
        <w:tc>
          <w:tcPr>
            <w:tcW w:type="dxa" w:w="283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Corrección que enseña</w:t>
            </w:r>
          </w:p>
        </w:tc>
        <w:tc>
          <w:tcPr>
            <w:tcW w:type="dxa" w:w="651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El error en la formación debe producir explicación inmediata y una nueva oportunidad equivalente.</w:t>
            </w:r>
          </w:p>
        </w:tc>
      </w:tr>
      <w:tr>
        <w:trPr>
          <w:cantSplit/>
        </w:trPr>
        <w:tc>
          <w:tcPr>
            <w:tcW w:type="dxa" w:w="283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Revisión independiente</w:t>
            </w:r>
          </w:p>
        </w:tc>
        <w:tc>
          <w:tcPr>
            <w:tcW w:type="dxa" w:w="651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La auditoría y la discusión reducen la dependencia del modelador original.</w:t>
            </w:r>
          </w:p>
        </w:tc>
      </w:tr>
      <w:tr>
        <w:trPr>
          <w:cantSplit/>
        </w:trPr>
        <w:tc>
          <w:tcPr>
            <w:tcW w:type="dxa" w:w="283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Juicio humano</w:t>
            </w:r>
          </w:p>
        </w:tc>
        <w:tc>
          <w:tcPr>
            <w:tcW w:type="dxa" w:w="651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La app apoya la decisión; no la presenta como verdad automática.</w:t>
            </w:r>
          </w:p>
        </w:tc>
      </w:tr>
      <w:tr>
        <w:trPr>
          <w:cantSplit/>
        </w:trPr>
        <w:tc>
          <w:tcPr>
            <w:tcW w:type="dxa" w:w="283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Aprendizaje continuo</w:t>
            </w:r>
          </w:p>
        </w:tc>
        <w:tc>
          <w:tcPr>
            <w:tcW w:type="dxa" w:w="651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Las desviaciones entre proyección y realidad alimentan mejores supuestos futuros.</w:t>
            </w:r>
          </w:p>
        </w:tc>
      </w:tr>
    </w:tbl>
    <w:p>
      <w:pPr>
        <w:spacing w:after="20"/>
      </w:pPr>
    </w:p>
    <w:p>
      <w:pPr>
        <w:pStyle w:val="Heading2"/>
        <w:keepNext/>
        <w:spacing w:before="100" w:after="80"/>
      </w:pPr>
      <w:r>
        <w:rPr>
          <w:rFonts w:ascii="Aptos Display" w:hAnsi="Aptos Display" w:eastAsia="Aptos Display"/>
          <w:b/>
          <w:color w:val="263238"/>
        </w:rPr>
        <w:t>3.2 Arquitectura funcional de alto nivel</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1870"/>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Capa</w:t>
            </w:r>
          </w:p>
        </w:tc>
        <w:tc>
          <w:tcPr>
            <w:tcW w:type="dxa" w:w="7483"/>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Módulos</w:t>
            </w:r>
          </w:p>
        </w:tc>
      </w:tr>
      <w:tr>
        <w:trPr>
          <w:cantSplit/>
        </w:trPr>
        <w:tc>
          <w:tcPr>
            <w:tcW w:type="dxa" w:w="187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Aprendizaje</w:t>
            </w:r>
          </w:p>
        </w:tc>
        <w:tc>
          <w:tcPr>
            <w:tcW w:type="dxa" w:w="748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Contenido básico; laboratorio de Risk Simulator; evaluación adaptativa; certificado.</w:t>
            </w:r>
          </w:p>
        </w:tc>
      </w:tr>
      <w:tr>
        <w:trPr>
          <w:cantSplit/>
        </w:trPr>
        <w:tc>
          <w:tcPr>
            <w:tcW w:type="dxa" w:w="187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Modelación</w:t>
            </w:r>
          </w:p>
        </w:tc>
        <w:tc>
          <w:tcPr>
            <w:tcW w:type="dxa" w:w="748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Proyectos; supuestos; escenarios; flujo de caja; deuda; cobertura; liquidez.</w:t>
            </w:r>
          </w:p>
        </w:tc>
      </w:tr>
      <w:tr>
        <w:trPr>
          <w:cantSplit/>
        </w:trPr>
        <w:tc>
          <w:tcPr>
            <w:tcW w:type="dxa" w:w="187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Riesgo</w:t>
            </w:r>
          </w:p>
        </w:tc>
        <w:tc>
          <w:tcPr>
            <w:tcW w:type="dxa" w:w="748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Preparación de simulación; importación; distribución de resultados; sensibilidad; probabilidad de ruptura.</w:t>
            </w:r>
          </w:p>
        </w:tc>
      </w:tr>
      <w:tr>
        <w:trPr>
          <w:cantSplit/>
        </w:trPr>
        <w:tc>
          <w:tcPr>
            <w:tcW w:type="dxa" w:w="187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Calidad</w:t>
            </w:r>
          </w:p>
        </w:tc>
        <w:tc>
          <w:tcPr>
            <w:tcW w:type="dxa" w:w="748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Validaciones; auditoría de fórmulas; revisión; backtesting; bitácora de errores.</w:t>
            </w:r>
          </w:p>
        </w:tc>
      </w:tr>
      <w:tr>
        <w:trPr>
          <w:cantSplit/>
        </w:trPr>
        <w:tc>
          <w:tcPr>
            <w:tcW w:type="dxa" w:w="187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Decisión</w:t>
            </w:r>
          </w:p>
        </w:tc>
        <w:tc>
          <w:tcPr>
            <w:tcW w:type="dxa" w:w="748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Tableros; comparación; comentarios; aprobaciones; reportes.</w:t>
            </w:r>
          </w:p>
        </w:tc>
      </w:tr>
      <w:tr>
        <w:trPr>
          <w:cantSplit/>
        </w:trPr>
        <w:tc>
          <w:tcPr>
            <w:tcW w:type="dxa" w:w="187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Gobierno</w:t>
            </w:r>
          </w:p>
        </w:tc>
        <w:tc>
          <w:tcPr>
            <w:tcW w:type="dxa" w:w="748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Usuarios; permisos; versiones; fuentes; seguridad; trazabilidad; administración de contenido.</w:t>
            </w:r>
          </w:p>
        </w:tc>
      </w:tr>
    </w:tbl>
    <w:p>
      <w:pPr>
        <w:spacing w:after="20"/>
      </w:pPr>
    </w:p>
    <w:p>
      <w:pPr>
        <w:pStyle w:val="Heading1"/>
        <w:keepNext/>
        <w:spacing w:before="160" w:after="80"/>
      </w:pPr>
      <w:r>
        <w:rPr>
          <w:rFonts w:ascii="Aptos Display" w:hAnsi="Aptos Display" w:eastAsia="Aptos Display"/>
          <w:b/>
          <w:color w:val="4B2E83"/>
        </w:rPr>
        <w:t>4. Módulo 1: formación en conceptos básicos</w:t>
      </w:r>
    </w:p>
    <w:tbl>
      <w:tblPr>
        <w:tblW w:type="auto" w:w="0"/>
        <w:jc w:val="center"/>
        <w:tblLayout w:type="autofit"/>
        <w:tblLook w:firstColumn="1" w:firstRow="1" w:lastColumn="0" w:lastRow="0" w:noHBand="0" w:noVBand="1" w:val="04A0"/>
      </w:tblPr>
      <w:tblGrid>
        <w:gridCol w:w="9922"/>
      </w:tblGrid>
      <w:tr>
        <w:trPr>
          <w:cantSplit/>
        </w:trPr>
        <w:tc>
          <w:tcPr>
            <w:tcW w:type="dxa" w:w="9922"/>
            <w:shd w:fill="EEE9F7"/>
            <w:tcBorders>
              <w:top w:sz="8" w:val="single" w:color="4B2E83"/>
              <w:left w:sz="22" w:val="single" w:color="4B2E83"/>
              <w:bottom w:sz="8" w:val="single" w:color="4B2E83"/>
              <w:right w:sz="8" w:val="single" w:color="4B2E83"/>
            </w:tcBorders>
            <w:tcMar>
              <w:top w:w="120" w:type="dxa"/>
              <w:start w:w="180" w:type="dxa"/>
              <w:bottom w:w="120" w:type="dxa"/>
              <w:end w:w="160" w:type="dxa"/>
            </w:tcMar>
          </w:tcPr>
          <w:p>
            <w:pPr>
              <w:spacing w:after="40"/>
            </w:pPr>
            <w:r>
              <w:rPr>
                <w:rFonts w:ascii="Aptos" w:hAnsi="Aptos" w:eastAsia="Aptos"/>
                <w:b/>
                <w:color w:val="4B2E83"/>
                <w:sz w:val="20"/>
              </w:rPr>
              <w:t>Objetivo del módulo</w:t>
            </w:r>
          </w:p>
          <w:p>
            <w:pPr>
              <w:spacing w:before="0" w:after="0" w:line="247" w:lineRule="auto"/>
            </w:pPr>
            <w:r>
              <w:rPr>
                <w:rFonts w:ascii="Aptos" w:hAnsi="Aptos" w:eastAsia="Aptos"/>
                <w:color w:val="263238"/>
                <w:sz w:val="18"/>
              </w:rPr>
              <w:t>Lograr que el participante comprenda, construya, cuestione e interprete un modelo financiero de deuda y liquidez, y que pueda utilizar Risk Simulator con criterio técnico. La formación cubre todos los temas identificables en la transcripción, sin convertirla en un simple glosario.</w:t>
            </w:r>
          </w:p>
        </w:tc>
      </w:tr>
    </w:tbl>
    <w:p>
      <w:pPr>
        <w:spacing w:after="0"/>
      </w:pPr>
    </w:p>
    <w:p>
      <w:pPr>
        <w:pStyle w:val="Heading2"/>
        <w:keepNext/>
        <w:spacing w:before="100" w:after="80"/>
      </w:pPr>
      <w:r>
        <w:rPr>
          <w:rFonts w:ascii="Aptos Display" w:hAnsi="Aptos Display" w:eastAsia="Aptos Display"/>
          <w:b/>
          <w:color w:val="263238"/>
        </w:rPr>
        <w:t>4.1 Ruta de aprendizaje</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437"/>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Unidad</w:t>
            </w:r>
          </w:p>
        </w:tc>
        <w:tc>
          <w:tcPr>
            <w:tcW w:type="dxa" w:w="3514"/>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Competencia</w:t>
            </w:r>
          </w:p>
        </w:tc>
        <w:tc>
          <w:tcPr>
            <w:tcW w:type="dxa" w:w="3401"/>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Traducción a la app</w:t>
            </w:r>
          </w:p>
        </w:tc>
      </w:tr>
      <w:tr>
        <w:trPr>
          <w:cantSplit/>
        </w:trPr>
        <w:tc>
          <w:tcPr>
            <w:tcW w:type="dxa" w:w="243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U1. Modelo financiero y decisión</w:t>
            </w:r>
          </w:p>
        </w:tc>
        <w:tc>
          <w:tcPr>
            <w:tcW w:type="dxa" w:w="35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Comprender el modelo como representación de una empresa o proyecto; distinguir dato, supuesto, variable, regla, fórmula y salida; reconocer límites y entorno externo.</w:t>
            </w:r>
          </w:p>
        </w:tc>
        <w:tc>
          <w:tcPr>
            <w:tcW w:type="dxa" w:w="340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La app exige propósito, alcance, supuestos, responsable y advertencia de uso antes de calcular.</w:t>
            </w:r>
          </w:p>
        </w:tc>
      </w:tr>
      <w:tr>
        <w:trPr>
          <w:cantSplit/>
        </w:trPr>
        <w:tc>
          <w:tcPr>
            <w:tcW w:type="dxa" w:w="243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U2. Modelación de deuda</w:t>
            </w:r>
          </w:p>
        </w:tc>
        <w:tc>
          <w:tcPr>
            <w:tcW w:type="dxa" w:w="35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Construir el comportamiento de la deuda por periodos: saldo, desembolso, interés, principal, servicio y cierre.</w:t>
            </w:r>
          </w:p>
        </w:tc>
        <w:tc>
          <w:tcPr>
            <w:tcW w:type="dxa" w:w="340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Calendario de deuda trazable y parametrizable.</w:t>
            </w:r>
          </w:p>
        </w:tc>
      </w:tr>
      <w:tr>
        <w:trPr>
          <w:cantSplit/>
        </w:trPr>
        <w:tc>
          <w:tcPr>
            <w:tcW w:type="dxa" w:w="243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U3. Flujo disponible y cobertura</w:t>
            </w:r>
          </w:p>
        </w:tc>
        <w:tc>
          <w:tcPr>
            <w:tcW w:type="dxa" w:w="35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Definir el flujo disponible para servicio de deuda y calcular el DSCR con consistencia temporal.</w:t>
            </w:r>
          </w:p>
        </w:tc>
        <w:tc>
          <w:tcPr>
            <w:tcW w:type="dxa" w:w="340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Indicador, semáforo y explicación por periodo.</w:t>
            </w:r>
          </w:p>
        </w:tc>
      </w:tr>
      <w:tr>
        <w:trPr>
          <w:cantSplit/>
        </w:trPr>
        <w:tc>
          <w:tcPr>
            <w:tcW w:type="dxa" w:w="243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U4. Restricciones y capacidad</w:t>
            </w:r>
          </w:p>
        </w:tc>
        <w:tc>
          <w:tcPr>
            <w:tcW w:type="dxa" w:w="35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Interpretar covenants y determinar el máximo nivel de deuda compatible con las restricciones activas.</w:t>
            </w:r>
          </w:p>
        </w:tc>
        <w:tc>
          <w:tcPr>
            <w:tcW w:type="dxa" w:w="340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Motor de factibilidad y búsqueda de capacidad.</w:t>
            </w:r>
          </w:p>
        </w:tc>
      </w:tr>
      <w:tr>
        <w:trPr>
          <w:cantSplit/>
        </w:trPr>
        <w:tc>
          <w:tcPr>
            <w:tcW w:type="dxa" w:w="243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U5. Liquidez y alerta temprana</w:t>
            </w:r>
          </w:p>
        </w:tc>
        <w:tc>
          <w:tcPr>
            <w:tcW w:type="dxa" w:w="35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Evaluar caja inicial, entradas, salidas, servicio de deuda, caja final y mínimo de liquidez.</w:t>
            </w:r>
          </w:p>
        </w:tc>
        <w:tc>
          <w:tcPr>
            <w:tcW w:type="dxa" w:w="340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Alertas por periodos críticos y causas de la brecha.</w:t>
            </w:r>
          </w:p>
        </w:tc>
      </w:tr>
      <w:tr>
        <w:trPr>
          <w:cantSplit/>
        </w:trPr>
        <w:tc>
          <w:tcPr>
            <w:tcW w:type="dxa" w:w="243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U6. Incertidumbre y Risk Simulator</w:t>
            </w:r>
          </w:p>
        </w:tc>
        <w:tc>
          <w:tcPr>
            <w:tcW w:type="dxa" w:w="35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Distinguir modelo determinístico y probabilístico; configurar supuestos, distribuciones, correlaciones, pronósticos e iteraciones.</w:t>
            </w:r>
          </w:p>
        </w:tc>
        <w:tc>
          <w:tcPr>
            <w:tcW w:type="dxa" w:w="340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Asistente de preparación, exportación e importación de simulación.</w:t>
            </w:r>
          </w:p>
        </w:tc>
      </w:tr>
      <w:tr>
        <w:trPr>
          <w:cantSplit/>
        </w:trPr>
        <w:tc>
          <w:tcPr>
            <w:tcW w:type="dxa" w:w="243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U7. Auditoría, backtesting y práctica</w:t>
            </w:r>
          </w:p>
        </w:tc>
        <w:tc>
          <w:tcPr>
            <w:tcW w:type="dxa" w:w="35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Revisar errores, comparar proyección con realidad, documentar desviaciones y practicar con información pública autorizada.</w:t>
            </w:r>
          </w:p>
        </w:tc>
        <w:tc>
          <w:tcPr>
            <w:tcW w:type="dxa" w:w="340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Bitácora, revisión por pares y tablero de error.</w:t>
            </w:r>
          </w:p>
        </w:tc>
      </w:tr>
      <w:tr>
        <w:trPr>
          <w:cantSplit/>
        </w:trPr>
        <w:tc>
          <w:tcPr>
            <w:tcW w:type="dxa" w:w="243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U8. Estrategia, criterio y riesgo calculado</w:t>
            </w:r>
          </w:p>
        </w:tc>
        <w:tc>
          <w:tcPr>
            <w:tcW w:type="dxa" w:w="35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Discutir resultados, contrastar disciplinas, leer críticamente y experimentar con límites definidos.</w:t>
            </w:r>
          </w:p>
        </w:tc>
        <w:tc>
          <w:tcPr>
            <w:tcW w:type="dxa" w:w="340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Comentarios, justificación, decisión, responsable y aprendizaje registrado.</w:t>
            </w:r>
          </w:p>
        </w:tc>
      </w:tr>
    </w:tbl>
    <w:p>
      <w:pPr>
        <w:spacing w:after="20"/>
      </w:pPr>
    </w:p>
    <w:p>
      <w:pPr>
        <w:pStyle w:val="Heading2"/>
        <w:keepNext/>
        <w:spacing w:before="100" w:after="80"/>
      </w:pPr>
      <w:r>
        <w:rPr>
          <w:rFonts w:ascii="Aptos Display" w:hAnsi="Aptos Display" w:eastAsia="Aptos Display"/>
          <w:b/>
          <w:color w:val="263238"/>
        </w:rPr>
        <w:t>4.2 Desarrollo mínimo de cada unidad</w:t>
      </w:r>
    </w:p>
    <w:p>
      <w:pPr>
        <w:pStyle w:val="Heading3"/>
        <w:keepNext/>
        <w:spacing w:before="100" w:after="80"/>
      </w:pPr>
      <w:r>
        <w:rPr>
          <w:rFonts w:ascii="Aptos Display" w:hAnsi="Aptos Display" w:eastAsia="Aptos Display"/>
          <w:b/>
          <w:color w:val="263238"/>
        </w:rPr>
        <w:t>U1. Modelo financiero y decisión</w:t>
      </w:r>
    </w:p>
    <w:p>
      <w:pPr>
        <w:keepNext w:val="0"/>
        <w:spacing w:before="0" w:after="100" w:line="259" w:lineRule="auto"/>
      </w:pPr>
      <w:r>
        <w:rPr>
          <w:rFonts w:ascii="Aptos" w:hAnsi="Aptos" w:eastAsia="Aptos"/>
          <w:b/>
        </w:rPr>
        <w:t>Competencia:</w:t>
      </w:r>
      <w:r>
        <w:rPr>
          <w:rFonts w:ascii="Aptos" w:hAnsi="Aptos" w:eastAsia="Aptos"/>
        </w:rPr>
        <w:t xml:space="preserve"> Comprender el modelo como representación de una empresa o proyecto; distinguir dato, supuesto, variable, regla, fórmula y salida; reconocer límites y entorno externo.</w:t>
      </w:r>
    </w:p>
    <w:p>
      <w:pPr>
        <w:pStyle w:val="ListBullet"/>
        <w:spacing w:before="0" w:after="40" w:line="259" w:lineRule="auto"/>
      </w:pPr>
      <w:r>
        <w:rPr>
          <w:rFonts w:ascii="Aptos" w:hAnsi="Aptos" w:eastAsia="Aptos"/>
        </w:rPr>
        <w:t>Propósito, alcance y usuario de la decisión.</w:t>
      </w:r>
    </w:p>
    <w:p>
      <w:pPr>
        <w:pStyle w:val="ListBullet"/>
        <w:spacing w:before="0" w:after="40" w:line="259" w:lineRule="auto"/>
      </w:pPr>
      <w:r>
        <w:rPr>
          <w:rFonts w:ascii="Aptos" w:hAnsi="Aptos" w:eastAsia="Aptos"/>
        </w:rPr>
        <w:t>Diferencia entre hechos históricos, supuestos prospectivos y resultados calculados.</w:t>
      </w:r>
    </w:p>
    <w:p>
      <w:pPr>
        <w:pStyle w:val="ListBullet"/>
        <w:spacing w:before="0" w:after="40" w:line="259" w:lineRule="auto"/>
      </w:pPr>
      <w:r>
        <w:rPr>
          <w:rFonts w:ascii="Aptos" w:hAnsi="Aptos" w:eastAsia="Aptos"/>
        </w:rPr>
        <w:t>Dependencia entre variables y necesidad de coherencia de unidades y periodos.</w:t>
      </w:r>
    </w:p>
    <w:p>
      <w:pPr>
        <w:pStyle w:val="ListBullet"/>
        <w:spacing w:before="0" w:after="40" w:line="259" w:lineRule="auto"/>
      </w:pPr>
      <w:r>
        <w:rPr>
          <w:rFonts w:ascii="Aptos" w:hAnsi="Aptos" w:eastAsia="Aptos"/>
        </w:rPr>
        <w:t>Modelo como apoyo a una conversación estratégica, no como sustituto del contexto.</w:t>
      </w:r>
    </w:p>
    <w:p>
      <w:pPr>
        <w:pStyle w:val="ListBullet"/>
        <w:spacing w:before="0" w:after="40" w:line="259" w:lineRule="auto"/>
      </w:pPr>
      <w:r>
        <w:rPr>
          <w:rFonts w:ascii="Aptos" w:hAnsi="Aptos" w:eastAsia="Aptos"/>
        </w:rPr>
        <w:t>Riesgo de falsa precisión y obligación de revelar límites.</w:t>
      </w:r>
    </w:p>
    <w:p>
      <w:pPr>
        <w:keepNext w:val="0"/>
        <w:spacing w:before="0" w:after="100" w:line="259" w:lineRule="auto"/>
      </w:pPr>
      <w:r>
        <w:rPr>
          <w:rFonts w:ascii="Aptos" w:hAnsi="Aptos" w:eastAsia="Aptos"/>
          <w:b/>
        </w:rPr>
        <w:t>Aplicación en la app:</w:t>
      </w:r>
      <w:r>
        <w:rPr>
          <w:rFonts w:ascii="Aptos" w:hAnsi="Aptos" w:eastAsia="Aptos"/>
        </w:rPr>
        <w:t xml:space="preserve"> La app exige propósito, alcance, supuestos, responsable y advertencia de uso antes de calcular.</w:t>
      </w:r>
    </w:p>
    <w:p>
      <w:pPr>
        <w:pStyle w:val="Heading3"/>
        <w:keepNext/>
        <w:spacing w:before="100" w:after="80"/>
      </w:pPr>
      <w:r>
        <w:rPr>
          <w:rFonts w:ascii="Aptos Display" w:hAnsi="Aptos Display" w:eastAsia="Aptos Display"/>
          <w:b/>
          <w:color w:val="263238"/>
        </w:rPr>
        <w:t>U2. Modelación de deuda</w:t>
      </w:r>
    </w:p>
    <w:p>
      <w:pPr>
        <w:keepNext w:val="0"/>
        <w:spacing w:before="0" w:after="100" w:line="259" w:lineRule="auto"/>
      </w:pPr>
      <w:r>
        <w:rPr>
          <w:rFonts w:ascii="Aptos" w:hAnsi="Aptos" w:eastAsia="Aptos"/>
          <w:b/>
        </w:rPr>
        <w:t>Competencia:</w:t>
      </w:r>
      <w:r>
        <w:rPr>
          <w:rFonts w:ascii="Aptos" w:hAnsi="Aptos" w:eastAsia="Aptos"/>
        </w:rPr>
        <w:t xml:space="preserve"> Construir el comportamiento de la deuda por periodos: saldo, desembolso, interés, principal, servicio y cierre.</w:t>
      </w:r>
    </w:p>
    <w:p>
      <w:pPr>
        <w:pStyle w:val="ListBullet"/>
        <w:spacing w:before="0" w:after="40" w:line="259" w:lineRule="auto"/>
      </w:pPr>
      <w:r>
        <w:rPr>
          <w:rFonts w:ascii="Aptos" w:hAnsi="Aptos" w:eastAsia="Aptos"/>
        </w:rPr>
        <w:t>Identificación de cada obligación o tramo de financiación.</w:t>
      </w:r>
    </w:p>
    <w:p>
      <w:pPr>
        <w:pStyle w:val="ListBullet"/>
        <w:spacing w:before="0" w:after="40" w:line="259" w:lineRule="auto"/>
      </w:pPr>
      <w:r>
        <w:rPr>
          <w:rFonts w:ascii="Aptos" w:hAnsi="Aptos" w:eastAsia="Aptos"/>
        </w:rPr>
        <w:t>Fecha de desembolso, tasa, periodicidad, plazo contractual y método de amortización como parámetros.</w:t>
      </w:r>
    </w:p>
    <w:p>
      <w:pPr>
        <w:pStyle w:val="ListBullet"/>
        <w:spacing w:before="0" w:after="40" w:line="259" w:lineRule="auto"/>
      </w:pPr>
      <w:r>
        <w:rPr>
          <w:rFonts w:ascii="Aptos" w:hAnsi="Aptos" w:eastAsia="Aptos"/>
        </w:rPr>
        <w:t>Separación de principal, interés y otros componentes contractuales.</w:t>
      </w:r>
    </w:p>
    <w:p>
      <w:pPr>
        <w:pStyle w:val="ListBullet"/>
        <w:spacing w:before="0" w:after="40" w:line="259" w:lineRule="auto"/>
      </w:pPr>
      <w:r>
        <w:rPr>
          <w:rFonts w:ascii="Aptos" w:hAnsi="Aptos" w:eastAsia="Aptos"/>
        </w:rPr>
        <w:t>Conciliación del saldo inicial, movimientos y saldo final.</w:t>
      </w:r>
    </w:p>
    <w:p>
      <w:pPr>
        <w:pStyle w:val="ListBullet"/>
        <w:spacing w:before="0" w:after="40" w:line="259" w:lineRule="auto"/>
      </w:pPr>
      <w:r>
        <w:rPr>
          <w:rFonts w:ascii="Aptos" w:hAnsi="Aptos" w:eastAsia="Aptos"/>
        </w:rPr>
        <w:t>Lectura del perfil de pagos y de la evolución de la exposición.</w:t>
      </w:r>
    </w:p>
    <w:p>
      <w:pPr>
        <w:keepNext w:val="0"/>
        <w:spacing w:before="0" w:after="100" w:line="259" w:lineRule="auto"/>
      </w:pPr>
      <w:r>
        <w:rPr>
          <w:rFonts w:ascii="Aptos" w:hAnsi="Aptos" w:eastAsia="Aptos"/>
          <w:b/>
        </w:rPr>
        <w:t>Aplicación en la app:</w:t>
      </w:r>
      <w:r>
        <w:rPr>
          <w:rFonts w:ascii="Aptos" w:hAnsi="Aptos" w:eastAsia="Aptos"/>
        </w:rPr>
        <w:t xml:space="preserve"> Calendario de deuda trazable y parametrizable.</w:t>
      </w:r>
    </w:p>
    <w:p>
      <w:pPr>
        <w:pStyle w:val="Heading3"/>
        <w:keepNext/>
        <w:spacing w:before="100" w:after="80"/>
      </w:pPr>
      <w:r>
        <w:rPr>
          <w:rFonts w:ascii="Aptos Display" w:hAnsi="Aptos Display" w:eastAsia="Aptos Display"/>
          <w:b/>
          <w:color w:val="263238"/>
        </w:rPr>
        <w:t>U3. Flujo disponible y cobertura</w:t>
      </w:r>
    </w:p>
    <w:p>
      <w:pPr>
        <w:keepNext w:val="0"/>
        <w:spacing w:before="0" w:after="100" w:line="259" w:lineRule="auto"/>
      </w:pPr>
      <w:r>
        <w:rPr>
          <w:rFonts w:ascii="Aptos" w:hAnsi="Aptos" w:eastAsia="Aptos"/>
          <w:b/>
        </w:rPr>
        <w:t>Competencia:</w:t>
      </w:r>
      <w:r>
        <w:rPr>
          <w:rFonts w:ascii="Aptos" w:hAnsi="Aptos" w:eastAsia="Aptos"/>
        </w:rPr>
        <w:t xml:space="preserve"> Definir el flujo disponible para servicio de deuda y calcular el DSCR con consistencia temporal.</w:t>
      </w:r>
    </w:p>
    <w:p>
      <w:pPr>
        <w:pStyle w:val="ListBullet"/>
        <w:spacing w:before="0" w:after="40" w:line="259" w:lineRule="auto"/>
      </w:pPr>
      <w:r>
        <w:rPr>
          <w:rFonts w:ascii="Aptos" w:hAnsi="Aptos" w:eastAsia="Aptos"/>
        </w:rPr>
        <w:t>Definición corporativa de flujo de caja disponible para servicio de deuda (CFADS).</w:t>
      </w:r>
    </w:p>
    <w:p>
      <w:pPr>
        <w:pStyle w:val="ListBullet"/>
        <w:spacing w:before="0" w:after="40" w:line="259" w:lineRule="auto"/>
      </w:pPr>
      <w:r>
        <w:rPr>
          <w:rFonts w:ascii="Aptos" w:hAnsi="Aptos" w:eastAsia="Aptos"/>
        </w:rPr>
        <w:t>Servicio de deuda como principal más interés pagadero en el periodo [F-01].</w:t>
      </w:r>
    </w:p>
    <w:p>
      <w:pPr>
        <w:pStyle w:val="ListBullet"/>
        <w:spacing w:before="0" w:after="40" w:line="259" w:lineRule="auto"/>
      </w:pPr>
      <w:r>
        <w:rPr>
          <w:rFonts w:ascii="Aptos" w:hAnsi="Aptos" w:eastAsia="Aptos"/>
        </w:rPr>
        <w:t>DSCR como relación entre flujo disponible y servicio de deuda [F-01].</w:t>
      </w:r>
    </w:p>
    <w:p>
      <w:pPr>
        <w:pStyle w:val="ListBullet"/>
        <w:spacing w:before="0" w:after="40" w:line="259" w:lineRule="auto"/>
      </w:pPr>
      <w:r>
        <w:rPr>
          <w:rFonts w:ascii="Aptos" w:hAnsi="Aptos" w:eastAsia="Aptos"/>
        </w:rPr>
        <w:t>Consistencia de periodicidad y prevención de doble conteo.</w:t>
      </w:r>
    </w:p>
    <w:p>
      <w:pPr>
        <w:pStyle w:val="ListBullet"/>
        <w:spacing w:before="0" w:after="40" w:line="259" w:lineRule="auto"/>
      </w:pPr>
      <w:r>
        <w:rPr>
          <w:rFonts w:ascii="Aptos" w:hAnsi="Aptos" w:eastAsia="Aptos"/>
        </w:rPr>
        <w:t>Interpretación de cumplimiento, holgura, vulnerabilidad y ruptura.</w:t>
      </w:r>
    </w:p>
    <w:p>
      <w:pPr>
        <w:keepNext w:val="0"/>
        <w:spacing w:before="0" w:after="100" w:line="259" w:lineRule="auto"/>
      </w:pPr>
      <w:r>
        <w:rPr>
          <w:rFonts w:ascii="Aptos" w:hAnsi="Aptos" w:eastAsia="Aptos"/>
          <w:b/>
        </w:rPr>
        <w:t>Aplicación en la app:</w:t>
      </w:r>
      <w:r>
        <w:rPr>
          <w:rFonts w:ascii="Aptos" w:hAnsi="Aptos" w:eastAsia="Aptos"/>
        </w:rPr>
        <w:t xml:space="preserve"> Indicador, semáforo y explicación por periodo.</w:t>
      </w:r>
    </w:p>
    <w:p>
      <w:pPr>
        <w:pStyle w:val="Heading3"/>
        <w:keepNext/>
        <w:spacing w:before="100" w:after="80"/>
      </w:pPr>
      <w:r>
        <w:rPr>
          <w:rFonts w:ascii="Aptos Display" w:hAnsi="Aptos Display" w:eastAsia="Aptos Display"/>
          <w:b/>
          <w:color w:val="263238"/>
        </w:rPr>
        <w:t>U4. Restricciones y capacidad</w:t>
      </w:r>
    </w:p>
    <w:p>
      <w:pPr>
        <w:keepNext w:val="0"/>
        <w:spacing w:before="0" w:after="100" w:line="259" w:lineRule="auto"/>
      </w:pPr>
      <w:r>
        <w:rPr>
          <w:rFonts w:ascii="Aptos" w:hAnsi="Aptos" w:eastAsia="Aptos"/>
          <w:b/>
        </w:rPr>
        <w:t>Competencia:</w:t>
      </w:r>
      <w:r>
        <w:rPr>
          <w:rFonts w:ascii="Aptos" w:hAnsi="Aptos" w:eastAsia="Aptos"/>
        </w:rPr>
        <w:t xml:space="preserve"> Interpretar covenants y determinar el máximo nivel de deuda compatible con las restricciones activas.</w:t>
      </w:r>
    </w:p>
    <w:p>
      <w:pPr>
        <w:pStyle w:val="ListBullet"/>
        <w:spacing w:before="0" w:after="40" w:line="259" w:lineRule="auto"/>
      </w:pPr>
      <w:r>
        <w:rPr>
          <w:rFonts w:ascii="Aptos" w:hAnsi="Aptos" w:eastAsia="Aptos"/>
        </w:rPr>
        <w:t>Covenant financiero como condición contractual o interna verificable.</w:t>
      </w:r>
    </w:p>
    <w:p>
      <w:pPr>
        <w:pStyle w:val="ListBullet"/>
        <w:spacing w:before="0" w:after="40" w:line="259" w:lineRule="auto"/>
      </w:pPr>
      <w:r>
        <w:rPr>
          <w:rFonts w:ascii="Aptos" w:hAnsi="Aptos" w:eastAsia="Aptos"/>
        </w:rPr>
        <w:t>Umbral, frecuencia, periodo de cura y consecuencia como campos configurables.</w:t>
      </w:r>
    </w:p>
    <w:p>
      <w:pPr>
        <w:pStyle w:val="ListBullet"/>
        <w:spacing w:before="0" w:after="40" w:line="259" w:lineRule="auto"/>
      </w:pPr>
      <w:r>
        <w:rPr>
          <w:rFonts w:ascii="Aptos" w:hAnsi="Aptos" w:eastAsia="Aptos"/>
        </w:rPr>
        <w:t>Capacidad de deuda como máximo monto factible bajo todas las restricciones activas.</w:t>
      </w:r>
    </w:p>
    <w:p>
      <w:pPr>
        <w:pStyle w:val="ListBullet"/>
        <w:spacing w:before="0" w:after="40" w:line="259" w:lineRule="auto"/>
      </w:pPr>
      <w:r>
        <w:rPr>
          <w:rFonts w:ascii="Aptos" w:hAnsi="Aptos" w:eastAsia="Aptos"/>
        </w:rPr>
        <w:t>Pruebas de estrés ante condiciones más exigentes.</w:t>
      </w:r>
    </w:p>
    <w:p>
      <w:pPr>
        <w:pStyle w:val="ListBullet"/>
        <w:spacing w:before="0" w:after="40" w:line="259" w:lineRule="auto"/>
      </w:pPr>
      <w:r>
        <w:rPr>
          <w:rFonts w:ascii="Aptos" w:hAnsi="Aptos" w:eastAsia="Aptos"/>
        </w:rPr>
        <w:t>Separación entre capacidad matemática y decisión prudencial.</w:t>
      </w:r>
    </w:p>
    <w:p>
      <w:pPr>
        <w:keepNext w:val="0"/>
        <w:spacing w:before="0" w:after="100" w:line="259" w:lineRule="auto"/>
      </w:pPr>
      <w:r>
        <w:rPr>
          <w:rFonts w:ascii="Aptos" w:hAnsi="Aptos" w:eastAsia="Aptos"/>
          <w:b/>
        </w:rPr>
        <w:t>Aplicación en la app:</w:t>
      </w:r>
      <w:r>
        <w:rPr>
          <w:rFonts w:ascii="Aptos" w:hAnsi="Aptos" w:eastAsia="Aptos"/>
        </w:rPr>
        <w:t xml:space="preserve"> Motor de factibilidad y búsqueda de capacidad.</w:t>
      </w:r>
    </w:p>
    <w:p>
      <w:pPr>
        <w:pStyle w:val="Heading3"/>
        <w:keepNext/>
        <w:spacing w:before="100" w:after="80"/>
      </w:pPr>
      <w:r>
        <w:rPr>
          <w:rFonts w:ascii="Aptos Display" w:hAnsi="Aptos Display" w:eastAsia="Aptos Display"/>
          <w:b/>
          <w:color w:val="263238"/>
        </w:rPr>
        <w:t>U5. Liquidez y alerta temprana</w:t>
      </w:r>
    </w:p>
    <w:p>
      <w:pPr>
        <w:keepNext w:val="0"/>
        <w:spacing w:before="0" w:after="100" w:line="259" w:lineRule="auto"/>
      </w:pPr>
      <w:r>
        <w:rPr>
          <w:rFonts w:ascii="Aptos" w:hAnsi="Aptos" w:eastAsia="Aptos"/>
          <w:b/>
        </w:rPr>
        <w:t>Competencia:</w:t>
      </w:r>
      <w:r>
        <w:rPr>
          <w:rFonts w:ascii="Aptos" w:hAnsi="Aptos" w:eastAsia="Aptos"/>
        </w:rPr>
        <w:t xml:space="preserve"> Evaluar caja inicial, entradas, salidas, servicio de deuda, caja final y mínimo de liquidez.</w:t>
      </w:r>
    </w:p>
    <w:p>
      <w:pPr>
        <w:pStyle w:val="ListBullet"/>
        <w:spacing w:before="0" w:after="40" w:line="259" w:lineRule="auto"/>
      </w:pPr>
      <w:r>
        <w:rPr>
          <w:rFonts w:ascii="Aptos" w:hAnsi="Aptos" w:eastAsia="Aptos"/>
        </w:rPr>
        <w:t>Caja inicial, flujos de operación, inversión, financiación y caja final.</w:t>
      </w:r>
    </w:p>
    <w:p>
      <w:pPr>
        <w:pStyle w:val="ListBullet"/>
        <w:spacing w:before="0" w:after="40" w:line="259" w:lineRule="auto"/>
      </w:pPr>
      <w:r>
        <w:rPr>
          <w:rFonts w:ascii="Aptos" w:hAnsi="Aptos" w:eastAsia="Aptos"/>
        </w:rPr>
        <w:t>Política de caja mínima definida por Rehavid o por el usuario autorizado.</w:t>
      </w:r>
    </w:p>
    <w:p>
      <w:pPr>
        <w:pStyle w:val="ListBullet"/>
        <w:spacing w:before="0" w:after="40" w:line="259" w:lineRule="auto"/>
      </w:pPr>
      <w:r>
        <w:rPr>
          <w:rFonts w:ascii="Aptos" w:hAnsi="Aptos" w:eastAsia="Aptos"/>
        </w:rPr>
        <w:t>Periodos de déficit, necesidades de fondeo y alertas antes de la crisis.</w:t>
      </w:r>
    </w:p>
    <w:p>
      <w:pPr>
        <w:pStyle w:val="ListBullet"/>
        <w:spacing w:before="0" w:after="40" w:line="259" w:lineRule="auto"/>
      </w:pPr>
      <w:r>
        <w:rPr>
          <w:rFonts w:ascii="Aptos" w:hAnsi="Aptos" w:eastAsia="Aptos"/>
        </w:rPr>
        <w:t>Diferencia entre indicador de cobertura y disponibilidad real de caja.</w:t>
      </w:r>
    </w:p>
    <w:p>
      <w:pPr>
        <w:pStyle w:val="ListBullet"/>
        <w:spacing w:before="0" w:after="40" w:line="259" w:lineRule="auto"/>
      </w:pPr>
      <w:r>
        <w:rPr>
          <w:rFonts w:ascii="Aptos" w:hAnsi="Aptos" w:eastAsia="Aptos"/>
        </w:rPr>
        <w:t>Trazabilidad de la causa principal de cada brecha.</w:t>
      </w:r>
    </w:p>
    <w:p>
      <w:pPr>
        <w:keepNext w:val="0"/>
        <w:spacing w:before="0" w:after="100" w:line="259" w:lineRule="auto"/>
      </w:pPr>
      <w:r>
        <w:rPr>
          <w:rFonts w:ascii="Aptos" w:hAnsi="Aptos" w:eastAsia="Aptos"/>
          <w:b/>
        </w:rPr>
        <w:t>Aplicación en la app:</w:t>
      </w:r>
      <w:r>
        <w:rPr>
          <w:rFonts w:ascii="Aptos" w:hAnsi="Aptos" w:eastAsia="Aptos"/>
        </w:rPr>
        <w:t xml:space="preserve"> Alertas por periodos críticos y causas de la brecha.</w:t>
      </w:r>
    </w:p>
    <w:p>
      <w:pPr>
        <w:pStyle w:val="Heading3"/>
        <w:keepNext/>
        <w:spacing w:before="100" w:after="80"/>
      </w:pPr>
      <w:r>
        <w:rPr>
          <w:rFonts w:ascii="Aptos Display" w:hAnsi="Aptos Display" w:eastAsia="Aptos Display"/>
          <w:b/>
          <w:color w:val="263238"/>
        </w:rPr>
        <w:t>U6. Incertidumbre y Risk Simulator</w:t>
      </w:r>
    </w:p>
    <w:p>
      <w:pPr>
        <w:keepNext w:val="0"/>
        <w:spacing w:before="0" w:after="100" w:line="259" w:lineRule="auto"/>
      </w:pPr>
      <w:r>
        <w:rPr>
          <w:rFonts w:ascii="Aptos" w:hAnsi="Aptos" w:eastAsia="Aptos"/>
          <w:b/>
        </w:rPr>
        <w:t>Competencia:</w:t>
      </w:r>
      <w:r>
        <w:rPr>
          <w:rFonts w:ascii="Aptos" w:hAnsi="Aptos" w:eastAsia="Aptos"/>
        </w:rPr>
        <w:t xml:space="preserve"> Distinguir modelo determinístico y probabilístico; configurar supuestos, distribuciones, correlaciones, pronósticos e iteraciones.</w:t>
      </w:r>
    </w:p>
    <w:p>
      <w:pPr>
        <w:pStyle w:val="ListBullet"/>
        <w:spacing w:before="0" w:after="40" w:line="259" w:lineRule="auto"/>
      </w:pPr>
      <w:r>
        <w:rPr>
          <w:rFonts w:ascii="Aptos" w:hAnsi="Aptos" w:eastAsia="Aptos"/>
        </w:rPr>
        <w:t>Variable incierta, distribución, parámetros, correlación y variable de salida.</w:t>
      </w:r>
    </w:p>
    <w:p>
      <w:pPr>
        <w:pStyle w:val="ListBullet"/>
        <w:spacing w:before="0" w:after="40" w:line="259" w:lineRule="auto"/>
      </w:pPr>
      <w:r>
        <w:rPr>
          <w:rFonts w:ascii="Aptos" w:hAnsi="Aptos" w:eastAsia="Aptos"/>
        </w:rPr>
        <w:t>Monte Carlo como muestreo repetido del modelo a partir de distribuciones de entrada [MC-01].</w:t>
      </w:r>
    </w:p>
    <w:p>
      <w:pPr>
        <w:pStyle w:val="ListBullet"/>
        <w:spacing w:before="0" w:after="40" w:line="259" w:lineRule="auto"/>
      </w:pPr>
      <w:r>
        <w:rPr>
          <w:rFonts w:ascii="Aptos" w:hAnsi="Aptos" w:eastAsia="Aptos"/>
        </w:rPr>
        <w:t>Definición de pronósticos, iteraciones, semilla cuando esté disponible y control de convergencia.</w:t>
      </w:r>
    </w:p>
    <w:p>
      <w:pPr>
        <w:pStyle w:val="ListBullet"/>
        <w:spacing w:before="0" w:after="40" w:line="259" w:lineRule="auto"/>
      </w:pPr>
      <w:r>
        <w:rPr>
          <w:rFonts w:ascii="Aptos" w:hAnsi="Aptos" w:eastAsia="Aptos"/>
        </w:rPr>
        <w:t>Percentiles, probabilidad de ruptura, dispersión y sensibilidad.</w:t>
      </w:r>
    </w:p>
    <w:p>
      <w:pPr>
        <w:pStyle w:val="ListBullet"/>
        <w:spacing w:before="0" w:after="40" w:line="259" w:lineRule="auto"/>
      </w:pPr>
      <w:r>
        <w:rPr>
          <w:rFonts w:ascii="Aptos" w:hAnsi="Aptos" w:eastAsia="Aptos"/>
        </w:rPr>
        <w:t>Limitaciones por calidad del dato, selección de distribución y correlaciones.</w:t>
      </w:r>
    </w:p>
    <w:p>
      <w:pPr>
        <w:keepNext w:val="0"/>
        <w:spacing w:before="0" w:after="100" w:line="259" w:lineRule="auto"/>
      </w:pPr>
      <w:r>
        <w:rPr>
          <w:rFonts w:ascii="Aptos" w:hAnsi="Aptos" w:eastAsia="Aptos"/>
          <w:b/>
        </w:rPr>
        <w:t>Aplicación en la app:</w:t>
      </w:r>
      <w:r>
        <w:rPr>
          <w:rFonts w:ascii="Aptos" w:hAnsi="Aptos" w:eastAsia="Aptos"/>
        </w:rPr>
        <w:t xml:space="preserve"> Asistente de preparación, exportación e importación de simulación.</w:t>
      </w:r>
    </w:p>
    <w:p>
      <w:pPr>
        <w:pStyle w:val="Heading3"/>
        <w:keepNext/>
        <w:spacing w:before="100" w:after="80"/>
      </w:pPr>
      <w:r>
        <w:rPr>
          <w:rFonts w:ascii="Aptos Display" w:hAnsi="Aptos Display" w:eastAsia="Aptos Display"/>
          <w:b/>
          <w:color w:val="263238"/>
        </w:rPr>
        <w:t>U7. Auditoría, backtesting y práctica</w:t>
      </w:r>
    </w:p>
    <w:p>
      <w:pPr>
        <w:keepNext w:val="0"/>
        <w:spacing w:before="0" w:after="100" w:line="259" w:lineRule="auto"/>
      </w:pPr>
      <w:r>
        <w:rPr>
          <w:rFonts w:ascii="Aptos" w:hAnsi="Aptos" w:eastAsia="Aptos"/>
          <w:b/>
        </w:rPr>
        <w:t>Competencia:</w:t>
      </w:r>
      <w:r>
        <w:rPr>
          <w:rFonts w:ascii="Aptos" w:hAnsi="Aptos" w:eastAsia="Aptos"/>
        </w:rPr>
        <w:t xml:space="preserve"> Revisar errores, comparar proyección con realidad, documentar desviaciones y practicar con información pública autorizada.</w:t>
      </w:r>
    </w:p>
    <w:p>
      <w:pPr>
        <w:pStyle w:val="ListBullet"/>
        <w:spacing w:before="0" w:after="40" w:line="259" w:lineRule="auto"/>
      </w:pPr>
      <w:r>
        <w:rPr>
          <w:rFonts w:ascii="Aptos" w:hAnsi="Aptos" w:eastAsia="Aptos"/>
        </w:rPr>
        <w:t>Revisión estructural y lógica del modelo.</w:t>
      </w:r>
    </w:p>
    <w:p>
      <w:pPr>
        <w:pStyle w:val="ListBullet"/>
        <w:spacing w:before="0" w:after="40" w:line="259" w:lineRule="auto"/>
      </w:pPr>
      <w:r>
        <w:rPr>
          <w:rFonts w:ascii="Aptos" w:hAnsi="Aptos" w:eastAsia="Aptos"/>
        </w:rPr>
        <w:t>Inventario de errores, causa, impacto y acción correctiva.</w:t>
      </w:r>
    </w:p>
    <w:p>
      <w:pPr>
        <w:pStyle w:val="ListBullet"/>
        <w:spacing w:before="0" w:after="40" w:line="259" w:lineRule="auto"/>
      </w:pPr>
      <w:r>
        <w:rPr>
          <w:rFonts w:ascii="Aptos" w:hAnsi="Aptos" w:eastAsia="Aptos"/>
        </w:rPr>
        <w:t>Comparación retrospectiva entre supuestos, proyección y resultados observados.</w:t>
      </w:r>
    </w:p>
    <w:p>
      <w:pPr>
        <w:pStyle w:val="ListBullet"/>
        <w:spacing w:before="0" w:after="40" w:line="259" w:lineRule="auto"/>
      </w:pPr>
      <w:r>
        <w:rPr>
          <w:rFonts w:ascii="Aptos" w:hAnsi="Aptos" w:eastAsia="Aptos"/>
        </w:rPr>
        <w:t>Revisión por pares en modelos críticos [MQ-01].</w:t>
      </w:r>
    </w:p>
    <w:p>
      <w:pPr>
        <w:pStyle w:val="ListBullet"/>
        <w:spacing w:before="0" w:after="40" w:line="259" w:lineRule="auto"/>
      </w:pPr>
      <w:r>
        <w:rPr>
          <w:rFonts w:ascii="Aptos" w:hAnsi="Aptos" w:eastAsia="Aptos"/>
        </w:rPr>
        <w:t>Práctica deliberada y repetición con modelos de empresas o proyectos cuya información sea lícita y verificable.</w:t>
      </w:r>
    </w:p>
    <w:p>
      <w:pPr>
        <w:keepNext w:val="0"/>
        <w:spacing w:before="0" w:after="100" w:line="259" w:lineRule="auto"/>
      </w:pPr>
      <w:r>
        <w:rPr>
          <w:rFonts w:ascii="Aptos" w:hAnsi="Aptos" w:eastAsia="Aptos"/>
          <w:b/>
        </w:rPr>
        <w:t>Aplicación en la app:</w:t>
      </w:r>
      <w:r>
        <w:rPr>
          <w:rFonts w:ascii="Aptos" w:hAnsi="Aptos" w:eastAsia="Aptos"/>
        </w:rPr>
        <w:t xml:space="preserve"> Bitácora, revisión por pares y tablero de error.</w:t>
      </w:r>
    </w:p>
    <w:p>
      <w:pPr>
        <w:pStyle w:val="Heading3"/>
        <w:keepNext/>
        <w:spacing w:before="100" w:after="80"/>
      </w:pPr>
      <w:r>
        <w:rPr>
          <w:rFonts w:ascii="Aptos Display" w:hAnsi="Aptos Display" w:eastAsia="Aptos Display"/>
          <w:b/>
          <w:color w:val="263238"/>
        </w:rPr>
        <w:t>U8. Estrategia, criterio y riesgo calculado</w:t>
      </w:r>
    </w:p>
    <w:p>
      <w:pPr>
        <w:keepNext w:val="0"/>
        <w:spacing w:before="0" w:after="100" w:line="259" w:lineRule="auto"/>
      </w:pPr>
      <w:r>
        <w:rPr>
          <w:rFonts w:ascii="Aptos" w:hAnsi="Aptos" w:eastAsia="Aptos"/>
          <w:b/>
        </w:rPr>
        <w:t>Competencia:</w:t>
      </w:r>
      <w:r>
        <w:rPr>
          <w:rFonts w:ascii="Aptos" w:hAnsi="Aptos" w:eastAsia="Aptos"/>
        </w:rPr>
        <w:t xml:space="preserve"> Discutir resultados, contrastar disciplinas, leer críticamente y experimentar con límites definidos.</w:t>
      </w:r>
    </w:p>
    <w:p>
      <w:pPr>
        <w:pStyle w:val="ListBullet"/>
        <w:spacing w:before="0" w:after="40" w:line="259" w:lineRule="auto"/>
      </w:pPr>
      <w:r>
        <w:rPr>
          <w:rFonts w:ascii="Aptos" w:hAnsi="Aptos" w:eastAsia="Aptos"/>
        </w:rPr>
        <w:t>Discusión de supuestos, contraargumentos y alternativas.</w:t>
      </w:r>
    </w:p>
    <w:p>
      <w:pPr>
        <w:pStyle w:val="ListBullet"/>
        <w:spacing w:before="0" w:after="40" w:line="259" w:lineRule="auto"/>
      </w:pPr>
      <w:r>
        <w:rPr>
          <w:rFonts w:ascii="Aptos" w:hAnsi="Aptos" w:eastAsia="Aptos"/>
        </w:rPr>
        <w:t>Lectura interdisciplinaria para ampliar la capacidad crítica.</w:t>
      </w:r>
    </w:p>
    <w:p>
      <w:pPr>
        <w:pStyle w:val="ListBullet"/>
        <w:spacing w:before="0" w:after="40" w:line="259" w:lineRule="auto"/>
      </w:pPr>
      <w:r>
        <w:rPr>
          <w:rFonts w:ascii="Aptos" w:hAnsi="Aptos" w:eastAsia="Aptos"/>
        </w:rPr>
        <w:t>Riesgo calculado como experimento con propósito, límite y aprendizaje esperado.</w:t>
      </w:r>
    </w:p>
    <w:p>
      <w:pPr>
        <w:pStyle w:val="ListBullet"/>
        <w:spacing w:before="0" w:after="40" w:line="259" w:lineRule="auto"/>
      </w:pPr>
      <w:r>
        <w:rPr>
          <w:rFonts w:ascii="Aptos" w:hAnsi="Aptos" w:eastAsia="Aptos"/>
        </w:rPr>
        <w:t>Reconocimiento de variables externas no controlables.</w:t>
      </w:r>
    </w:p>
    <w:p>
      <w:pPr>
        <w:pStyle w:val="ListBullet"/>
        <w:spacing w:before="0" w:after="40" w:line="259" w:lineRule="auto"/>
      </w:pPr>
      <w:r>
        <w:rPr>
          <w:rFonts w:ascii="Aptos" w:hAnsi="Aptos" w:eastAsia="Aptos"/>
        </w:rPr>
        <w:t>Registro de la decisión, responsable, incertidumbre residual y condición de revisión.</w:t>
      </w:r>
    </w:p>
    <w:p>
      <w:pPr>
        <w:keepNext w:val="0"/>
        <w:spacing w:before="0" w:after="100" w:line="259" w:lineRule="auto"/>
      </w:pPr>
      <w:r>
        <w:rPr>
          <w:rFonts w:ascii="Aptos" w:hAnsi="Aptos" w:eastAsia="Aptos"/>
          <w:b/>
        </w:rPr>
        <w:t>Aplicación en la app:</w:t>
      </w:r>
      <w:r>
        <w:rPr>
          <w:rFonts w:ascii="Aptos" w:hAnsi="Aptos" w:eastAsia="Aptos"/>
        </w:rPr>
        <w:t xml:space="preserve"> Comentarios, justificación, decisión, responsable y aprendizaje registrado.</w:t>
      </w:r>
    </w:p>
    <w:p>
      <w:pPr>
        <w:pStyle w:val="Heading2"/>
        <w:keepNext/>
        <w:spacing w:before="100" w:after="80"/>
      </w:pPr>
      <w:r>
        <w:rPr>
          <w:rFonts w:ascii="Aptos Display" w:hAnsi="Aptos Display" w:eastAsia="Aptos Display"/>
          <w:b/>
          <w:color w:val="263238"/>
        </w:rPr>
        <w:t>4.3 Referentes y cursos</w:t>
      </w:r>
    </w:p>
    <w:p>
      <w:pPr>
        <w:keepNext w:val="0"/>
        <w:spacing w:before="0" w:after="100" w:line="259" w:lineRule="auto"/>
      </w:pPr>
      <w:r>
        <w:rPr>
          <w:rFonts w:ascii="Aptos" w:hAnsi="Aptos" w:eastAsia="Aptos"/>
        </w:rPr>
        <w:t>El segmento transcrito no nombra autores, obras, instituciones ni cursos específicos. Para respetar la fuente, el módulo no atribuye contenidos a nombres inexistentes. La base de validación se construye con referentes institucionales: Banco Mundial para cobertura de deuda, NIST para simulación Monte Carlo, documentación oficial de Risk Simulator para uso del software, ICAEW para control de hojas de cálculo, OWASP para seguridad y fuentes oficiales colombianas para datos, contabilidad y mensajes electrónicos. [F-01][MC-01][RS-01][MQ-01][SEC-01][COL-01][COL-02]</w:t>
      </w:r>
    </w:p>
    <w:tbl>
      <w:tblPr>
        <w:tblW w:type="auto" w:w="0"/>
        <w:jc w:val="center"/>
        <w:tblLayout w:type="autofit"/>
        <w:tblLook w:firstColumn="1" w:firstRow="1" w:lastColumn="0" w:lastRow="0" w:noHBand="0" w:noVBand="1" w:val="04A0"/>
      </w:tblPr>
      <w:tblGrid>
        <w:gridCol w:w="9922"/>
      </w:tblGrid>
      <w:tr>
        <w:trPr>
          <w:cantSplit/>
        </w:trPr>
        <w:tc>
          <w:tcPr>
            <w:tcW w:type="dxa" w:w="9922"/>
            <w:shd w:fill="E8F5F5"/>
            <w:tcBorders>
              <w:top w:sz="8" w:val="single" w:color="159A9C"/>
              <w:left w:sz="22" w:val="single" w:color="159A9C"/>
              <w:bottom w:sz="8" w:val="single" w:color="159A9C"/>
              <w:right w:sz="8" w:val="single" w:color="159A9C"/>
            </w:tcBorders>
            <w:tcMar>
              <w:top w:w="120" w:type="dxa"/>
              <w:start w:w="180" w:type="dxa"/>
              <w:bottom w:w="120" w:type="dxa"/>
              <w:end w:w="160" w:type="dxa"/>
            </w:tcMar>
          </w:tcPr>
          <w:p>
            <w:pPr>
              <w:spacing w:after="40"/>
            </w:pPr>
            <w:r>
              <w:rPr>
                <w:rFonts w:ascii="Aptos" w:hAnsi="Aptos" w:eastAsia="Aptos"/>
                <w:b/>
                <w:color w:val="159A9C"/>
                <w:sz w:val="20"/>
              </w:rPr>
              <w:t>Regla para futuras transcripciones</w:t>
            </w:r>
          </w:p>
          <w:p>
            <w:pPr>
              <w:spacing w:before="0" w:after="0" w:line="247" w:lineRule="auto"/>
            </w:pPr>
            <w:r>
              <w:rPr>
                <w:rFonts w:ascii="Aptos" w:hAnsi="Aptos" w:eastAsia="Aptos"/>
                <w:color w:val="263238"/>
                <w:sz w:val="18"/>
              </w:rPr>
              <w:t>Cuando aparezca un autor, curso, libro o institución, debe registrarse el nombre exacto, el concepto atribuido, la fuente verificable y la parte de la formación donde se aplica. Una mención incompleta queda “pendiente de confirmación”; no se completa por intuición.</w:t>
            </w:r>
          </w:p>
        </w:tc>
      </w:tr>
    </w:tbl>
    <w:p>
      <w:pPr>
        <w:spacing w:after="0"/>
      </w:pPr>
    </w:p>
    <w:p>
      <w:pPr>
        <w:pStyle w:val="Heading2"/>
        <w:keepNext/>
        <w:spacing w:before="100" w:after="80"/>
      </w:pPr>
      <w:r>
        <w:rPr>
          <w:rFonts w:ascii="Aptos Display" w:hAnsi="Aptos Display" w:eastAsia="Aptos Display"/>
          <w:b/>
          <w:color w:val="263238"/>
        </w:rPr>
        <w:t>4.4 Actividades formativas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664"/>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Actividad</w:t>
            </w:r>
          </w:p>
        </w:tc>
        <w:tc>
          <w:tcPr>
            <w:tcW w:type="dxa" w:w="6689"/>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Producto de aprendizaje</w:t>
            </w:r>
          </w:p>
        </w:tc>
      </w:tr>
      <w:tr>
        <w:trPr>
          <w:cantSplit/>
        </w:trPr>
        <w:tc>
          <w:tcPr>
            <w:tcW w:type="dxa" w:w="266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Mapa del modelo</w:t>
            </w:r>
          </w:p>
        </w:tc>
        <w:tc>
          <w:tcPr>
            <w:tcW w:type="dxa" w:w="668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Clasificar entradas, supuestos, cálculos, restricciones y salidas.</w:t>
            </w:r>
          </w:p>
        </w:tc>
      </w:tr>
      <w:tr>
        <w:trPr>
          <w:cantSplit/>
        </w:trPr>
        <w:tc>
          <w:tcPr>
            <w:tcW w:type="dxa" w:w="266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Construcción guiada</w:t>
            </w:r>
          </w:p>
        </w:tc>
        <w:tc>
          <w:tcPr>
            <w:tcW w:type="dxa" w:w="668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Completar una estructura neutra de deuda y flujo sin datos de los casos de la transcripción.</w:t>
            </w:r>
          </w:p>
        </w:tc>
      </w:tr>
      <w:tr>
        <w:trPr>
          <w:cantSplit/>
        </w:trPr>
        <w:tc>
          <w:tcPr>
            <w:tcW w:type="dxa" w:w="266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Diagnóstico de error</w:t>
            </w:r>
          </w:p>
        </w:tc>
        <w:tc>
          <w:tcPr>
            <w:tcW w:type="dxa" w:w="668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Identificar una inconsistencia de periodo, saldo o fórmula y explicar su efecto.</w:t>
            </w:r>
          </w:p>
        </w:tc>
      </w:tr>
      <w:tr>
        <w:trPr>
          <w:cantSplit/>
        </w:trPr>
        <w:tc>
          <w:tcPr>
            <w:tcW w:type="dxa" w:w="266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Discusión de covenant</w:t>
            </w:r>
          </w:p>
        </w:tc>
        <w:tc>
          <w:tcPr>
            <w:tcW w:type="dxa" w:w="668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Analizar por qué una alternativa puede pagar la cuota y aun así no ser aceptable.</w:t>
            </w:r>
          </w:p>
        </w:tc>
      </w:tr>
      <w:tr>
        <w:trPr>
          <w:cantSplit/>
        </w:trPr>
        <w:tc>
          <w:tcPr>
            <w:tcW w:type="dxa" w:w="266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Laboratorio Risk Simulator</w:t>
            </w:r>
          </w:p>
        </w:tc>
        <w:tc>
          <w:tcPr>
            <w:tcW w:type="dxa" w:w="668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Definir supuestos, salidas y una simulación sobre un modelo didáctico.</w:t>
            </w:r>
          </w:p>
        </w:tc>
      </w:tr>
      <w:tr>
        <w:trPr>
          <w:cantSplit/>
        </w:trPr>
        <w:tc>
          <w:tcPr>
            <w:tcW w:type="dxa" w:w="266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Lectura de sensibilidad</w:t>
            </w:r>
          </w:p>
        </w:tc>
        <w:tc>
          <w:tcPr>
            <w:tcW w:type="dxa" w:w="668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Explicar qué variables dominan la dispersión y qué decisión requiere revisión.</w:t>
            </w:r>
          </w:p>
        </w:tc>
      </w:tr>
      <w:tr>
        <w:trPr>
          <w:cantSplit/>
        </w:trPr>
        <w:tc>
          <w:tcPr>
            <w:tcW w:type="dxa" w:w="266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Backtesting</w:t>
            </w:r>
          </w:p>
        </w:tc>
        <w:tc>
          <w:tcPr>
            <w:tcW w:type="dxa" w:w="668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Comparar una proyección archivada con el resultado observado y ajustar el razonamiento.</w:t>
            </w:r>
          </w:p>
        </w:tc>
      </w:tr>
      <w:tr>
        <w:trPr>
          <w:cantSplit/>
        </w:trPr>
        <w:tc>
          <w:tcPr>
            <w:tcW w:type="dxa" w:w="266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Comité de decisión</w:t>
            </w:r>
          </w:p>
        </w:tc>
        <w:tc>
          <w:tcPr>
            <w:tcW w:type="dxa" w:w="668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Defender y cuestionar un escenario con evidencia, límites y riesgo residual.</w:t>
            </w:r>
          </w:p>
        </w:tc>
      </w:tr>
    </w:tbl>
    <w:p>
      <w:pPr>
        <w:spacing w:after="20"/>
      </w:pPr>
    </w:p>
    <w:p>
      <w:pPr>
        <w:pStyle w:val="Heading2"/>
        <w:keepNext/>
        <w:spacing w:before="100" w:after="80"/>
      </w:pPr>
      <w:r>
        <w:rPr>
          <w:rFonts w:ascii="Aptos Display" w:hAnsi="Aptos Display" w:eastAsia="Aptos Display"/>
          <w:b/>
          <w:color w:val="263238"/>
        </w:rPr>
        <w:t>4.5 Preguntas arquetipo para el banco de evaluación</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530"/>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5"/>
              </w:rPr>
              <w:t>Tema</w:t>
            </w:r>
          </w:p>
        </w:tc>
        <w:tc>
          <w:tcPr>
            <w:tcW w:type="dxa" w:w="3004"/>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5"/>
              </w:rPr>
              <w:t>Pregunta base</w:t>
            </w:r>
          </w:p>
        </w:tc>
        <w:tc>
          <w:tcPr>
            <w:tcW w:type="dxa" w:w="2494"/>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5"/>
              </w:rPr>
              <w:t>Respuesta correcta</w:t>
            </w:r>
          </w:p>
        </w:tc>
        <w:tc>
          <w:tcPr>
            <w:tcW w:type="dxa" w:w="2324"/>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5"/>
              </w:rPr>
              <w:t>Retroalimentación inmediata</w:t>
            </w:r>
          </w:p>
        </w:tc>
      </w:tr>
      <w:tr>
        <w:trPr>
          <w:cantSplit/>
        </w:trPr>
        <w:tc>
          <w:tcPr>
            <w:tcW w:type="dxa" w:w="153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CFADS</w:t>
            </w:r>
          </w:p>
        </w:tc>
        <w:tc>
          <w:tcPr>
            <w:tcW w:type="dxa" w:w="300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¿Qué representa el numerador del indicador de cobertura del servicio de deuda?</w:t>
            </w:r>
          </w:p>
        </w:tc>
        <w:tc>
          <w:tcPr>
            <w:tcW w:type="dxa" w:w="249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El flujo de caja disponible para atender el servicio de deuda.</w:t>
            </w:r>
          </w:p>
        </w:tc>
        <w:tc>
          <w:tcPr>
            <w:tcW w:type="dxa" w:w="232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Confundir utilidad con caja puede sobreestimar la capacidad real.</w:t>
            </w:r>
          </w:p>
        </w:tc>
      </w:tr>
      <w:tr>
        <w:trPr>
          <w:cantSplit/>
        </w:trPr>
        <w:tc>
          <w:tcPr>
            <w:tcW w:type="dxa" w:w="153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Liquidez</w:t>
            </w:r>
          </w:p>
        </w:tc>
        <w:tc>
          <w:tcPr>
            <w:tcW w:type="dxa" w:w="300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Un escenario cumple el covenant, pero vulnera la caja mínima. ¿Debe quedar como factible?</w:t>
            </w:r>
          </w:p>
        </w:tc>
        <w:tc>
          <w:tcPr>
            <w:tcW w:type="dxa" w:w="249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No. Debe marcarse como no factible o condicionado según la política configurada.</w:t>
            </w:r>
          </w:p>
        </w:tc>
        <w:tc>
          <w:tcPr>
            <w:tcW w:type="dxa" w:w="232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Cobertura y liquidez son restricciones distintas.</w:t>
            </w:r>
          </w:p>
        </w:tc>
      </w:tr>
      <w:tr>
        <w:trPr>
          <w:cantSplit/>
        </w:trPr>
        <w:tc>
          <w:tcPr>
            <w:tcW w:type="dxa" w:w="153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Covenant</w:t>
            </w:r>
          </w:p>
        </w:tc>
        <w:tc>
          <w:tcPr>
            <w:tcW w:type="dxa" w:w="300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¿Qué efecto esperado tiene endurecer una restricción de cobertura?</w:t>
            </w:r>
          </w:p>
        </w:tc>
        <w:tc>
          <w:tcPr>
            <w:tcW w:type="dxa" w:w="249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Reduce o mantiene, pero no aumenta, el conjunto de montos factibles bajo las demás condiciones constantes.</w:t>
            </w:r>
          </w:p>
        </w:tc>
        <w:tc>
          <w:tcPr>
            <w:tcW w:type="dxa" w:w="232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La restricción más exigente reduce el espacio de solución.</w:t>
            </w:r>
          </w:p>
        </w:tc>
      </w:tr>
      <w:tr>
        <w:trPr>
          <w:cantSplit/>
        </w:trPr>
        <w:tc>
          <w:tcPr>
            <w:tcW w:type="dxa" w:w="153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Monte Carlo</w:t>
            </w:r>
          </w:p>
        </w:tc>
        <w:tc>
          <w:tcPr>
            <w:tcW w:type="dxa" w:w="300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¿Cuál es el propósito central de definir distribuciones en una simulación?</w:t>
            </w:r>
          </w:p>
        </w:tc>
        <w:tc>
          <w:tcPr>
            <w:tcW w:type="dxa" w:w="249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Representar la incertidumbre de las entradas y propagarla a las salidas.</w:t>
            </w:r>
          </w:p>
        </w:tc>
        <w:tc>
          <w:tcPr>
            <w:tcW w:type="dxa" w:w="232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No se trata de reemplazar datos por azar, sino de modelar incertidumbre justificable.</w:t>
            </w:r>
          </w:p>
        </w:tc>
      </w:tr>
      <w:tr>
        <w:trPr>
          <w:cantSplit/>
        </w:trPr>
        <w:tc>
          <w:tcPr>
            <w:tcW w:type="dxa" w:w="153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Backtesting</w:t>
            </w:r>
          </w:p>
        </w:tc>
        <w:tc>
          <w:tcPr>
            <w:tcW w:type="dxa" w:w="300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¿Qué permite la comparación entre proyección y resultado observado?</w:t>
            </w:r>
          </w:p>
        </w:tc>
        <w:tc>
          <w:tcPr>
            <w:tcW w:type="dxa" w:w="249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Identificar desviaciones, sesgos y oportunidades de mejora en supuestos y fórmulas.</w:t>
            </w:r>
          </w:p>
        </w:tc>
        <w:tc>
          <w:tcPr>
            <w:tcW w:type="dxa" w:w="232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El modelo aprende cuando el error se registra y analiza.</w:t>
            </w:r>
          </w:p>
        </w:tc>
      </w:tr>
      <w:tr>
        <w:trPr>
          <w:cantSplit/>
        </w:trPr>
        <w:tc>
          <w:tcPr>
            <w:tcW w:type="dxa" w:w="153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Auditoría</w:t>
            </w:r>
          </w:p>
        </w:tc>
        <w:tc>
          <w:tcPr>
            <w:tcW w:type="dxa" w:w="300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¿Por qué es insuficiente revisar únicamente el resultado final?</w:t>
            </w:r>
          </w:p>
        </w:tc>
        <w:tc>
          <w:tcPr>
            <w:tcW w:type="dxa" w:w="249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Porque un resultado plausible puede provenir de una fórmula, vínculo o supuesto incorrecto.</w:t>
            </w:r>
          </w:p>
        </w:tc>
        <w:tc>
          <w:tcPr>
            <w:tcW w:type="dxa" w:w="232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La revisión debe cubrir estructura, lógica, datos y salidas.</w:t>
            </w:r>
          </w:p>
        </w:tc>
      </w:tr>
      <w:tr>
        <w:trPr>
          <w:cantSplit/>
        </w:trPr>
        <w:tc>
          <w:tcPr>
            <w:tcW w:type="dxa" w:w="153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Estrategia</w:t>
            </w:r>
          </w:p>
        </w:tc>
        <w:tc>
          <w:tcPr>
            <w:tcW w:type="dxa" w:w="300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¿Por qué debe discutirse un modelo con otras personas?</w:t>
            </w:r>
          </w:p>
        </w:tc>
        <w:tc>
          <w:tcPr>
            <w:tcW w:type="dxa" w:w="249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Porque los supuestos incorporan juicio y el entorno puede requerir perspectivas distintas.</w:t>
            </w:r>
          </w:p>
        </w:tc>
        <w:tc>
          <w:tcPr>
            <w:tcW w:type="dxa" w:w="232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La modelación es técnica y también social.</w:t>
            </w:r>
          </w:p>
        </w:tc>
      </w:tr>
      <w:tr>
        <w:trPr>
          <w:cantSplit/>
        </w:trPr>
        <w:tc>
          <w:tcPr>
            <w:tcW w:type="dxa" w:w="153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Riesgo calculado</w:t>
            </w:r>
          </w:p>
        </w:tc>
        <w:tc>
          <w:tcPr>
            <w:tcW w:type="dxa" w:w="300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¿Qué distingue una prueba responsable de una apuesta sin criterio?</w:t>
            </w:r>
          </w:p>
        </w:tc>
        <w:tc>
          <w:tcPr>
            <w:tcW w:type="dxa" w:w="249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Un objetivo, límites, evidencia, monitoreo y aprendizaje esperado.</w:t>
            </w:r>
          </w:p>
        </w:tc>
        <w:tc>
          <w:tcPr>
            <w:tcW w:type="dxa" w:w="232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El riesgo debe estar diseñado para aprender y proteger la decisión.</w:t>
            </w:r>
          </w:p>
        </w:tc>
      </w:tr>
    </w:tbl>
    <w:p>
      <w:pPr>
        <w:spacing w:after="20"/>
      </w:pPr>
    </w:p>
    <w:p>
      <w:pPr>
        <w:pStyle w:val="Heading1"/>
        <w:keepNext/>
        <w:spacing w:before="160" w:after="80"/>
      </w:pPr>
      <w:r>
        <w:rPr>
          <w:rFonts w:ascii="Aptos Display" w:hAnsi="Aptos Display" w:eastAsia="Aptos Display"/>
          <w:b/>
          <w:color w:val="4B2E83"/>
        </w:rPr>
        <w:t>5. Evaluación adaptativa, aprobación y certificado</w:t>
      </w:r>
    </w:p>
    <w:tbl>
      <w:tblPr>
        <w:tblW w:type="auto" w:w="0"/>
        <w:jc w:val="center"/>
        <w:tblLayout w:type="autofit"/>
        <w:tblLook w:firstColumn="1" w:firstRow="1" w:lastColumn="0" w:lastRow="0" w:noHBand="0" w:noVBand="1" w:val="04A0"/>
      </w:tblPr>
      <w:tblGrid>
        <w:gridCol w:w="9922"/>
      </w:tblGrid>
      <w:tr>
        <w:trPr>
          <w:cantSplit/>
        </w:trPr>
        <w:tc>
          <w:tcPr>
            <w:tcW w:type="dxa" w:w="9922"/>
            <w:shd w:fill="EAF7EF"/>
            <w:tcBorders>
              <w:top w:sz="8" w:val="single" w:color="18794E"/>
              <w:left w:sz="22" w:val="single" w:color="18794E"/>
              <w:bottom w:sz="8" w:val="single" w:color="18794E"/>
              <w:right w:sz="8" w:val="single" w:color="18794E"/>
            </w:tcBorders>
            <w:tcMar>
              <w:top w:w="120" w:type="dxa"/>
              <w:start w:w="180" w:type="dxa"/>
              <w:bottom w:w="120" w:type="dxa"/>
              <w:end w:w="160" w:type="dxa"/>
            </w:tcMar>
          </w:tcPr>
          <w:p>
            <w:pPr>
              <w:spacing w:after="40"/>
            </w:pPr>
            <w:r>
              <w:rPr>
                <w:rFonts w:ascii="Aptos" w:hAnsi="Aptos" w:eastAsia="Aptos"/>
                <w:b/>
                <w:color w:val="18794E"/>
                <w:sz w:val="20"/>
              </w:rPr>
              <w:t>Regla de aprobación</w:t>
            </w:r>
          </w:p>
          <w:p>
            <w:pPr>
              <w:spacing w:before="0" w:after="0" w:line="247" w:lineRule="auto"/>
            </w:pPr>
            <w:r>
              <w:rPr>
                <w:rFonts w:ascii="Aptos" w:hAnsi="Aptos" w:eastAsia="Aptos"/>
                <w:color w:val="263238"/>
                <w:sz w:val="18"/>
              </w:rPr>
              <w:t>El participante aprueba cuando obtiene un resultado igual o superior al 80 % en una evaluación certificable. Las actividades formativas pueden repetirse hasta alcanzar dominio, pero la exigencia del 80 % debe conservar significado y trazabilidad.</w:t>
            </w:r>
          </w:p>
        </w:tc>
      </w:tr>
    </w:tbl>
    <w:p>
      <w:pPr>
        <w:spacing w:after="0"/>
      </w:pPr>
    </w:p>
    <w:p>
      <w:pPr>
        <w:pStyle w:val="Heading2"/>
        <w:keepNext/>
        <w:spacing w:before="100" w:after="80"/>
      </w:pPr>
      <w:r>
        <w:rPr>
          <w:rFonts w:ascii="Aptos Display" w:hAnsi="Aptos Display" w:eastAsia="Aptos Display"/>
          <w:b/>
          <w:color w:val="263238"/>
        </w:rPr>
        <w:t>5.1 Diseño de la evaluación</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814"/>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Etapa</w:t>
            </w:r>
          </w:p>
        </w:tc>
        <w:tc>
          <w:tcPr>
            <w:tcW w:type="dxa" w:w="4932"/>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Comportamiento de la app</w:t>
            </w:r>
          </w:p>
        </w:tc>
        <w:tc>
          <w:tcPr>
            <w:tcW w:type="dxa" w:w="2607"/>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Efecto en el resultado</w:t>
            </w:r>
          </w:p>
        </w:tc>
      </w:tr>
      <w:tr>
        <w:trPr>
          <w:cantSplit/>
        </w:trPr>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Práctica formativa</w:t>
            </w:r>
          </w:p>
        </w:tc>
        <w:tc>
          <w:tcPr>
            <w:tcW w:type="dxa" w:w="493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Pregunta; respuesta; corrección inmediata; explicación; repregunta diferente sobre el mismo objetivo.</w:t>
            </w:r>
          </w:p>
        </w:tc>
        <w:tc>
          <w:tcPr>
            <w:tcW w:type="dxa" w:w="26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No certifica. Registra dominio y errores.</w:t>
            </w:r>
          </w:p>
        </w:tc>
      </w:tr>
      <w:tr>
        <w:trPr>
          <w:cantSplit/>
        </w:trPr>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Evaluación certificable</w:t>
            </w:r>
          </w:p>
        </w:tc>
        <w:tc>
          <w:tcPr>
            <w:tcW w:type="dxa" w:w="493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Banco nuevo, selección aleatoria y balanceada por unidades. Cada primera respuesta cuenta para el resultado del intento.</w:t>
            </w:r>
          </w:p>
        </w:tc>
        <w:tc>
          <w:tcPr>
            <w:tcW w:type="dxa" w:w="26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Genera el porcentaje del intento.</w:t>
            </w:r>
          </w:p>
        </w:tc>
      </w:tr>
      <w:tr>
        <w:trPr>
          <w:cantSplit/>
        </w:trPr>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Error en evaluación</w:t>
            </w:r>
          </w:p>
        </w:tc>
        <w:tc>
          <w:tcPr>
            <w:tcW w:type="dxa" w:w="493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La app corrige de inmediato, explica y presenta una pregunta equivalente distinta. La respuesta original permanece incorrecta para ese intento.</w:t>
            </w:r>
          </w:p>
        </w:tc>
        <w:tc>
          <w:tcPr>
            <w:tcW w:type="dxa" w:w="26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Preserva la validez del 80 % y garantiza aprendizaje.</w:t>
            </w:r>
          </w:p>
        </w:tc>
      </w:tr>
      <w:tr>
        <w:trPr>
          <w:cantSplit/>
        </w:trPr>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Cierre del intento</w:t>
            </w:r>
          </w:p>
        </w:tc>
        <w:tc>
          <w:tcPr>
            <w:tcW w:type="dxa" w:w="493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La app muestra resultado, unidades dominadas y temas por reforzar.</w:t>
            </w:r>
          </w:p>
        </w:tc>
        <w:tc>
          <w:tcPr>
            <w:tcW w:type="dxa" w:w="26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Aprueba si el resultado es ≥ 80 %.</w:t>
            </w:r>
          </w:p>
        </w:tc>
      </w:tr>
      <w:tr>
        <w:trPr>
          <w:cantSplit/>
        </w:trPr>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Reintento</w:t>
            </w:r>
          </w:p>
        </w:tc>
        <w:tc>
          <w:tcPr>
            <w:tcW w:type="dxa" w:w="493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Se habilita después de la ruta de refuerzo; usa ítems nuevos o variantes equivalentes.</w:t>
            </w:r>
          </w:p>
        </w:tc>
        <w:tc>
          <w:tcPr>
            <w:tcW w:type="dxa" w:w="26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Genera un nuevo resultado y conserva los anteriores.</w:t>
            </w:r>
          </w:p>
        </w:tc>
      </w:tr>
    </w:tbl>
    <w:p>
      <w:pPr>
        <w:spacing w:after="20"/>
      </w:pPr>
    </w:p>
    <w:p>
      <w:pPr>
        <w:pStyle w:val="Heading2"/>
        <w:keepNext/>
        <w:spacing w:before="100" w:after="80"/>
      </w:pPr>
      <w:r>
        <w:rPr>
          <w:rFonts w:ascii="Aptos Display" w:hAnsi="Aptos Display" w:eastAsia="Aptos Display"/>
          <w:b/>
          <w:color w:val="263238"/>
        </w:rPr>
        <w:t>5.2 Lógica de corrección y repregunta</w:t>
      </w:r>
    </w:p>
    <w:p>
      <w:pPr>
        <w:spacing w:before="0" w:after="40" w:line="259" w:lineRule="auto"/>
        <w:ind w:left="255" w:hanging="255"/>
      </w:pPr>
      <w:r>
        <w:rPr>
          <w:rFonts w:ascii="Aptos" w:hAnsi="Aptos" w:eastAsia="Aptos"/>
          <w:b/>
          <w:color w:val="4B2E83"/>
        </w:rPr>
        <w:t xml:space="preserve">1. </w:t>
      </w:r>
      <w:r>
        <w:rPr>
          <w:rFonts w:ascii="Aptos" w:hAnsi="Aptos" w:eastAsia="Aptos"/>
        </w:rPr>
        <w:t>Registrar la respuesta, el tiempo, la versión de la pregunta y el objetivo de aprendizaje.</w:t>
      </w:r>
    </w:p>
    <w:p>
      <w:pPr>
        <w:spacing w:before="0" w:after="40" w:line="259" w:lineRule="auto"/>
        <w:ind w:left="255" w:hanging="255"/>
      </w:pPr>
      <w:r>
        <w:rPr>
          <w:rFonts w:ascii="Aptos" w:hAnsi="Aptos" w:eastAsia="Aptos"/>
          <w:b/>
          <w:color w:val="4B2E83"/>
        </w:rPr>
        <w:t xml:space="preserve">2. </w:t>
      </w:r>
      <w:r>
        <w:rPr>
          <w:rFonts w:ascii="Aptos" w:hAnsi="Aptos" w:eastAsia="Aptos"/>
        </w:rPr>
        <w:t>Indicar inmediatamente que la respuesta es incorrecta, sin mensajes ambiguos.</w:t>
      </w:r>
    </w:p>
    <w:p>
      <w:pPr>
        <w:spacing w:before="0" w:after="40" w:line="259" w:lineRule="auto"/>
        <w:ind w:left="255" w:hanging="255"/>
      </w:pPr>
      <w:r>
        <w:rPr>
          <w:rFonts w:ascii="Aptos" w:hAnsi="Aptos" w:eastAsia="Aptos"/>
          <w:b/>
          <w:color w:val="4B2E83"/>
        </w:rPr>
        <w:t xml:space="preserve">3. </w:t>
      </w:r>
      <w:r>
        <w:rPr>
          <w:rFonts w:ascii="Aptos" w:hAnsi="Aptos" w:eastAsia="Aptos"/>
        </w:rPr>
        <w:t>Mostrar la respuesta correcta y explicar el fundamento técnico, la causa del error y el riesgo de aplicar el criterio equivocado.</w:t>
      </w:r>
    </w:p>
    <w:p>
      <w:pPr>
        <w:spacing w:before="0" w:after="40" w:line="259" w:lineRule="auto"/>
        <w:ind w:left="255" w:hanging="255"/>
      </w:pPr>
      <w:r>
        <w:rPr>
          <w:rFonts w:ascii="Aptos" w:hAnsi="Aptos" w:eastAsia="Aptos"/>
          <w:b/>
          <w:color w:val="4B2E83"/>
        </w:rPr>
        <w:t xml:space="preserve">4. </w:t>
      </w:r>
      <w:r>
        <w:rPr>
          <w:rFonts w:ascii="Aptos" w:hAnsi="Aptos" w:eastAsia="Aptos"/>
        </w:rPr>
        <w:t>Vincular el fragmento formativo pertinente.</w:t>
      </w:r>
    </w:p>
    <w:p>
      <w:pPr>
        <w:spacing w:before="0" w:after="40" w:line="259" w:lineRule="auto"/>
        <w:ind w:left="255" w:hanging="255"/>
      </w:pPr>
      <w:r>
        <w:rPr>
          <w:rFonts w:ascii="Aptos" w:hAnsi="Aptos" w:eastAsia="Aptos"/>
          <w:b/>
          <w:color w:val="4B2E83"/>
        </w:rPr>
        <w:t xml:space="preserve">5. </w:t>
      </w:r>
      <w:r>
        <w:rPr>
          <w:rFonts w:ascii="Aptos" w:hAnsi="Aptos" w:eastAsia="Aptos"/>
        </w:rPr>
        <w:t>Seleccionar otra pregunta del mismo objetivo, con redacción, contexto, orden y distractores diferentes.</w:t>
      </w:r>
    </w:p>
    <w:p>
      <w:pPr>
        <w:spacing w:before="0" w:after="40" w:line="259" w:lineRule="auto"/>
        <w:ind w:left="255" w:hanging="255"/>
      </w:pPr>
      <w:r>
        <w:rPr>
          <w:rFonts w:ascii="Aptos" w:hAnsi="Aptos" w:eastAsia="Aptos"/>
          <w:b/>
          <w:color w:val="4B2E83"/>
        </w:rPr>
        <w:t xml:space="preserve">6. </w:t>
      </w:r>
      <w:r>
        <w:rPr>
          <w:rFonts w:ascii="Aptos" w:hAnsi="Aptos" w:eastAsia="Aptos"/>
        </w:rPr>
        <w:t>Evitar que la repregunta dependa de memorizar la opción mostrada.</w:t>
      </w:r>
    </w:p>
    <w:p>
      <w:pPr>
        <w:spacing w:before="0" w:after="40" w:line="259" w:lineRule="auto"/>
        <w:ind w:left="255" w:hanging="255"/>
      </w:pPr>
      <w:r>
        <w:rPr>
          <w:rFonts w:ascii="Aptos" w:hAnsi="Aptos" w:eastAsia="Aptos"/>
          <w:b/>
          <w:color w:val="4B2E83"/>
        </w:rPr>
        <w:t xml:space="preserve">7. </w:t>
      </w:r>
      <w:r>
        <w:rPr>
          <w:rFonts w:ascii="Aptos" w:hAnsi="Aptos" w:eastAsia="Aptos"/>
        </w:rPr>
        <w:t>Cerrar el objetivo como dominado cuando el participante responda correctamente una variante equivalente.</w:t>
      </w:r>
    </w:p>
    <w:p>
      <w:pPr>
        <w:spacing w:before="0" w:after="40" w:line="259" w:lineRule="auto"/>
        <w:ind w:left="255" w:hanging="255"/>
      </w:pPr>
      <w:r>
        <w:rPr>
          <w:rFonts w:ascii="Aptos" w:hAnsi="Aptos" w:eastAsia="Aptos"/>
          <w:b/>
          <w:color w:val="4B2E83"/>
        </w:rPr>
        <w:t xml:space="preserve">8. </w:t>
      </w:r>
      <w:r>
        <w:rPr>
          <w:rFonts w:ascii="Aptos" w:hAnsi="Aptos" w:eastAsia="Aptos"/>
        </w:rPr>
        <w:t>Conservar por separado el resultado del intento certificable y el dominio alcanzado después del refuerzo.</w:t>
      </w:r>
    </w:p>
    <w:p>
      <w:pPr>
        <w:pStyle w:val="Heading2"/>
        <w:keepNext/>
        <w:spacing w:before="100" w:after="80"/>
      </w:pPr>
      <w:r>
        <w:rPr>
          <w:rFonts w:ascii="Aptos Display" w:hAnsi="Aptos Display" w:eastAsia="Aptos Display"/>
          <w:b/>
          <w:color w:val="263238"/>
        </w:rPr>
        <w:t>5.3 Modelo de datos de la pregunta</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834"/>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Campo</w:t>
            </w:r>
          </w:p>
        </w:tc>
        <w:tc>
          <w:tcPr>
            <w:tcW w:type="dxa" w:w="6519"/>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Uso</w:t>
            </w:r>
          </w:p>
        </w:tc>
      </w:tr>
      <w:tr>
        <w:trPr>
          <w:cantSplit/>
        </w:trPr>
        <w:tc>
          <w:tcPr>
            <w:tcW w:type="dxa" w:w="283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question_id / version</w:t>
            </w:r>
          </w:p>
        </w:tc>
        <w:tc>
          <w:tcPr>
            <w:tcW w:type="dxa" w:w="651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Identificación y control de cambios.</w:t>
            </w:r>
          </w:p>
        </w:tc>
      </w:tr>
      <w:tr>
        <w:trPr>
          <w:cantSplit/>
        </w:trPr>
        <w:tc>
          <w:tcPr>
            <w:tcW w:type="dxa" w:w="283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learning_objective_id</w:t>
            </w:r>
          </w:p>
        </w:tc>
        <w:tc>
          <w:tcPr>
            <w:tcW w:type="dxa" w:w="651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Concepto que se evalúa.</w:t>
            </w:r>
          </w:p>
        </w:tc>
      </w:tr>
      <w:tr>
        <w:trPr>
          <w:cantSplit/>
        </w:trPr>
        <w:tc>
          <w:tcPr>
            <w:tcW w:type="dxa" w:w="283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equivalence_group</w:t>
            </w:r>
          </w:p>
        </w:tc>
        <w:tc>
          <w:tcPr>
            <w:tcW w:type="dxa" w:w="651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Conjunto de preguntas que prueban el mismo objetivo de manera diferente.</w:t>
            </w:r>
          </w:p>
        </w:tc>
      </w:tr>
      <w:tr>
        <w:trPr>
          <w:cantSplit/>
        </w:trPr>
        <w:tc>
          <w:tcPr>
            <w:tcW w:type="dxa" w:w="283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difficulty / format</w:t>
            </w:r>
          </w:p>
        </w:tc>
        <w:tc>
          <w:tcPr>
            <w:tcW w:type="dxa" w:w="651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Balance del examen y selección adaptativa.</w:t>
            </w:r>
          </w:p>
        </w:tc>
      </w:tr>
      <w:tr>
        <w:trPr>
          <w:cantSplit/>
        </w:trPr>
        <w:tc>
          <w:tcPr>
            <w:tcW w:type="dxa" w:w="283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stem / options / answer</w:t>
            </w:r>
          </w:p>
        </w:tc>
        <w:tc>
          <w:tcPr>
            <w:tcW w:type="dxa" w:w="651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Enunciado, opciones y clave.</w:t>
            </w:r>
          </w:p>
        </w:tc>
      </w:tr>
      <w:tr>
        <w:trPr>
          <w:cantSplit/>
        </w:trPr>
        <w:tc>
          <w:tcPr>
            <w:tcW w:type="dxa" w:w="283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feedback_correct / feedback_incorrect</w:t>
            </w:r>
          </w:p>
        </w:tc>
        <w:tc>
          <w:tcPr>
            <w:tcW w:type="dxa" w:w="651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Retroalimentación específica.</w:t>
            </w:r>
          </w:p>
        </w:tc>
      </w:tr>
      <w:tr>
        <w:trPr>
          <w:cantSplit/>
        </w:trPr>
        <w:tc>
          <w:tcPr>
            <w:tcW w:type="dxa" w:w="283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risk_of_error</w:t>
            </w:r>
          </w:p>
        </w:tc>
        <w:tc>
          <w:tcPr>
            <w:tcW w:type="dxa" w:w="651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Consecuencia de interpretar o aplicar mal el concepto.</w:t>
            </w:r>
          </w:p>
        </w:tc>
      </w:tr>
      <w:tr>
        <w:trPr>
          <w:cantSplit/>
        </w:trPr>
        <w:tc>
          <w:tcPr>
            <w:tcW w:type="dxa" w:w="283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source_reference</w:t>
            </w:r>
          </w:p>
        </w:tc>
        <w:tc>
          <w:tcPr>
            <w:tcW w:type="dxa" w:w="651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Origen en transcripción, requisito o fuente validada.</w:t>
            </w:r>
          </w:p>
        </w:tc>
      </w:tr>
      <w:tr>
        <w:trPr>
          <w:cantSplit/>
        </w:trPr>
        <w:tc>
          <w:tcPr>
            <w:tcW w:type="dxa" w:w="283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status / valid_from</w:t>
            </w:r>
          </w:p>
        </w:tc>
        <w:tc>
          <w:tcPr>
            <w:tcW w:type="dxa" w:w="651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Vigencia y publicación.</w:t>
            </w:r>
          </w:p>
        </w:tc>
      </w:tr>
    </w:tbl>
    <w:p>
      <w:pPr>
        <w:spacing w:after="20"/>
      </w:pPr>
    </w:p>
    <w:p>
      <w:pPr>
        <w:pStyle w:val="Heading2"/>
        <w:keepNext/>
        <w:spacing w:before="100" w:after="80"/>
      </w:pPr>
      <w:r>
        <w:rPr>
          <w:rFonts w:ascii="Aptos Display" w:hAnsi="Aptos Display" w:eastAsia="Aptos Display"/>
          <w:b/>
          <w:color w:val="263238"/>
        </w:rPr>
        <w:t>5.4 Reglas de puntuación</w:t>
      </w:r>
    </w:p>
    <w:tbl>
      <w:tblPr>
        <w:tblW w:type="auto" w:w="0"/>
        <w:jc w:val="center"/>
        <w:tblLayout w:type="autofit"/>
        <w:tblLook w:firstColumn="1" w:firstRow="1" w:lastColumn="0" w:lastRow="0" w:noHBand="0" w:noVBand="1" w:val="04A0"/>
      </w:tblPr>
      <w:tblGrid>
        <w:gridCol w:w="4961"/>
        <w:gridCol w:w="4961"/>
      </w:tblGrid>
      <w:tr>
        <w:trPr>
          <w:cantSplit/>
        </w:trPr>
        <w:tc>
          <w:tcPr>
            <w:tcW w:type="dxa" w:w="4961"/>
            <w:shd w:fill="EEE9F7"/>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Aptos" w:hAnsi="Aptos" w:eastAsia="Aptos"/>
                <w:b/>
                <w:color w:val="4B2E83"/>
                <w:sz w:val="18"/>
              </w:rPr>
              <w:t>Resultado del intento</w:t>
            </w:r>
          </w:p>
        </w:tc>
        <w:tc>
          <w:tcPr>
            <w:tcW w:type="dxa" w:w="4961"/>
            <w:shd w:fill="F2F3F5"/>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Liberation Mono" w:hAnsi="Liberation Mono" w:eastAsia="Liberation Mono"/>
                <w:b/>
                <w:color w:val="263238"/>
                <w:sz w:val="18"/>
              </w:rPr>
              <w:t>respuestas correctas en primera respuesta ÷ preguntas válidas × 100</w:t>
            </w:r>
          </w:p>
        </w:tc>
      </w:tr>
    </w:tbl>
    <w:tbl>
      <w:tblPr>
        <w:tblW w:type="auto" w:w="0"/>
        <w:jc w:val="center"/>
        <w:tblLayout w:type="autofit"/>
        <w:tblLook w:firstColumn="1" w:firstRow="1" w:lastColumn="0" w:lastRow="0" w:noHBand="0" w:noVBand="1" w:val="04A0"/>
      </w:tblPr>
      <w:tblGrid>
        <w:gridCol w:w="4961"/>
        <w:gridCol w:w="4961"/>
      </w:tblGrid>
      <w:tr>
        <w:trPr>
          <w:cantSplit/>
        </w:trPr>
        <w:tc>
          <w:tcPr>
            <w:tcW w:type="dxa" w:w="4961"/>
            <w:shd w:fill="EEE9F7"/>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Aptos" w:hAnsi="Aptos" w:eastAsia="Aptos"/>
                <w:b/>
                <w:color w:val="4B2E83"/>
                <w:sz w:val="18"/>
              </w:rPr>
              <w:t>Criterio de aprobación</w:t>
            </w:r>
          </w:p>
        </w:tc>
        <w:tc>
          <w:tcPr>
            <w:tcW w:type="dxa" w:w="4961"/>
            <w:shd w:fill="F2F3F5"/>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Liberation Mono" w:hAnsi="Liberation Mono" w:eastAsia="Liberation Mono"/>
                <w:b/>
                <w:color w:val="263238"/>
                <w:sz w:val="18"/>
              </w:rPr>
              <w:t>resultado del intento ≥ 80 %</w:t>
            </w:r>
          </w:p>
        </w:tc>
      </w:tr>
    </w:tbl>
    <w:tbl>
      <w:tblPr>
        <w:tblW w:type="auto" w:w="0"/>
        <w:jc w:val="center"/>
        <w:tblLayout w:type="autofit"/>
        <w:tblLook w:firstColumn="1" w:firstRow="1" w:lastColumn="0" w:lastRow="0" w:noHBand="0" w:noVBand="1" w:val="04A0"/>
      </w:tblPr>
      <w:tblGrid>
        <w:gridCol w:w="4961"/>
        <w:gridCol w:w="4961"/>
      </w:tblGrid>
      <w:tr>
        <w:trPr>
          <w:cantSplit/>
        </w:trPr>
        <w:tc>
          <w:tcPr>
            <w:tcW w:type="dxa" w:w="4961"/>
            <w:shd w:fill="EEE9F7"/>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Aptos" w:hAnsi="Aptos" w:eastAsia="Aptos"/>
                <w:b/>
                <w:color w:val="4B2E83"/>
                <w:sz w:val="18"/>
              </w:rPr>
              <w:t>Dominio posterior</w:t>
            </w:r>
          </w:p>
        </w:tc>
        <w:tc>
          <w:tcPr>
            <w:tcW w:type="dxa" w:w="4961"/>
            <w:shd w:fill="F2F3F5"/>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Liberation Mono" w:hAnsi="Liberation Mono" w:eastAsia="Liberation Mono"/>
                <w:b/>
                <w:color w:val="263238"/>
                <w:sz w:val="18"/>
              </w:rPr>
              <w:t>objetivos resueltos correctamente después del refuerzo ÷ objetivos evaluados × 100</w:t>
            </w:r>
          </w:p>
        </w:tc>
      </w:tr>
    </w:tbl>
    <w:p>
      <w:pPr>
        <w:keepNext w:val="0"/>
        <w:spacing w:before="0" w:after="100" w:line="259" w:lineRule="auto"/>
      </w:pPr>
      <w:r>
        <w:rPr>
          <w:rFonts w:ascii="Aptos" w:hAnsi="Aptos" w:eastAsia="Aptos"/>
        </w:rPr>
        <w:t>El certificado debe mostrar el resultado del intento aprobatorio. El historial puede mostrar, además, resultado inicial, dominio posterior, intentos y temas reforzados. No se recomienda recalcular retroactivamente un intento cuando el participante acierta una repregunta, porque volvería irrelevante el umbral de aprobación.</w:t>
      </w:r>
    </w:p>
    <w:p>
      <w:pPr>
        <w:pStyle w:val="Heading2"/>
        <w:keepNext/>
        <w:spacing w:before="100" w:after="80"/>
      </w:pPr>
      <w:r>
        <w:rPr>
          <w:rFonts w:ascii="Aptos Display" w:hAnsi="Aptos Display" w:eastAsia="Aptos Display"/>
          <w:b/>
          <w:color w:val="263238"/>
        </w:rPr>
        <w:t>5.5 Certificado automático</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097"/>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Grupo</w:t>
            </w:r>
          </w:p>
        </w:tc>
        <w:tc>
          <w:tcPr>
            <w:tcW w:type="dxa" w:w="7256"/>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Contenido del certificado</w:t>
            </w:r>
          </w:p>
        </w:tc>
      </w:tr>
      <w:tr>
        <w:trPr>
          <w:cantSplit/>
        </w:trPr>
        <w:tc>
          <w:tcPr>
            <w:tcW w:type="dxa" w:w="209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Identidad</w:t>
            </w:r>
          </w:p>
        </w:tc>
        <w:tc>
          <w:tcPr>
            <w:tcW w:type="dxa" w:w="725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Nombre completo del participante.</w:t>
            </w:r>
          </w:p>
        </w:tc>
      </w:tr>
      <w:tr>
        <w:trPr>
          <w:cantSplit/>
        </w:trPr>
        <w:tc>
          <w:tcPr>
            <w:tcW w:type="dxa" w:w="209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Vinculación</w:t>
            </w:r>
          </w:p>
        </w:tc>
        <w:tc>
          <w:tcPr>
            <w:tcW w:type="dxa" w:w="7256"/>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Cargo registrado y validado en Rehavid.</w:t>
            </w:r>
          </w:p>
        </w:tc>
      </w:tr>
      <w:tr>
        <w:trPr>
          <w:cantSplit/>
        </w:trPr>
        <w:tc>
          <w:tcPr>
            <w:tcW w:type="dxa" w:w="209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Formación</w:t>
            </w:r>
          </w:p>
        </w:tc>
        <w:tc>
          <w:tcPr>
            <w:tcW w:type="dxa" w:w="725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Nombre y versión de la ruta aprobada.</w:t>
            </w:r>
          </w:p>
        </w:tc>
      </w:tr>
      <w:tr>
        <w:trPr>
          <w:cantSplit/>
        </w:trPr>
        <w:tc>
          <w:tcPr>
            <w:tcW w:type="dxa" w:w="209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Resultado</w:t>
            </w:r>
          </w:p>
        </w:tc>
        <w:tc>
          <w:tcPr>
            <w:tcW w:type="dxa" w:w="7256"/>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Porcentaje del intento aprobatorio y estado “Aprobado”.</w:t>
            </w:r>
          </w:p>
        </w:tc>
      </w:tr>
      <w:tr>
        <w:trPr>
          <w:cantSplit/>
        </w:trPr>
        <w:tc>
          <w:tcPr>
            <w:tcW w:type="dxa" w:w="209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Trazabilidad</w:t>
            </w:r>
          </w:p>
        </w:tc>
        <w:tc>
          <w:tcPr>
            <w:tcW w:type="dxa" w:w="725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Fecha y hora, número de intento, código único y versión del contenido.</w:t>
            </w:r>
          </w:p>
        </w:tc>
      </w:tr>
      <w:tr>
        <w:trPr>
          <w:cantSplit/>
        </w:trPr>
        <w:tc>
          <w:tcPr>
            <w:tcW w:type="dxa" w:w="209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Verificación</w:t>
            </w:r>
          </w:p>
        </w:tc>
        <w:tc>
          <w:tcPr>
            <w:tcW w:type="dxa" w:w="7256"/>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Código QR o URL interna de consulta; estado vigente, revocado o reemplazado.</w:t>
            </w:r>
          </w:p>
        </w:tc>
      </w:tr>
      <w:tr>
        <w:trPr>
          <w:cantSplit/>
        </w:trPr>
        <w:tc>
          <w:tcPr>
            <w:tcW w:type="dxa" w:w="209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Emisor</w:t>
            </w:r>
          </w:p>
        </w:tc>
        <w:tc>
          <w:tcPr>
            <w:tcW w:type="dxa" w:w="725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Rehavid S.A.S. y responsable autorizado, si la organización lo define.</w:t>
            </w:r>
          </w:p>
        </w:tc>
      </w:tr>
      <w:tr>
        <w:trPr>
          <w:cantSplit/>
        </w:trPr>
        <w:tc>
          <w:tcPr>
            <w:tcW w:type="dxa" w:w="209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Alcance</w:t>
            </w:r>
          </w:p>
        </w:tc>
        <w:tc>
          <w:tcPr>
            <w:tcW w:type="dxa" w:w="7256"/>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Certificación interna de formación; no certificación del fabricante de Risk Simulator.</w:t>
            </w:r>
          </w:p>
        </w:tc>
      </w:tr>
    </w:tbl>
    <w:p>
      <w:pPr>
        <w:spacing w:after="20"/>
      </w:pPr>
    </w:p>
    <w:tbl>
      <w:tblPr>
        <w:tblW w:type="auto" w:w="0"/>
        <w:jc w:val="center"/>
        <w:tblLayout w:type="autofit"/>
        <w:tblLook w:firstColumn="1" w:firstRow="1" w:lastColumn="0" w:lastRow="0" w:noHBand="0" w:noVBand="1" w:val="04A0"/>
      </w:tblPr>
      <w:tblGrid>
        <w:gridCol w:w="9922"/>
      </w:tblGrid>
      <w:tr>
        <w:trPr>
          <w:cantSplit/>
        </w:trPr>
        <w:tc>
          <w:tcPr>
            <w:tcW w:type="dxa" w:w="9922"/>
            <w:shd w:fill="E8F5F5"/>
            <w:tcBorders>
              <w:top w:sz="8" w:val="single" w:color="159A9C"/>
              <w:left w:sz="22" w:val="single" w:color="159A9C"/>
              <w:bottom w:sz="8" w:val="single" w:color="159A9C"/>
              <w:right w:sz="8" w:val="single" w:color="159A9C"/>
            </w:tcBorders>
            <w:tcMar>
              <w:top w:w="120" w:type="dxa"/>
              <w:start w:w="180" w:type="dxa"/>
              <w:bottom w:w="120" w:type="dxa"/>
              <w:end w:w="160" w:type="dxa"/>
            </w:tcMar>
          </w:tcPr>
          <w:p>
            <w:pPr>
              <w:spacing w:after="40"/>
            </w:pPr>
            <w:r>
              <w:rPr>
                <w:rFonts w:ascii="Aptos" w:hAnsi="Aptos" w:eastAsia="Aptos"/>
                <w:b/>
                <w:color w:val="159A9C"/>
                <w:sz w:val="20"/>
              </w:rPr>
              <w:t>Texto funcional del certificado</w:t>
            </w:r>
          </w:p>
          <w:p>
            <w:pPr>
              <w:spacing w:before="0" w:after="0" w:line="247" w:lineRule="auto"/>
            </w:pPr>
            <w:r>
              <w:rPr>
                <w:rFonts w:ascii="Aptos" w:hAnsi="Aptos" w:eastAsia="Aptos"/>
                <w:color w:val="263238"/>
                <w:sz w:val="18"/>
              </w:rPr>
              <w:t>“Rehavid S.A.S. certifica que [nombre completo], quien se desempeña como [cargo], aprobó la ruta de formación en modelación financiera y uso aplicado de Risk Simulator, con un resultado de [resultado] %, conforme al criterio mínimo de aprobación del 80 %.”</w:t>
            </w:r>
          </w:p>
        </w:tc>
      </w:tr>
    </w:tbl>
    <w:p>
      <w:pPr>
        <w:spacing w:after="0"/>
      </w:pPr>
    </w:p>
    <w:p>
      <w:pPr>
        <w:pStyle w:val="Heading2"/>
        <w:keepNext/>
        <w:spacing w:before="100" w:after="80"/>
      </w:pPr>
      <w:r>
        <w:rPr>
          <w:rFonts w:ascii="Aptos Display" w:hAnsi="Aptos Display" w:eastAsia="Aptos Display"/>
          <w:b/>
          <w:color w:val="263238"/>
        </w:rPr>
        <w:t>5.6 Control de expedición</w:t>
      </w:r>
    </w:p>
    <w:p>
      <w:pPr>
        <w:pStyle w:val="ListBullet"/>
        <w:spacing w:before="0" w:after="40" w:line="259" w:lineRule="auto"/>
      </w:pPr>
      <w:r>
        <w:rPr>
          <w:rFonts w:ascii="Aptos" w:hAnsi="Aptos" w:eastAsia="Aptos"/>
        </w:rPr>
        <w:t>No generar certificado cuando el resultado sea inferior al 80 %.</w:t>
      </w:r>
    </w:p>
    <w:p>
      <w:pPr>
        <w:pStyle w:val="ListBullet"/>
        <w:spacing w:before="0" w:after="40" w:line="259" w:lineRule="auto"/>
      </w:pPr>
      <w:r>
        <w:rPr>
          <w:rFonts w:ascii="Aptos" w:hAnsi="Aptos" w:eastAsia="Aptos"/>
        </w:rPr>
        <w:t>No permitir edición manual del resultado o de la fecha después de emitido.</w:t>
      </w:r>
    </w:p>
    <w:p>
      <w:pPr>
        <w:pStyle w:val="ListBullet"/>
        <w:spacing w:before="0" w:after="40" w:line="259" w:lineRule="auto"/>
      </w:pPr>
      <w:r>
        <w:rPr>
          <w:rFonts w:ascii="Aptos" w:hAnsi="Aptos" w:eastAsia="Aptos"/>
        </w:rPr>
        <w:t>Corregir datos de identidad mediante revocación y reexpedición, conservando trazabilidad.</w:t>
      </w:r>
    </w:p>
    <w:p>
      <w:pPr>
        <w:pStyle w:val="ListBullet"/>
        <w:spacing w:before="0" w:after="40" w:line="259" w:lineRule="auto"/>
      </w:pPr>
      <w:r>
        <w:rPr>
          <w:rFonts w:ascii="Aptos" w:hAnsi="Aptos" w:eastAsia="Aptos"/>
        </w:rPr>
        <w:t>No usar una imagen de firma como equivalente automático de firma electrónica.</w:t>
      </w:r>
    </w:p>
    <w:p>
      <w:pPr>
        <w:pStyle w:val="ListBullet"/>
        <w:spacing w:before="0" w:after="40" w:line="259" w:lineRule="auto"/>
      </w:pPr>
      <w:r>
        <w:rPr>
          <w:rFonts w:ascii="Aptos" w:hAnsi="Aptos" w:eastAsia="Aptos"/>
        </w:rPr>
        <w:t>Aplicar el régimen de protección de datos al nombre, cargo, resultados e historial. [COL-02][COL-03]</w:t>
      </w:r>
    </w:p>
    <w:p>
      <w:pPr>
        <w:pStyle w:val="ListBullet"/>
        <w:spacing w:before="0" w:after="40" w:line="259" w:lineRule="auto"/>
      </w:pPr>
      <w:r>
        <w:rPr>
          <w:rFonts w:ascii="Aptos" w:hAnsi="Aptos" w:eastAsia="Aptos"/>
        </w:rPr>
        <w:t>Cuando se requiera autenticidad jurídica reforzada, evaluar firma electrónica confiable conforme a la Ley 527 de 1999 y su reglamentación. [COL-05]</w:t>
      </w:r>
    </w:p>
    <w:p>
      <w:pPr>
        <w:pStyle w:val="Heading1"/>
        <w:keepNext/>
        <w:spacing w:before="160" w:after="80"/>
      </w:pPr>
      <w:r>
        <w:rPr>
          <w:rFonts w:ascii="Aptos Display" w:hAnsi="Aptos Display" w:eastAsia="Aptos Display"/>
          <w:b/>
          <w:color w:val="4B2E83"/>
        </w:rPr>
        <w:t>6. Módulo 2: manual de operación</w:t>
      </w:r>
    </w:p>
    <w:p>
      <w:pPr>
        <w:keepNext w:val="0"/>
        <w:spacing w:before="0" w:after="100" w:line="259" w:lineRule="auto"/>
      </w:pPr>
      <w:r>
        <w:rPr>
          <w:rFonts w:ascii="Aptos" w:hAnsi="Aptos" w:eastAsia="Aptos"/>
        </w:rPr>
        <w:t>El manual define cómo debe operar la aplicación desde cuatro perspectivas: participante, modelador, revisor y administrador. Los roles son una necesidad técnica de operación; no se atribuyen al segmento transcrito.</w:t>
      </w:r>
    </w:p>
    <w:p>
      <w:pPr>
        <w:pStyle w:val="Heading2"/>
        <w:keepNext/>
        <w:spacing w:before="100" w:after="80"/>
      </w:pPr>
      <w:r>
        <w:rPr>
          <w:rFonts w:ascii="Aptos Display" w:hAnsi="Aptos Display" w:eastAsia="Aptos Display"/>
          <w:b/>
          <w:color w:val="263238"/>
        </w:rPr>
        <w:t>6.1 Perfiles y permisos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267"/>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Rol</w:t>
            </w:r>
          </w:p>
        </w:tc>
        <w:tc>
          <w:tcPr>
            <w:tcW w:type="dxa" w:w="7086"/>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Permisos principales</w:t>
            </w:r>
          </w:p>
        </w:tc>
      </w:tr>
      <w:tr>
        <w:trPr>
          <w:cantSplit/>
        </w:trPr>
        <w:tc>
          <w:tcPr>
            <w:tcW w:type="dxa" w:w="226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Participante / modelador</w:t>
            </w:r>
          </w:p>
        </w:tc>
        <w:tc>
          <w:tcPr>
            <w:tcW w:type="dxa" w:w="708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Cursar formación, presentar evaluación, crear modelos, ejecutar escenarios, exportar/importar simulaciones y consultar sus resultados.</w:t>
            </w:r>
          </w:p>
        </w:tc>
      </w:tr>
      <w:tr>
        <w:trPr>
          <w:cantSplit/>
        </w:trPr>
        <w:tc>
          <w:tcPr>
            <w:tcW w:type="dxa" w:w="226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Revisor</w:t>
            </w:r>
          </w:p>
        </w:tc>
        <w:tc>
          <w:tcPr>
            <w:tcW w:type="dxa" w:w="7086"/>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Consultar modelos asignados, revisar supuestos, fórmulas, evidencias y emitir observaciones o aprobación.</w:t>
            </w:r>
          </w:p>
        </w:tc>
      </w:tr>
      <w:tr>
        <w:trPr>
          <w:cantSplit/>
        </w:trPr>
        <w:tc>
          <w:tcPr>
            <w:tcW w:type="dxa" w:w="226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Gestor de contenido</w:t>
            </w:r>
          </w:p>
        </w:tc>
        <w:tc>
          <w:tcPr>
            <w:tcW w:type="dxa" w:w="708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Crear unidades, preguntas, equivalencias, retroalimentaciones, versiones y reglas de publicación.</w:t>
            </w:r>
          </w:p>
        </w:tc>
      </w:tr>
      <w:tr>
        <w:trPr>
          <w:cantSplit/>
        </w:trPr>
        <w:tc>
          <w:tcPr>
            <w:tcW w:type="dxa" w:w="226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Administrador</w:t>
            </w:r>
          </w:p>
        </w:tc>
        <w:tc>
          <w:tcPr>
            <w:tcW w:type="dxa" w:w="7086"/>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Gestionar usuarios, cargos, permisos, parámetros, plantillas, integraciones y certificados.</w:t>
            </w:r>
          </w:p>
        </w:tc>
      </w:tr>
      <w:tr>
        <w:trPr>
          <w:cantSplit/>
        </w:trPr>
        <w:tc>
          <w:tcPr>
            <w:tcW w:type="dxa" w:w="226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Auditor</w:t>
            </w:r>
          </w:p>
        </w:tc>
        <w:tc>
          <w:tcPr>
            <w:tcW w:type="dxa" w:w="708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Consultar historial, cambios, aprobaciones, certificados, importaciones y eventos, sin modificar el cálculo.</w:t>
            </w:r>
          </w:p>
        </w:tc>
      </w:tr>
    </w:tbl>
    <w:p>
      <w:pPr>
        <w:spacing w:after="20"/>
      </w:pPr>
    </w:p>
    <w:p>
      <w:pPr>
        <w:pStyle w:val="Heading2"/>
        <w:keepNext/>
        <w:spacing w:before="100" w:after="80"/>
      </w:pPr>
      <w:r>
        <w:rPr>
          <w:rFonts w:ascii="Aptos Display" w:hAnsi="Aptos Display" w:eastAsia="Aptos Display"/>
          <w:b/>
          <w:color w:val="263238"/>
        </w:rPr>
        <w:t>6.2 Ruta del participante</w:t>
      </w:r>
    </w:p>
    <w:p>
      <w:pPr>
        <w:spacing w:before="0" w:after="40" w:line="259" w:lineRule="auto"/>
        <w:ind w:left="255" w:hanging="255"/>
      </w:pPr>
      <w:r>
        <w:rPr>
          <w:rFonts w:ascii="Aptos" w:hAnsi="Aptos" w:eastAsia="Aptos"/>
          <w:b/>
          <w:color w:val="4B2E83"/>
        </w:rPr>
        <w:t xml:space="preserve">1. </w:t>
      </w:r>
      <w:r>
        <w:rPr>
          <w:rFonts w:ascii="Aptos" w:hAnsi="Aptos" w:eastAsia="Aptos"/>
        </w:rPr>
        <w:t>Ingresar con una cuenta autorizada.</w:t>
      </w:r>
    </w:p>
    <w:p>
      <w:pPr>
        <w:spacing w:before="0" w:after="40" w:line="259" w:lineRule="auto"/>
        <w:ind w:left="255" w:hanging="255"/>
      </w:pPr>
      <w:r>
        <w:rPr>
          <w:rFonts w:ascii="Aptos" w:hAnsi="Aptos" w:eastAsia="Aptos"/>
          <w:b/>
          <w:color w:val="4B2E83"/>
        </w:rPr>
        <w:t xml:space="preserve">2. </w:t>
      </w:r>
      <w:r>
        <w:rPr>
          <w:rFonts w:ascii="Aptos" w:hAnsi="Aptos" w:eastAsia="Aptos"/>
        </w:rPr>
        <w:t>Confirmar nombre completo y cargo en Rehavid; reportar cualquier inconsistencia antes del examen.</w:t>
      </w:r>
    </w:p>
    <w:p>
      <w:pPr>
        <w:spacing w:before="0" w:after="40" w:line="259" w:lineRule="auto"/>
        <w:ind w:left="255" w:hanging="255"/>
      </w:pPr>
      <w:r>
        <w:rPr>
          <w:rFonts w:ascii="Aptos" w:hAnsi="Aptos" w:eastAsia="Aptos"/>
          <w:b/>
          <w:color w:val="4B2E83"/>
        </w:rPr>
        <w:t xml:space="preserve">3. </w:t>
      </w:r>
      <w:r>
        <w:rPr>
          <w:rFonts w:ascii="Aptos" w:hAnsi="Aptos" w:eastAsia="Aptos"/>
        </w:rPr>
        <w:t>Revisar la ruta y completar las unidades obligatorias.</w:t>
      </w:r>
    </w:p>
    <w:p>
      <w:pPr>
        <w:spacing w:before="0" w:after="40" w:line="259" w:lineRule="auto"/>
        <w:ind w:left="255" w:hanging="255"/>
      </w:pPr>
      <w:r>
        <w:rPr>
          <w:rFonts w:ascii="Aptos" w:hAnsi="Aptos" w:eastAsia="Aptos"/>
          <w:b/>
          <w:color w:val="4B2E83"/>
        </w:rPr>
        <w:t xml:space="preserve">4. </w:t>
      </w:r>
      <w:r>
        <w:rPr>
          <w:rFonts w:ascii="Aptos" w:hAnsi="Aptos" w:eastAsia="Aptos"/>
        </w:rPr>
        <w:t>Responder actividades formativas; ante error, leer la explicación y resolver la repregunta diferente.</w:t>
      </w:r>
    </w:p>
    <w:p>
      <w:pPr>
        <w:spacing w:before="0" w:after="40" w:line="259" w:lineRule="auto"/>
        <w:ind w:left="255" w:hanging="255"/>
      </w:pPr>
      <w:r>
        <w:rPr>
          <w:rFonts w:ascii="Aptos" w:hAnsi="Aptos" w:eastAsia="Aptos"/>
          <w:b/>
          <w:color w:val="4B2E83"/>
        </w:rPr>
        <w:t xml:space="preserve">5. </w:t>
      </w:r>
      <w:r>
        <w:rPr>
          <w:rFonts w:ascii="Aptos" w:hAnsi="Aptos" w:eastAsia="Aptos"/>
        </w:rPr>
        <w:t>Completar el laboratorio de Risk Simulator o la evidencia definida para esa unidad.</w:t>
      </w:r>
    </w:p>
    <w:p>
      <w:pPr>
        <w:spacing w:before="0" w:after="40" w:line="259" w:lineRule="auto"/>
        <w:ind w:left="255" w:hanging="255"/>
      </w:pPr>
      <w:r>
        <w:rPr>
          <w:rFonts w:ascii="Aptos" w:hAnsi="Aptos" w:eastAsia="Aptos"/>
          <w:b/>
          <w:color w:val="4B2E83"/>
        </w:rPr>
        <w:t xml:space="preserve">6. </w:t>
      </w:r>
      <w:r>
        <w:rPr>
          <w:rFonts w:ascii="Aptos" w:hAnsi="Aptos" w:eastAsia="Aptos"/>
        </w:rPr>
        <w:t>Presentar la evaluación certificable.</w:t>
      </w:r>
    </w:p>
    <w:p>
      <w:pPr>
        <w:spacing w:before="0" w:after="40" w:line="259" w:lineRule="auto"/>
        <w:ind w:left="255" w:hanging="255"/>
      </w:pPr>
      <w:r>
        <w:rPr>
          <w:rFonts w:ascii="Aptos" w:hAnsi="Aptos" w:eastAsia="Aptos"/>
          <w:b/>
          <w:color w:val="4B2E83"/>
        </w:rPr>
        <w:t xml:space="preserve">7. </w:t>
      </w:r>
      <w:r>
        <w:rPr>
          <w:rFonts w:ascii="Aptos" w:hAnsi="Aptos" w:eastAsia="Aptos"/>
        </w:rPr>
        <w:t>Consultar el resultado y el plan de refuerzo, si aplica.</w:t>
      </w:r>
    </w:p>
    <w:p>
      <w:pPr>
        <w:spacing w:before="0" w:after="40" w:line="259" w:lineRule="auto"/>
        <w:ind w:left="255" w:hanging="255"/>
      </w:pPr>
      <w:r>
        <w:rPr>
          <w:rFonts w:ascii="Aptos" w:hAnsi="Aptos" w:eastAsia="Aptos"/>
          <w:b/>
          <w:color w:val="4B2E83"/>
        </w:rPr>
        <w:t xml:space="preserve">8. </w:t>
      </w:r>
      <w:r>
        <w:rPr>
          <w:rFonts w:ascii="Aptos" w:hAnsi="Aptos" w:eastAsia="Aptos"/>
        </w:rPr>
        <w:t>Descargar o verificar el certificado cuando el resultado sea igual o superior al 80 %.</w:t>
      </w:r>
    </w:p>
    <w:p>
      <w:pPr>
        <w:pStyle w:val="Heading2"/>
        <w:keepNext/>
        <w:spacing w:before="100" w:after="80"/>
      </w:pPr>
      <w:r>
        <w:rPr>
          <w:rFonts w:ascii="Aptos Display" w:hAnsi="Aptos Display" w:eastAsia="Aptos Display"/>
          <w:b/>
          <w:color w:val="263238"/>
        </w:rPr>
        <w:t>6.3 Ruta del modelador</w:t>
      </w:r>
    </w:p>
    <w:p>
      <w:pPr>
        <w:spacing w:before="0" w:after="40" w:line="259" w:lineRule="auto"/>
        <w:ind w:left="255" w:hanging="255"/>
      </w:pPr>
      <w:r>
        <w:rPr>
          <w:rFonts w:ascii="Aptos" w:hAnsi="Aptos" w:eastAsia="Aptos"/>
          <w:b/>
          <w:color w:val="4B2E83"/>
        </w:rPr>
        <w:t xml:space="preserve">1. </w:t>
      </w:r>
      <w:r>
        <w:rPr>
          <w:rFonts w:ascii="Aptos" w:hAnsi="Aptos" w:eastAsia="Aptos"/>
        </w:rPr>
        <w:t>Crear un proyecto y declarar su propósito, responsable, horizonte, periodicidad, moneda y alcance.</w:t>
      </w:r>
    </w:p>
    <w:p>
      <w:pPr>
        <w:spacing w:before="0" w:after="40" w:line="259" w:lineRule="auto"/>
        <w:ind w:left="255" w:hanging="255"/>
      </w:pPr>
      <w:r>
        <w:rPr>
          <w:rFonts w:ascii="Aptos" w:hAnsi="Aptos" w:eastAsia="Aptos"/>
          <w:b/>
          <w:color w:val="4B2E83"/>
        </w:rPr>
        <w:t xml:space="preserve">2. </w:t>
      </w:r>
      <w:r>
        <w:rPr>
          <w:rFonts w:ascii="Aptos" w:hAnsi="Aptos" w:eastAsia="Aptos"/>
        </w:rPr>
        <w:t>Registrar fuentes, supuestos y escenarios; separar histórico, presupuesto y proyección.</w:t>
      </w:r>
    </w:p>
    <w:p>
      <w:pPr>
        <w:spacing w:before="0" w:after="40" w:line="259" w:lineRule="auto"/>
        <w:ind w:left="255" w:hanging="255"/>
      </w:pPr>
      <w:r>
        <w:rPr>
          <w:rFonts w:ascii="Aptos" w:hAnsi="Aptos" w:eastAsia="Aptos"/>
          <w:b/>
          <w:color w:val="4B2E83"/>
        </w:rPr>
        <w:t xml:space="preserve">3. </w:t>
      </w:r>
      <w:r>
        <w:rPr>
          <w:rFonts w:ascii="Aptos" w:hAnsi="Aptos" w:eastAsia="Aptos"/>
        </w:rPr>
        <w:t>Configurar una o varias obligaciones de deuda.</w:t>
      </w:r>
    </w:p>
    <w:p>
      <w:pPr>
        <w:spacing w:before="0" w:after="40" w:line="259" w:lineRule="auto"/>
        <w:ind w:left="255" w:hanging="255"/>
      </w:pPr>
      <w:r>
        <w:rPr>
          <w:rFonts w:ascii="Aptos" w:hAnsi="Aptos" w:eastAsia="Aptos"/>
          <w:b/>
          <w:color w:val="4B2E83"/>
        </w:rPr>
        <w:t xml:space="preserve">4. </w:t>
      </w:r>
      <w:r>
        <w:rPr>
          <w:rFonts w:ascii="Aptos" w:hAnsi="Aptos" w:eastAsia="Aptos"/>
        </w:rPr>
        <w:t>Definir el mapeo del flujo disponible para servicio de deuda.</w:t>
      </w:r>
    </w:p>
    <w:p>
      <w:pPr>
        <w:spacing w:before="0" w:after="40" w:line="259" w:lineRule="auto"/>
        <w:ind w:left="255" w:hanging="255"/>
      </w:pPr>
      <w:r>
        <w:rPr>
          <w:rFonts w:ascii="Aptos" w:hAnsi="Aptos" w:eastAsia="Aptos"/>
          <w:b/>
          <w:color w:val="4B2E83"/>
        </w:rPr>
        <w:t xml:space="preserve">5. </w:t>
      </w:r>
      <w:r>
        <w:rPr>
          <w:rFonts w:ascii="Aptos" w:hAnsi="Aptos" w:eastAsia="Aptos"/>
        </w:rPr>
        <w:t>Registrar covenants y condiciones de liquidez con su fuente contractual o política.</w:t>
      </w:r>
    </w:p>
    <w:p>
      <w:pPr>
        <w:spacing w:before="0" w:after="40" w:line="259" w:lineRule="auto"/>
        <w:ind w:left="255" w:hanging="255"/>
      </w:pPr>
      <w:r>
        <w:rPr>
          <w:rFonts w:ascii="Aptos" w:hAnsi="Aptos" w:eastAsia="Aptos"/>
          <w:b/>
          <w:color w:val="4B2E83"/>
        </w:rPr>
        <w:t xml:space="preserve">6. </w:t>
      </w:r>
      <w:r>
        <w:rPr>
          <w:rFonts w:ascii="Aptos" w:hAnsi="Aptos" w:eastAsia="Aptos"/>
        </w:rPr>
        <w:t>Ejecutar validaciones de integridad y corregir inconsistencias.</w:t>
      </w:r>
    </w:p>
    <w:p>
      <w:pPr>
        <w:spacing w:before="0" w:after="40" w:line="259" w:lineRule="auto"/>
        <w:ind w:left="255" w:hanging="255"/>
      </w:pPr>
      <w:r>
        <w:rPr>
          <w:rFonts w:ascii="Aptos" w:hAnsi="Aptos" w:eastAsia="Aptos"/>
          <w:b/>
          <w:color w:val="4B2E83"/>
        </w:rPr>
        <w:t xml:space="preserve">7. </w:t>
      </w:r>
      <w:r>
        <w:rPr>
          <w:rFonts w:ascii="Aptos" w:hAnsi="Aptos" w:eastAsia="Aptos"/>
        </w:rPr>
        <w:t>Calcular calendario, servicio de deuda, cobertura, caja y capacidad máxima factible.</w:t>
      </w:r>
    </w:p>
    <w:p>
      <w:pPr>
        <w:spacing w:before="0" w:after="40" w:line="259" w:lineRule="auto"/>
        <w:ind w:left="255" w:hanging="255"/>
      </w:pPr>
      <w:r>
        <w:rPr>
          <w:rFonts w:ascii="Aptos" w:hAnsi="Aptos" w:eastAsia="Aptos"/>
          <w:b/>
          <w:color w:val="4B2E83"/>
        </w:rPr>
        <w:t xml:space="preserve">8. </w:t>
      </w:r>
      <w:r>
        <w:rPr>
          <w:rFonts w:ascii="Aptos" w:hAnsi="Aptos" w:eastAsia="Aptos"/>
        </w:rPr>
        <w:t>Comparar escenarios determinísticos.</w:t>
      </w:r>
    </w:p>
    <w:p>
      <w:pPr>
        <w:spacing w:before="0" w:after="40" w:line="259" w:lineRule="auto"/>
        <w:ind w:left="255" w:hanging="255"/>
      </w:pPr>
      <w:r>
        <w:rPr>
          <w:rFonts w:ascii="Aptos" w:hAnsi="Aptos" w:eastAsia="Aptos"/>
          <w:b/>
          <w:color w:val="4B2E83"/>
        </w:rPr>
        <w:t xml:space="preserve">9. </w:t>
      </w:r>
      <w:r>
        <w:rPr>
          <w:rFonts w:ascii="Aptos" w:hAnsi="Aptos" w:eastAsia="Aptos"/>
        </w:rPr>
        <w:t>Preparar y exportar el modelo para Risk Simulator.</w:t>
      </w:r>
    </w:p>
    <w:p>
      <w:pPr>
        <w:spacing w:before="0" w:after="40" w:line="259" w:lineRule="auto"/>
        <w:ind w:left="255" w:hanging="255"/>
      </w:pPr>
      <w:r>
        <w:rPr>
          <w:rFonts w:ascii="Aptos" w:hAnsi="Aptos" w:eastAsia="Aptos"/>
          <w:b/>
          <w:color w:val="4B2E83"/>
        </w:rPr>
        <w:t xml:space="preserve">10. </w:t>
      </w:r>
      <w:r>
        <w:rPr>
          <w:rFonts w:ascii="Aptos" w:hAnsi="Aptos" w:eastAsia="Aptos"/>
        </w:rPr>
        <w:t>Ejecutar la simulación en Excel, exportar los resultados e importarlos a la app.</w:t>
      </w:r>
    </w:p>
    <w:p>
      <w:pPr>
        <w:spacing w:before="0" w:after="40" w:line="259" w:lineRule="auto"/>
        <w:ind w:left="255" w:hanging="255"/>
      </w:pPr>
      <w:r>
        <w:rPr>
          <w:rFonts w:ascii="Aptos" w:hAnsi="Aptos" w:eastAsia="Aptos"/>
          <w:b/>
          <w:color w:val="4B2E83"/>
        </w:rPr>
        <w:t xml:space="preserve">11. </w:t>
      </w:r>
      <w:r>
        <w:rPr>
          <w:rFonts w:ascii="Aptos" w:hAnsi="Aptos" w:eastAsia="Aptos"/>
        </w:rPr>
        <w:t>Interpretar dispersión, sensibilidad y probabilidad de ruptura.</w:t>
      </w:r>
    </w:p>
    <w:p>
      <w:pPr>
        <w:spacing w:before="0" w:after="40" w:line="259" w:lineRule="auto"/>
        <w:ind w:left="255" w:hanging="255"/>
      </w:pPr>
      <w:r>
        <w:rPr>
          <w:rFonts w:ascii="Aptos" w:hAnsi="Aptos" w:eastAsia="Aptos"/>
          <w:b/>
          <w:color w:val="4B2E83"/>
        </w:rPr>
        <w:t xml:space="preserve">12. </w:t>
      </w:r>
      <w:r>
        <w:rPr>
          <w:rFonts w:ascii="Aptos" w:hAnsi="Aptos" w:eastAsia="Aptos"/>
        </w:rPr>
        <w:t>Solicitar revisión y cerrar la versión aprobada.</w:t>
      </w:r>
    </w:p>
    <w:p>
      <w:pPr>
        <w:spacing w:before="0" w:after="40" w:line="259" w:lineRule="auto"/>
        <w:ind w:left="255" w:hanging="255"/>
      </w:pPr>
      <w:r>
        <w:rPr>
          <w:rFonts w:ascii="Aptos" w:hAnsi="Aptos" w:eastAsia="Aptos"/>
          <w:b/>
          <w:color w:val="4B2E83"/>
        </w:rPr>
        <w:t xml:space="preserve">13. </w:t>
      </w:r>
      <w:r>
        <w:rPr>
          <w:rFonts w:ascii="Aptos" w:hAnsi="Aptos" w:eastAsia="Aptos"/>
        </w:rPr>
        <w:t>Cuando existan datos reales posteriores, ejecutar backtesting y registrar aprendizaje.</w:t>
      </w:r>
    </w:p>
    <w:p>
      <w:pPr>
        <w:pStyle w:val="Heading2"/>
        <w:keepNext/>
        <w:spacing w:before="100" w:after="80"/>
      </w:pPr>
      <w:r>
        <w:rPr>
          <w:rFonts w:ascii="Aptos Display" w:hAnsi="Aptos Display" w:eastAsia="Aptos Display"/>
          <w:b/>
          <w:color w:val="263238"/>
        </w:rPr>
        <w:t>6.4 Ruta del revisor</w:t>
      </w:r>
    </w:p>
    <w:p>
      <w:pPr>
        <w:spacing w:before="0" w:after="40" w:line="259" w:lineRule="auto"/>
        <w:ind w:left="255" w:hanging="255"/>
      </w:pPr>
      <w:r>
        <w:rPr>
          <w:rFonts w:ascii="Aptos" w:hAnsi="Aptos" w:eastAsia="Aptos"/>
          <w:b/>
          <w:color w:val="4B2E83"/>
        </w:rPr>
        <w:t xml:space="preserve">1. </w:t>
      </w:r>
      <w:r>
        <w:rPr>
          <w:rFonts w:ascii="Aptos" w:hAnsi="Aptos" w:eastAsia="Aptos"/>
        </w:rPr>
        <w:t>Verificar propósito, alcance, fuentes y versión.</w:t>
      </w:r>
    </w:p>
    <w:p>
      <w:pPr>
        <w:spacing w:before="0" w:after="40" w:line="259" w:lineRule="auto"/>
        <w:ind w:left="255" w:hanging="255"/>
      </w:pPr>
      <w:r>
        <w:rPr>
          <w:rFonts w:ascii="Aptos" w:hAnsi="Aptos" w:eastAsia="Aptos"/>
          <w:b/>
          <w:color w:val="4B2E83"/>
        </w:rPr>
        <w:t xml:space="preserve">2. </w:t>
      </w:r>
      <w:r>
        <w:rPr>
          <w:rFonts w:ascii="Aptos" w:hAnsi="Aptos" w:eastAsia="Aptos"/>
        </w:rPr>
        <w:t>Comprobar consistencia de periodos, monedas y unidades.</w:t>
      </w:r>
    </w:p>
    <w:p>
      <w:pPr>
        <w:spacing w:before="0" w:after="40" w:line="259" w:lineRule="auto"/>
        <w:ind w:left="255" w:hanging="255"/>
      </w:pPr>
      <w:r>
        <w:rPr>
          <w:rFonts w:ascii="Aptos" w:hAnsi="Aptos" w:eastAsia="Aptos"/>
          <w:b/>
          <w:color w:val="4B2E83"/>
        </w:rPr>
        <w:t xml:space="preserve">3. </w:t>
      </w:r>
      <w:r>
        <w:rPr>
          <w:rFonts w:ascii="Aptos" w:hAnsi="Aptos" w:eastAsia="Aptos"/>
        </w:rPr>
        <w:t>Revisar la conciliación de saldos de deuda.</w:t>
      </w:r>
    </w:p>
    <w:p>
      <w:pPr>
        <w:spacing w:before="0" w:after="40" w:line="259" w:lineRule="auto"/>
        <w:ind w:left="255" w:hanging="255"/>
      </w:pPr>
      <w:r>
        <w:rPr>
          <w:rFonts w:ascii="Aptos" w:hAnsi="Aptos" w:eastAsia="Aptos"/>
          <w:b/>
          <w:color w:val="4B2E83"/>
        </w:rPr>
        <w:t xml:space="preserve">4. </w:t>
      </w:r>
      <w:r>
        <w:rPr>
          <w:rFonts w:ascii="Aptos" w:hAnsi="Aptos" w:eastAsia="Aptos"/>
        </w:rPr>
        <w:t>Validar el mapeo del CFADS y del servicio de deuda.</w:t>
      </w:r>
    </w:p>
    <w:p>
      <w:pPr>
        <w:spacing w:before="0" w:after="40" w:line="259" w:lineRule="auto"/>
        <w:ind w:left="255" w:hanging="255"/>
      </w:pPr>
      <w:r>
        <w:rPr>
          <w:rFonts w:ascii="Aptos" w:hAnsi="Aptos" w:eastAsia="Aptos"/>
          <w:b/>
          <w:color w:val="4B2E83"/>
        </w:rPr>
        <w:t xml:space="preserve">5. </w:t>
      </w:r>
      <w:r>
        <w:rPr>
          <w:rFonts w:ascii="Aptos" w:hAnsi="Aptos" w:eastAsia="Aptos"/>
        </w:rPr>
        <w:t>Confirmar que el covenant corresponde a una fuente identificada.</w:t>
      </w:r>
    </w:p>
    <w:p>
      <w:pPr>
        <w:spacing w:before="0" w:after="40" w:line="259" w:lineRule="auto"/>
        <w:ind w:left="255" w:hanging="255"/>
      </w:pPr>
      <w:r>
        <w:rPr>
          <w:rFonts w:ascii="Aptos" w:hAnsi="Aptos" w:eastAsia="Aptos"/>
          <w:b/>
          <w:color w:val="4B2E83"/>
        </w:rPr>
        <w:t xml:space="preserve">6. </w:t>
      </w:r>
      <w:r>
        <w:rPr>
          <w:rFonts w:ascii="Aptos" w:hAnsi="Aptos" w:eastAsia="Aptos"/>
        </w:rPr>
        <w:t>Revisar alertas de liquidez y supuestos críticos.</w:t>
      </w:r>
    </w:p>
    <w:p>
      <w:pPr>
        <w:spacing w:before="0" w:after="40" w:line="259" w:lineRule="auto"/>
        <w:ind w:left="255" w:hanging="255"/>
      </w:pPr>
      <w:r>
        <w:rPr>
          <w:rFonts w:ascii="Aptos" w:hAnsi="Aptos" w:eastAsia="Aptos"/>
          <w:b/>
          <w:color w:val="4B2E83"/>
        </w:rPr>
        <w:t xml:space="preserve">7. </w:t>
      </w:r>
      <w:r>
        <w:rPr>
          <w:rFonts w:ascii="Aptos" w:hAnsi="Aptos" w:eastAsia="Aptos"/>
        </w:rPr>
        <w:t>Evaluar la configuración e interpretación de la simulación.</w:t>
      </w:r>
    </w:p>
    <w:p>
      <w:pPr>
        <w:spacing w:before="0" w:after="40" w:line="259" w:lineRule="auto"/>
        <w:ind w:left="255" w:hanging="255"/>
      </w:pPr>
      <w:r>
        <w:rPr>
          <w:rFonts w:ascii="Aptos" w:hAnsi="Aptos" w:eastAsia="Aptos"/>
          <w:b/>
          <w:color w:val="4B2E83"/>
        </w:rPr>
        <w:t xml:space="preserve">8. </w:t>
      </w:r>
      <w:r>
        <w:rPr>
          <w:rFonts w:ascii="Aptos" w:hAnsi="Aptos" w:eastAsia="Aptos"/>
        </w:rPr>
        <w:t>Registrar hallazgos, severidad, responsable y acción.</w:t>
      </w:r>
    </w:p>
    <w:p>
      <w:pPr>
        <w:spacing w:before="0" w:after="40" w:line="259" w:lineRule="auto"/>
        <w:ind w:left="255" w:hanging="255"/>
      </w:pPr>
      <w:r>
        <w:rPr>
          <w:rFonts w:ascii="Aptos" w:hAnsi="Aptos" w:eastAsia="Aptos"/>
          <w:b/>
          <w:color w:val="4B2E83"/>
        </w:rPr>
        <w:t xml:space="preserve">9. </w:t>
      </w:r>
      <w:r>
        <w:rPr>
          <w:rFonts w:ascii="Aptos" w:hAnsi="Aptos" w:eastAsia="Aptos"/>
        </w:rPr>
        <w:t>Aprobar, devolver o rechazar la versión sin sobrescribir el historial.</w:t>
      </w:r>
    </w:p>
    <w:p>
      <w:pPr>
        <w:pStyle w:val="Heading2"/>
        <w:keepNext/>
        <w:spacing w:before="100" w:after="80"/>
      </w:pPr>
      <w:r>
        <w:rPr>
          <w:rFonts w:ascii="Aptos Display" w:hAnsi="Aptos Display" w:eastAsia="Aptos Display"/>
          <w:b/>
          <w:color w:val="263238"/>
        </w:rPr>
        <w:t>6.5 Operaciones críticas y mensajes de error</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891"/>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Situación</w:t>
            </w:r>
          </w:p>
        </w:tc>
        <w:tc>
          <w:tcPr>
            <w:tcW w:type="dxa" w:w="6462"/>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Respuesta del sistema</w:t>
            </w:r>
          </w:p>
        </w:tc>
      </w:tr>
      <w:tr>
        <w:trPr>
          <w:cantSplit/>
        </w:trPr>
        <w:tc>
          <w:tcPr>
            <w:tcW w:type="dxa" w:w="289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Periodo inconsistente</w:t>
            </w:r>
          </w:p>
        </w:tc>
        <w:tc>
          <w:tcPr>
            <w:tcW w:type="dxa" w:w="646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La app bloquea el cálculo y señala las variables con periodicidad incompatible.</w:t>
            </w:r>
          </w:p>
        </w:tc>
      </w:tr>
      <w:tr>
        <w:trPr>
          <w:cantSplit/>
        </w:trPr>
        <w:tc>
          <w:tcPr>
            <w:tcW w:type="dxa" w:w="289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Servicio de deuda igual a cero</w:t>
            </w:r>
          </w:p>
        </w:tc>
        <w:tc>
          <w:tcPr>
            <w:tcW w:type="dxa" w:w="646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El DSCR se muestra como “No calculable”; no como infinito.</w:t>
            </w:r>
          </w:p>
        </w:tc>
      </w:tr>
      <w:tr>
        <w:trPr>
          <w:cantSplit/>
        </w:trPr>
        <w:tc>
          <w:tcPr>
            <w:tcW w:type="dxa" w:w="289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Covenant sin fuente</w:t>
            </w:r>
          </w:p>
        </w:tc>
        <w:tc>
          <w:tcPr>
            <w:tcW w:type="dxa" w:w="646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La app permite guardar borrador, pero no aprobar ni calcular capacidad máxima definitiva.</w:t>
            </w:r>
          </w:p>
        </w:tc>
      </w:tr>
      <w:tr>
        <w:trPr>
          <w:cantSplit/>
        </w:trPr>
        <w:tc>
          <w:tcPr>
            <w:tcW w:type="dxa" w:w="289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Saldo de deuda no concilia</w:t>
            </w:r>
          </w:p>
        </w:tc>
        <w:tc>
          <w:tcPr>
            <w:tcW w:type="dxa" w:w="646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La app muestra apertura, movimientos y cierre que causan la diferencia.</w:t>
            </w:r>
          </w:p>
        </w:tc>
      </w:tr>
      <w:tr>
        <w:trPr>
          <w:cantSplit/>
        </w:trPr>
        <w:tc>
          <w:tcPr>
            <w:tcW w:type="dxa" w:w="289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Caja por debajo del mínimo</w:t>
            </w:r>
          </w:p>
        </w:tc>
        <w:tc>
          <w:tcPr>
            <w:tcW w:type="dxa" w:w="646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La app identifica periodo, magnitud y principales impulsores.</w:t>
            </w:r>
          </w:p>
        </w:tc>
      </w:tr>
      <w:tr>
        <w:trPr>
          <w:cantSplit/>
        </w:trPr>
        <w:tc>
          <w:tcPr>
            <w:tcW w:type="dxa" w:w="289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Archivo de simulación no corresponde</w:t>
            </w:r>
          </w:p>
        </w:tc>
        <w:tc>
          <w:tcPr>
            <w:tcW w:type="dxa" w:w="646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La importación se rechaza si no coincide modelo, versión o plantilla.</w:t>
            </w:r>
          </w:p>
        </w:tc>
      </w:tr>
      <w:tr>
        <w:trPr>
          <w:cantSplit/>
        </w:trPr>
        <w:tc>
          <w:tcPr>
            <w:tcW w:type="dxa" w:w="289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Distribución sin justificación</w:t>
            </w:r>
          </w:p>
        </w:tc>
        <w:tc>
          <w:tcPr>
            <w:tcW w:type="dxa" w:w="646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La simulación puede quedar en borrador, pero no publicarse como análisis aprobado.</w:t>
            </w:r>
          </w:p>
        </w:tc>
      </w:tr>
      <w:tr>
        <w:trPr>
          <w:cantSplit/>
        </w:trPr>
        <w:tc>
          <w:tcPr>
            <w:tcW w:type="dxa" w:w="289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Certificado con datos erróneos</w:t>
            </w:r>
          </w:p>
        </w:tc>
        <w:tc>
          <w:tcPr>
            <w:tcW w:type="dxa" w:w="646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Se revoca y reexpide; no se edita el documento emitido.</w:t>
            </w:r>
          </w:p>
        </w:tc>
      </w:tr>
    </w:tbl>
    <w:p>
      <w:pPr>
        <w:spacing w:after="20"/>
      </w:pPr>
    </w:p>
    <w:p>
      <w:r>
        <w:br w:type="page"/>
      </w:r>
    </w:p>
    <w:p>
      <w:pPr>
        <w:pStyle w:val="Heading1"/>
        <w:keepNext/>
        <w:spacing w:before="160" w:after="80"/>
      </w:pPr>
      <w:r>
        <w:rPr>
          <w:rFonts w:ascii="Aptos Display" w:hAnsi="Aptos Display" w:eastAsia="Aptos Display"/>
          <w:b/>
          <w:color w:val="4B2E83"/>
        </w:rPr>
        <w:t>7. Módulo 3: especificación funcional de la app</w:t>
      </w:r>
    </w:p>
    <w:p>
      <w:pPr>
        <w:pStyle w:val="Heading2"/>
        <w:keepNext/>
        <w:spacing w:before="100" w:after="80"/>
      </w:pPr>
      <w:r>
        <w:rPr>
          <w:rFonts w:ascii="Aptos Display" w:hAnsi="Aptos Display" w:eastAsia="Aptos Display"/>
          <w:b/>
          <w:color w:val="263238"/>
        </w:rPr>
        <w:t>7.1 Objetivo general</w:t>
      </w:r>
    </w:p>
    <w:p>
      <w:pPr>
        <w:keepNext w:val="0"/>
        <w:spacing w:before="0" w:after="100" w:line="259" w:lineRule="auto"/>
      </w:pPr>
      <w:r>
        <w:rPr>
          <w:rFonts w:ascii="Aptos" w:hAnsi="Aptos" w:eastAsia="Aptos"/>
        </w:rPr>
        <w:t>Diseñar una aplicación capaz de formar y certificar usuarios, administrar modelos financieros de deuda y liquidez, evaluar restricciones, interoperar con Risk Simulator, auditar el modelo y conservar la trazabilidad necesaria para revisar decisiones y mejorar proyecciones futuras.</w:t>
      </w:r>
    </w:p>
    <w:p>
      <w:pPr>
        <w:pStyle w:val="Heading2"/>
        <w:keepNext/>
        <w:spacing w:before="100" w:after="80"/>
      </w:pPr>
      <w:r>
        <w:rPr>
          <w:rFonts w:ascii="Aptos Display" w:hAnsi="Aptos Display" w:eastAsia="Aptos Display"/>
          <w:b/>
          <w:color w:val="263238"/>
        </w:rPr>
        <w:t>7.2 Componentes funcionales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494"/>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Código</w:t>
            </w:r>
          </w:p>
        </w:tc>
        <w:tc>
          <w:tcPr>
            <w:tcW w:type="dxa" w:w="6859"/>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Componente</w:t>
            </w:r>
          </w:p>
        </w:tc>
      </w:tr>
      <w:tr>
        <w:trPr>
          <w:cantSplit/>
        </w:trPr>
        <w:tc>
          <w:tcPr>
            <w:tcW w:type="dxa" w:w="249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MF-01 Identidad y acceso</w:t>
            </w:r>
          </w:p>
        </w:tc>
        <w:tc>
          <w:tcPr>
            <w:tcW w:type="dxa" w:w="685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Perfil, cargo en Rehavid, roles, autenticación y permisos.</w:t>
            </w:r>
          </w:p>
        </w:tc>
      </w:tr>
      <w:tr>
        <w:trPr>
          <w:cantSplit/>
        </w:trPr>
        <w:tc>
          <w:tcPr>
            <w:tcW w:type="dxa" w:w="249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MF-02 Formación</w:t>
            </w:r>
          </w:p>
        </w:tc>
        <w:tc>
          <w:tcPr>
            <w:tcW w:type="dxa" w:w="685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Unidades, recursos, progreso, laboratorio y versiones.</w:t>
            </w:r>
          </w:p>
        </w:tc>
      </w:tr>
      <w:tr>
        <w:trPr>
          <w:cantSplit/>
        </w:trPr>
        <w:tc>
          <w:tcPr>
            <w:tcW w:type="dxa" w:w="249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MF-03 Evaluación</w:t>
            </w:r>
          </w:p>
        </w:tc>
        <w:tc>
          <w:tcPr>
            <w:tcW w:type="dxa" w:w="685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Banco, equivalencias, corrección inmediata, repregunta y puntuación.</w:t>
            </w:r>
          </w:p>
        </w:tc>
      </w:tr>
      <w:tr>
        <w:trPr>
          <w:cantSplit/>
        </w:trPr>
        <w:tc>
          <w:tcPr>
            <w:tcW w:type="dxa" w:w="249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MF-04 Certificación</w:t>
            </w:r>
          </w:p>
        </w:tc>
        <w:tc>
          <w:tcPr>
            <w:tcW w:type="dxa" w:w="685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Emisión, verificación, revocación y expediente.</w:t>
            </w:r>
          </w:p>
        </w:tc>
      </w:tr>
      <w:tr>
        <w:trPr>
          <w:cantSplit/>
        </w:trPr>
        <w:tc>
          <w:tcPr>
            <w:tcW w:type="dxa" w:w="249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MF-05 Proyectos y escenarios</w:t>
            </w:r>
          </w:p>
        </w:tc>
        <w:tc>
          <w:tcPr>
            <w:tcW w:type="dxa" w:w="685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Propósito, horizonte, periodicidad, moneda, fuentes y versiones.</w:t>
            </w:r>
          </w:p>
        </w:tc>
      </w:tr>
      <w:tr>
        <w:trPr>
          <w:cantSplit/>
        </w:trPr>
        <w:tc>
          <w:tcPr>
            <w:tcW w:type="dxa" w:w="249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MF-06 Deuda</w:t>
            </w:r>
          </w:p>
        </w:tc>
        <w:tc>
          <w:tcPr>
            <w:tcW w:type="dxa" w:w="685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Tramos, condiciones, saldos, pagos y calendario.</w:t>
            </w:r>
          </w:p>
        </w:tc>
      </w:tr>
      <w:tr>
        <w:trPr>
          <w:cantSplit/>
        </w:trPr>
        <w:tc>
          <w:tcPr>
            <w:tcW w:type="dxa" w:w="249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MF-07 Cobertura y covenants</w:t>
            </w:r>
          </w:p>
        </w:tc>
        <w:tc>
          <w:tcPr>
            <w:tcW w:type="dxa" w:w="685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CFADS, servicio de deuda, DSCR, restricciones y capacidad.</w:t>
            </w:r>
          </w:p>
        </w:tc>
      </w:tr>
      <w:tr>
        <w:trPr>
          <w:cantSplit/>
        </w:trPr>
        <w:tc>
          <w:tcPr>
            <w:tcW w:type="dxa" w:w="249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MF-08 Liquidez</w:t>
            </w:r>
          </w:p>
        </w:tc>
        <w:tc>
          <w:tcPr>
            <w:tcW w:type="dxa" w:w="685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Caja, mínimo, alertas y periodos críticos.</w:t>
            </w:r>
          </w:p>
        </w:tc>
      </w:tr>
      <w:tr>
        <w:trPr>
          <w:cantSplit/>
        </w:trPr>
        <w:tc>
          <w:tcPr>
            <w:tcW w:type="dxa" w:w="249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MF-09 Risk Simulator</w:t>
            </w:r>
          </w:p>
        </w:tc>
        <w:tc>
          <w:tcPr>
            <w:tcW w:type="dxa" w:w="685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Preparación, exportación, importación, estadísticas y sensibilidad.</w:t>
            </w:r>
          </w:p>
        </w:tc>
      </w:tr>
      <w:tr>
        <w:trPr>
          <w:cantSplit/>
        </w:trPr>
        <w:tc>
          <w:tcPr>
            <w:tcW w:type="dxa" w:w="249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MF-10 Auditoría y backtesting</w:t>
            </w:r>
          </w:p>
        </w:tc>
        <w:tc>
          <w:tcPr>
            <w:tcW w:type="dxa" w:w="685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Validaciones, revisión, errores, comparación con observados y aprendizajes.</w:t>
            </w:r>
          </w:p>
        </w:tc>
      </w:tr>
      <w:tr>
        <w:trPr>
          <w:cantSplit/>
        </w:trPr>
        <w:tc>
          <w:tcPr>
            <w:tcW w:type="dxa" w:w="249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MF-11 Decisión y reportes</w:t>
            </w:r>
          </w:p>
        </w:tc>
        <w:tc>
          <w:tcPr>
            <w:tcW w:type="dxa" w:w="685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Tableros, comparaciones, comentarios, aprobación y exportación.</w:t>
            </w:r>
          </w:p>
        </w:tc>
      </w:tr>
      <w:tr>
        <w:trPr>
          <w:cantSplit/>
        </w:trPr>
        <w:tc>
          <w:tcPr>
            <w:tcW w:type="dxa" w:w="249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MF-12 Administración</w:t>
            </w:r>
          </w:p>
        </w:tc>
        <w:tc>
          <w:tcPr>
            <w:tcW w:type="dxa" w:w="685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Parámetros, plantillas, catálogos, integraciones y logs.</w:t>
            </w:r>
          </w:p>
        </w:tc>
      </w:tr>
    </w:tbl>
    <w:p>
      <w:pPr>
        <w:spacing w:after="20"/>
      </w:pPr>
    </w:p>
    <w:p>
      <w:pPr>
        <w:pStyle w:val="Heading2"/>
        <w:keepNext/>
        <w:spacing w:before="100" w:after="80"/>
      </w:pPr>
      <w:r>
        <w:rPr>
          <w:rFonts w:ascii="Aptos Display" w:hAnsi="Aptos Display" w:eastAsia="Aptos Display"/>
          <w:b/>
          <w:color w:val="263238"/>
        </w:rPr>
        <w:t>7.3 Flujo de estados del modelo</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267"/>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Estado</w:t>
            </w:r>
          </w:p>
        </w:tc>
        <w:tc>
          <w:tcPr>
            <w:tcW w:type="dxa" w:w="7086"/>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Regla</w:t>
            </w:r>
          </w:p>
        </w:tc>
      </w:tr>
      <w:tr>
        <w:trPr>
          <w:cantSplit/>
        </w:trPr>
        <w:tc>
          <w:tcPr>
            <w:tcW w:type="dxa" w:w="226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Borrador</w:t>
            </w:r>
          </w:p>
        </w:tc>
        <w:tc>
          <w:tcPr>
            <w:tcW w:type="dxa" w:w="708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Editable; información incompleta.</w:t>
            </w:r>
          </w:p>
        </w:tc>
      </w:tr>
      <w:tr>
        <w:trPr>
          <w:cantSplit/>
        </w:trPr>
        <w:tc>
          <w:tcPr>
            <w:tcW w:type="dxa" w:w="226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Validación pendiente</w:t>
            </w:r>
          </w:p>
        </w:tc>
        <w:tc>
          <w:tcPr>
            <w:tcW w:type="dxa" w:w="7086"/>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Cálculos ejecutados; controles automáticos en revisión.</w:t>
            </w:r>
          </w:p>
        </w:tc>
      </w:tr>
      <w:tr>
        <w:trPr>
          <w:cantSplit/>
        </w:trPr>
        <w:tc>
          <w:tcPr>
            <w:tcW w:type="dxa" w:w="226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En revisión</w:t>
            </w:r>
          </w:p>
        </w:tc>
        <w:tc>
          <w:tcPr>
            <w:tcW w:type="dxa" w:w="708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Asignado a un revisor; cambios controlados.</w:t>
            </w:r>
          </w:p>
        </w:tc>
      </w:tr>
      <w:tr>
        <w:trPr>
          <w:cantSplit/>
        </w:trPr>
        <w:tc>
          <w:tcPr>
            <w:tcW w:type="dxa" w:w="226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Devuelto</w:t>
            </w:r>
          </w:p>
        </w:tc>
        <w:tc>
          <w:tcPr>
            <w:tcW w:type="dxa" w:w="7086"/>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Requiere correcciones documentadas.</w:t>
            </w:r>
          </w:p>
        </w:tc>
      </w:tr>
      <w:tr>
        <w:trPr>
          <w:cantSplit/>
        </w:trPr>
        <w:tc>
          <w:tcPr>
            <w:tcW w:type="dxa" w:w="226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Aprobado</w:t>
            </w:r>
          </w:p>
        </w:tc>
        <w:tc>
          <w:tcPr>
            <w:tcW w:type="dxa" w:w="708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Versión congelada y utilizable para reporte.</w:t>
            </w:r>
          </w:p>
        </w:tc>
      </w:tr>
      <w:tr>
        <w:trPr>
          <w:cantSplit/>
        </w:trPr>
        <w:tc>
          <w:tcPr>
            <w:tcW w:type="dxa" w:w="226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Reemplazado</w:t>
            </w:r>
          </w:p>
        </w:tc>
        <w:tc>
          <w:tcPr>
            <w:tcW w:type="dxa" w:w="7086"/>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Existe una versión posterior aprobada.</w:t>
            </w:r>
          </w:p>
        </w:tc>
      </w:tr>
      <w:tr>
        <w:trPr>
          <w:cantSplit/>
        </w:trPr>
        <w:tc>
          <w:tcPr>
            <w:tcW w:type="dxa" w:w="226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Archivado</w:t>
            </w:r>
          </w:p>
        </w:tc>
        <w:tc>
          <w:tcPr>
            <w:tcW w:type="dxa" w:w="708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Conservado para trazabilidad; no operativo.</w:t>
            </w:r>
          </w:p>
        </w:tc>
      </w:tr>
    </w:tbl>
    <w:p>
      <w:pPr>
        <w:spacing w:after="20"/>
      </w:pPr>
    </w:p>
    <w:p>
      <w:pPr>
        <w:pStyle w:val="Heading2"/>
        <w:keepNext/>
        <w:spacing w:before="100" w:after="80"/>
      </w:pPr>
      <w:r>
        <w:rPr>
          <w:rFonts w:ascii="Aptos Display" w:hAnsi="Aptos Display" w:eastAsia="Aptos Display"/>
          <w:b/>
          <w:color w:val="263238"/>
        </w:rPr>
        <w:t>7.4 Tableros mínimos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267"/>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Tablero</w:t>
            </w:r>
          </w:p>
        </w:tc>
        <w:tc>
          <w:tcPr>
            <w:tcW w:type="dxa" w:w="7086"/>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Contenido</w:t>
            </w:r>
          </w:p>
        </w:tc>
      </w:tr>
      <w:tr>
        <w:trPr>
          <w:cantSplit/>
        </w:trPr>
        <w:tc>
          <w:tcPr>
            <w:tcW w:type="dxa" w:w="226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Resumen ejecutivo</w:t>
            </w:r>
          </w:p>
        </w:tc>
        <w:tc>
          <w:tcPr>
            <w:tcW w:type="dxa" w:w="708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Monto de deuda, servicio, caja mínima, DSCR mínimo, capacidad factible, escenarios y alertas.</w:t>
            </w:r>
          </w:p>
        </w:tc>
      </w:tr>
      <w:tr>
        <w:trPr>
          <w:cantSplit/>
        </w:trPr>
        <w:tc>
          <w:tcPr>
            <w:tcW w:type="dxa" w:w="226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Perfil de deuda</w:t>
            </w:r>
          </w:p>
        </w:tc>
        <w:tc>
          <w:tcPr>
            <w:tcW w:type="dxa" w:w="7086"/>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Saldo, principal, interés y servicio por periodo.</w:t>
            </w:r>
          </w:p>
        </w:tc>
      </w:tr>
      <w:tr>
        <w:trPr>
          <w:cantSplit/>
        </w:trPr>
        <w:tc>
          <w:tcPr>
            <w:tcW w:type="dxa" w:w="226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Cobertura</w:t>
            </w:r>
          </w:p>
        </w:tc>
        <w:tc>
          <w:tcPr>
            <w:tcW w:type="dxa" w:w="708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DSCR por periodo, covenant aplicable, holgura y ruptura.</w:t>
            </w:r>
          </w:p>
        </w:tc>
      </w:tr>
      <w:tr>
        <w:trPr>
          <w:cantSplit/>
        </w:trPr>
        <w:tc>
          <w:tcPr>
            <w:tcW w:type="dxa" w:w="226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Liquidez</w:t>
            </w:r>
          </w:p>
        </w:tc>
        <w:tc>
          <w:tcPr>
            <w:tcW w:type="dxa" w:w="7086"/>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Caja inicial, flujos, servicio, caja final y brecha frente al mínimo.</w:t>
            </w:r>
          </w:p>
        </w:tc>
      </w:tr>
      <w:tr>
        <w:trPr>
          <w:cantSplit/>
        </w:trPr>
        <w:tc>
          <w:tcPr>
            <w:tcW w:type="dxa" w:w="226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Simulación</w:t>
            </w:r>
          </w:p>
        </w:tc>
        <w:tc>
          <w:tcPr>
            <w:tcW w:type="dxa" w:w="708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Distribución de salidas, percentiles, probabilidad de ruptura y sensibilidad.</w:t>
            </w:r>
          </w:p>
        </w:tc>
      </w:tr>
      <w:tr>
        <w:trPr>
          <w:cantSplit/>
        </w:trPr>
        <w:tc>
          <w:tcPr>
            <w:tcW w:type="dxa" w:w="226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Backtesting</w:t>
            </w:r>
          </w:p>
        </w:tc>
        <w:tc>
          <w:tcPr>
            <w:tcW w:type="dxa" w:w="7086"/>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Proyección, observado, desviación, sesgo y explicación.</w:t>
            </w:r>
          </w:p>
        </w:tc>
      </w:tr>
      <w:tr>
        <w:trPr>
          <w:cantSplit/>
        </w:trPr>
        <w:tc>
          <w:tcPr>
            <w:tcW w:type="dxa" w:w="226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Formación</w:t>
            </w:r>
          </w:p>
        </w:tc>
        <w:tc>
          <w:tcPr>
            <w:tcW w:type="dxa" w:w="708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Avance, resultados, errores, repreguntas, dominio y certificados.</w:t>
            </w:r>
          </w:p>
        </w:tc>
      </w:tr>
      <w:tr>
        <w:trPr>
          <w:cantSplit/>
        </w:trPr>
        <w:tc>
          <w:tcPr>
            <w:tcW w:type="dxa" w:w="226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Gobierno</w:t>
            </w:r>
          </w:p>
        </w:tc>
        <w:tc>
          <w:tcPr>
            <w:tcW w:type="dxa" w:w="7086"/>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Versiones, revisiones, cambios, usuarios y eventos.</w:t>
            </w:r>
          </w:p>
        </w:tc>
      </w:tr>
    </w:tbl>
    <w:p>
      <w:pPr>
        <w:spacing w:after="20"/>
      </w:pPr>
    </w:p>
    <w:p>
      <w:pPr>
        <w:pStyle w:val="Heading1"/>
        <w:keepNext/>
        <w:spacing w:before="160" w:after="80"/>
      </w:pPr>
      <w:r>
        <w:rPr>
          <w:rFonts w:ascii="Aptos Display" w:hAnsi="Aptos Display" w:eastAsia="Aptos Display"/>
          <w:b/>
          <w:color w:val="4B2E83"/>
        </w:rPr>
        <w:t>8. Motor financiero, reglas y fórmulas</w:t>
      </w:r>
    </w:p>
    <w:tbl>
      <w:tblPr>
        <w:tblW w:type="auto" w:w="0"/>
        <w:jc w:val="center"/>
        <w:tblLayout w:type="autofit"/>
        <w:tblLook w:firstColumn="1" w:firstRow="1" w:lastColumn="0" w:lastRow="0" w:noHBand="0" w:noVBand="1" w:val="04A0"/>
      </w:tblPr>
      <w:tblGrid>
        <w:gridCol w:w="9922"/>
      </w:tblGrid>
      <w:tr>
        <w:trPr>
          <w:cantSplit/>
        </w:trPr>
        <w:tc>
          <w:tcPr>
            <w:tcW w:type="dxa" w:w="9922"/>
            <w:shd w:fill="E8F5F5"/>
            <w:tcBorders>
              <w:top w:sz="8" w:val="single" w:color="159A9C"/>
              <w:left w:sz="22" w:val="single" w:color="159A9C"/>
              <w:bottom w:sz="8" w:val="single" w:color="159A9C"/>
              <w:right w:sz="8" w:val="single" w:color="159A9C"/>
            </w:tcBorders>
            <w:tcMar>
              <w:top w:w="120" w:type="dxa"/>
              <w:start w:w="180" w:type="dxa"/>
              <w:bottom w:w="120" w:type="dxa"/>
              <w:end w:w="160" w:type="dxa"/>
            </w:tcMar>
          </w:tcPr>
          <w:p>
            <w:pPr>
              <w:spacing w:after="40"/>
            </w:pPr>
            <w:r>
              <w:rPr>
                <w:rFonts w:ascii="Aptos" w:hAnsi="Aptos" w:eastAsia="Aptos"/>
                <w:b/>
                <w:color w:val="159A9C"/>
                <w:sz w:val="20"/>
              </w:rPr>
              <w:t>Criterio de diseño financiero</w:t>
            </w:r>
          </w:p>
          <w:p>
            <w:pPr>
              <w:spacing w:before="0" w:after="0" w:line="247" w:lineRule="auto"/>
            </w:pPr>
            <w:r>
              <w:rPr>
                <w:rFonts w:ascii="Aptos" w:hAnsi="Aptos" w:eastAsia="Aptos"/>
                <w:color w:val="263238"/>
                <w:sz w:val="18"/>
              </w:rPr>
              <w:t>La app debe mostrar qué se calculó, con qué datos, bajo qué periodicidad y con qué versión. Los valores contractuales no pueden ser sustituidos por umbrales genéricos.</w:t>
            </w:r>
          </w:p>
        </w:tc>
      </w:tr>
    </w:tbl>
    <w:p>
      <w:pPr>
        <w:spacing w:after="0"/>
      </w:pPr>
    </w:p>
    <w:p>
      <w:pPr>
        <w:pStyle w:val="Heading2"/>
        <w:keepNext/>
        <w:spacing w:before="100" w:after="80"/>
      </w:pPr>
      <w:r>
        <w:rPr>
          <w:rFonts w:ascii="Aptos Display" w:hAnsi="Aptos Display" w:eastAsia="Aptos Display"/>
          <w:b/>
          <w:color w:val="263238"/>
        </w:rPr>
        <w:t>8.1 Calendario de deuda</w:t>
      </w:r>
    </w:p>
    <w:tbl>
      <w:tblPr>
        <w:tblW w:type="auto" w:w="0"/>
        <w:jc w:val="center"/>
        <w:tblLayout w:type="autofit"/>
        <w:tblLook w:firstColumn="1" w:firstRow="1" w:lastColumn="0" w:lastRow="0" w:noHBand="0" w:noVBand="1" w:val="04A0"/>
      </w:tblPr>
      <w:tblGrid>
        <w:gridCol w:w="4961"/>
        <w:gridCol w:w="4961"/>
      </w:tblGrid>
      <w:tr>
        <w:trPr>
          <w:cantSplit/>
        </w:trPr>
        <w:tc>
          <w:tcPr>
            <w:tcW w:type="dxa" w:w="4961"/>
            <w:shd w:fill="EEE9F7"/>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Aptos" w:hAnsi="Aptos" w:eastAsia="Aptos"/>
                <w:b/>
                <w:color w:val="4B2E83"/>
                <w:sz w:val="18"/>
              </w:rPr>
              <w:t>Saldo final</w:t>
            </w:r>
          </w:p>
        </w:tc>
        <w:tc>
          <w:tcPr>
            <w:tcW w:type="dxa" w:w="4961"/>
            <w:shd w:fill="F2F3F5"/>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Liberation Mono" w:hAnsi="Liberation Mono" w:eastAsia="Liberation Mono"/>
                <w:b/>
                <w:color w:val="263238"/>
                <w:sz w:val="18"/>
              </w:rPr>
              <w:t>saldo inicial + desembolsos + capitalizaciones − pago de principal ± ajustes autorizados</w:t>
            </w:r>
          </w:p>
        </w:tc>
      </w:tr>
    </w:tbl>
    <w:p>
      <w:pPr>
        <w:spacing w:before="0" w:after="100" w:line="259" w:lineRule="auto"/>
      </w:pPr>
      <w:r>
        <w:rPr>
          <w:rFonts w:ascii="Aptos" w:hAnsi="Aptos" w:eastAsia="Aptos"/>
          <w:i/>
          <w:color w:val="5F6368"/>
          <w:sz w:val="17"/>
        </w:rPr>
        <w:t>La naturaleza de cada ajuste debe estar configurada y documentada.</w:t>
      </w:r>
    </w:p>
    <w:tbl>
      <w:tblPr>
        <w:tblW w:type="auto" w:w="0"/>
        <w:jc w:val="center"/>
        <w:tblLayout w:type="autofit"/>
        <w:tblLook w:firstColumn="1" w:firstRow="1" w:lastColumn="0" w:lastRow="0" w:noHBand="0" w:noVBand="1" w:val="04A0"/>
      </w:tblPr>
      <w:tblGrid>
        <w:gridCol w:w="4961"/>
        <w:gridCol w:w="4961"/>
      </w:tblGrid>
      <w:tr>
        <w:trPr>
          <w:cantSplit/>
        </w:trPr>
        <w:tc>
          <w:tcPr>
            <w:tcW w:type="dxa" w:w="4961"/>
            <w:shd w:fill="EEE9F7"/>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Aptos" w:hAnsi="Aptos" w:eastAsia="Aptos"/>
                <w:b/>
                <w:color w:val="4B2E83"/>
                <w:sz w:val="18"/>
              </w:rPr>
              <w:t>Servicio de deuda</w:t>
            </w:r>
          </w:p>
        </w:tc>
        <w:tc>
          <w:tcPr>
            <w:tcW w:type="dxa" w:w="4961"/>
            <w:shd w:fill="F2F3F5"/>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Liberation Mono" w:hAnsi="Liberation Mono" w:eastAsia="Liberation Mono"/>
                <w:b/>
                <w:color w:val="263238"/>
                <w:sz w:val="18"/>
              </w:rPr>
              <w:t>principal pagadero + interés pagadero</w:t>
            </w:r>
          </w:p>
        </w:tc>
      </w:tr>
    </w:tbl>
    <w:p>
      <w:pPr>
        <w:spacing w:before="0" w:after="100" w:line="259" w:lineRule="auto"/>
      </w:pPr>
      <w:r>
        <w:rPr>
          <w:rFonts w:ascii="Aptos" w:hAnsi="Aptos" w:eastAsia="Aptos"/>
          <w:i/>
          <w:color w:val="5F6368"/>
          <w:sz w:val="17"/>
        </w:rPr>
        <w:t>El Banco Mundial utiliza principal más interés como servicio de deuda para el DSCR. Otros componentes se muestran por separado, salvo definición contractual expresa. [F-01]</w:t>
      </w:r>
    </w:p>
    <w:p>
      <w:pPr>
        <w:keepNext w:val="0"/>
        <w:spacing w:before="0" w:after="100" w:line="259" w:lineRule="auto"/>
      </w:pPr>
      <w:r>
        <w:rPr>
          <w:rFonts w:ascii="Aptos" w:hAnsi="Aptos" w:eastAsia="Aptos"/>
        </w:rPr>
        <w:t>La tasa, base de días, periodo de gracia, método de amortización, pagos extraordinarios y capitalización de intereses son parámetros de cada obligación. La transcripción no define un método único; la app debe evitar fijarlo por defecto sin confirmación.</w:t>
      </w:r>
    </w:p>
    <w:p>
      <w:pPr>
        <w:pStyle w:val="Heading2"/>
        <w:keepNext/>
        <w:spacing w:before="100" w:after="80"/>
      </w:pPr>
      <w:r>
        <w:rPr>
          <w:rFonts w:ascii="Aptos Display" w:hAnsi="Aptos Display" w:eastAsia="Aptos Display"/>
          <w:b/>
          <w:color w:val="263238"/>
        </w:rPr>
        <w:t>8.2 Flujo disponible y DSCR</w:t>
      </w:r>
    </w:p>
    <w:tbl>
      <w:tblPr>
        <w:tblW w:type="auto" w:w="0"/>
        <w:jc w:val="center"/>
        <w:tblLayout w:type="autofit"/>
        <w:tblLook w:firstColumn="1" w:firstRow="1" w:lastColumn="0" w:lastRow="0" w:noHBand="0" w:noVBand="1" w:val="04A0"/>
      </w:tblPr>
      <w:tblGrid>
        <w:gridCol w:w="4961"/>
        <w:gridCol w:w="4961"/>
      </w:tblGrid>
      <w:tr>
        <w:trPr>
          <w:cantSplit/>
        </w:trPr>
        <w:tc>
          <w:tcPr>
            <w:tcW w:type="dxa" w:w="4961"/>
            <w:shd w:fill="EEE9F7"/>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Aptos" w:hAnsi="Aptos" w:eastAsia="Aptos"/>
                <w:b/>
                <w:color w:val="4B2E83"/>
                <w:sz w:val="18"/>
              </w:rPr>
              <w:t>CFADS</w:t>
            </w:r>
          </w:p>
        </w:tc>
        <w:tc>
          <w:tcPr>
            <w:tcW w:type="dxa" w:w="4961"/>
            <w:shd w:fill="F2F3F5"/>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Liberation Mono" w:hAnsi="Liberation Mono" w:eastAsia="Liberation Mono"/>
                <w:b/>
                <w:color w:val="263238"/>
                <w:sz w:val="18"/>
              </w:rPr>
              <w:t>ingresos de caja elegibles − egresos operativos elegibles − inversión elegible ± ajustes definidos</w:t>
            </w:r>
          </w:p>
        </w:tc>
      </w:tr>
    </w:tbl>
    <w:p>
      <w:pPr>
        <w:spacing w:before="0" w:after="100" w:line="259" w:lineRule="auto"/>
      </w:pPr>
      <w:r>
        <w:rPr>
          <w:rFonts w:ascii="Aptos" w:hAnsi="Aptos" w:eastAsia="Aptos"/>
          <w:i/>
          <w:color w:val="5F6368"/>
          <w:sz w:val="17"/>
        </w:rPr>
        <w:t>El mapeo exacto debe aprobarse por organización y proyecto para evitar mezclar utilidad contable, EBITDA o caja libre sin definición.</w:t>
      </w:r>
    </w:p>
    <w:tbl>
      <w:tblPr>
        <w:tblW w:type="auto" w:w="0"/>
        <w:jc w:val="center"/>
        <w:tblLayout w:type="autofit"/>
        <w:tblLook w:firstColumn="1" w:firstRow="1" w:lastColumn="0" w:lastRow="0" w:noHBand="0" w:noVBand="1" w:val="04A0"/>
      </w:tblPr>
      <w:tblGrid>
        <w:gridCol w:w="4961"/>
        <w:gridCol w:w="4961"/>
      </w:tblGrid>
      <w:tr>
        <w:trPr>
          <w:cantSplit/>
        </w:trPr>
        <w:tc>
          <w:tcPr>
            <w:tcW w:type="dxa" w:w="4961"/>
            <w:shd w:fill="EEE9F7"/>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Aptos" w:hAnsi="Aptos" w:eastAsia="Aptos"/>
                <w:b/>
                <w:color w:val="4B2E83"/>
                <w:sz w:val="18"/>
              </w:rPr>
              <w:t>DSCR por periodo</w:t>
            </w:r>
          </w:p>
        </w:tc>
        <w:tc>
          <w:tcPr>
            <w:tcW w:type="dxa" w:w="4961"/>
            <w:shd w:fill="F2F3F5"/>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Liberation Mono" w:hAnsi="Liberation Mono" w:eastAsia="Liberation Mono"/>
                <w:b/>
                <w:color w:val="263238"/>
                <w:sz w:val="18"/>
              </w:rPr>
              <w:t>CFADS del periodo ÷ servicio de deuda del mismo periodo</w:t>
            </w:r>
          </w:p>
        </w:tc>
      </w:tr>
    </w:tbl>
    <w:p>
      <w:pPr>
        <w:keepNext w:val="0"/>
        <w:spacing w:before="0" w:after="100" w:line="259" w:lineRule="auto"/>
      </w:pPr>
      <w:r>
        <w:rPr>
          <w:rFonts w:ascii="Aptos" w:hAnsi="Aptos" w:eastAsia="Aptos"/>
        </w:rPr>
        <w:t>El Banco Mundial define el indicador como CFADS sobre servicio de deuda y explica que un valor inferior a 1,0 implica que los flujos propios no cubren el servicio del periodo. El covenant operativo de la app no debe asumir 1,0 ni ningún otro nivel: se toma del contrato o política configurada. [F-01]</w:t>
      </w:r>
    </w:p>
    <w:p>
      <w:pPr>
        <w:pStyle w:val="Heading2"/>
        <w:keepNext/>
        <w:spacing w:before="100" w:after="80"/>
      </w:pPr>
      <w:r>
        <w:rPr>
          <w:rFonts w:ascii="Aptos Display" w:hAnsi="Aptos Display" w:eastAsia="Aptos Display"/>
          <w:b/>
          <w:color w:val="263238"/>
        </w:rPr>
        <w:t>8.3 Capacidad máxima de deuda</w:t>
      </w:r>
    </w:p>
    <w:tbl>
      <w:tblPr>
        <w:tblW w:type="auto" w:w="0"/>
        <w:jc w:val="center"/>
        <w:tblLayout w:type="autofit"/>
        <w:tblLook w:firstColumn="1" w:firstRow="1" w:lastColumn="0" w:lastRow="0" w:noHBand="0" w:noVBand="1" w:val="04A0"/>
      </w:tblPr>
      <w:tblGrid>
        <w:gridCol w:w="4961"/>
        <w:gridCol w:w="4961"/>
      </w:tblGrid>
      <w:tr>
        <w:trPr>
          <w:cantSplit/>
        </w:trPr>
        <w:tc>
          <w:tcPr>
            <w:tcW w:type="dxa" w:w="4961"/>
            <w:shd w:fill="EEE9F7"/>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Aptos" w:hAnsi="Aptos" w:eastAsia="Aptos"/>
                <w:b/>
                <w:color w:val="4B2E83"/>
                <w:sz w:val="18"/>
              </w:rPr>
              <w:t>Problema de capacidad</w:t>
            </w:r>
          </w:p>
        </w:tc>
        <w:tc>
          <w:tcPr>
            <w:tcW w:type="dxa" w:w="4961"/>
            <w:shd w:fill="F2F3F5"/>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Liberation Mono" w:hAnsi="Liberation Mono" w:eastAsia="Liberation Mono"/>
                <w:b/>
                <w:color w:val="263238"/>
                <w:sz w:val="18"/>
              </w:rPr>
              <w:t>maximizar monto de deuda sujeto a: DSCRₜ ≥ covenantₜ, caja finalₜ ≥ caja mínimaₜ y demás restricciones activas</w:t>
            </w:r>
          </w:p>
        </w:tc>
      </w:tr>
    </w:tbl>
    <w:p>
      <w:pPr>
        <w:keepNext w:val="0"/>
        <w:spacing w:before="0" w:after="100" w:line="259" w:lineRule="auto"/>
      </w:pPr>
      <w:r>
        <w:rPr>
          <w:rFonts w:ascii="Aptos" w:hAnsi="Aptos" w:eastAsia="Aptos"/>
        </w:rPr>
        <w:t>El cálculo puede resolverse mediante búsqueda iterativa, optimización o Goal Seek controlado. La salida debe indicar el monto factible, la restricción vinculante, la holgura y los periodos críticos. Una condición contractual más exigente no debe ampliar artificialmente la capacidad.</w:t>
      </w:r>
    </w:p>
    <w:p>
      <w:pPr>
        <w:pStyle w:val="Heading2"/>
        <w:keepNext/>
        <w:spacing w:before="100" w:after="80"/>
      </w:pPr>
      <w:r>
        <w:rPr>
          <w:rFonts w:ascii="Aptos Display" w:hAnsi="Aptos Display" w:eastAsia="Aptos Display"/>
          <w:b/>
          <w:color w:val="263238"/>
        </w:rPr>
        <w:t>8.4 Liquidez</w:t>
      </w:r>
    </w:p>
    <w:tbl>
      <w:tblPr>
        <w:tblW w:type="auto" w:w="0"/>
        <w:jc w:val="center"/>
        <w:tblLayout w:type="autofit"/>
        <w:tblLook w:firstColumn="1" w:firstRow="1" w:lastColumn="0" w:lastRow="0" w:noHBand="0" w:noVBand="1" w:val="04A0"/>
      </w:tblPr>
      <w:tblGrid>
        <w:gridCol w:w="4961"/>
        <w:gridCol w:w="4961"/>
      </w:tblGrid>
      <w:tr>
        <w:trPr>
          <w:cantSplit/>
        </w:trPr>
        <w:tc>
          <w:tcPr>
            <w:tcW w:type="dxa" w:w="4961"/>
            <w:shd w:fill="EEE9F7"/>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Aptos" w:hAnsi="Aptos" w:eastAsia="Aptos"/>
                <w:b/>
                <w:color w:val="4B2E83"/>
                <w:sz w:val="18"/>
              </w:rPr>
              <w:t>Caja final</w:t>
            </w:r>
          </w:p>
        </w:tc>
        <w:tc>
          <w:tcPr>
            <w:tcW w:type="dxa" w:w="4961"/>
            <w:shd w:fill="F2F3F5"/>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Liberation Mono" w:hAnsi="Liberation Mono" w:eastAsia="Liberation Mono"/>
                <w:b/>
                <w:color w:val="263238"/>
                <w:sz w:val="18"/>
              </w:rPr>
              <w:t>caja inicial + entradas de caja − salidas de caja − servicio de deuda ± financiación del periodo</w:t>
            </w:r>
          </w:p>
        </w:tc>
      </w:tr>
    </w:tbl>
    <w:tbl>
      <w:tblPr>
        <w:tblW w:type="auto" w:w="0"/>
        <w:jc w:val="center"/>
        <w:tblLayout w:type="autofit"/>
        <w:tblLook w:firstColumn="1" w:firstRow="1" w:lastColumn="0" w:lastRow="0" w:noHBand="0" w:noVBand="1" w:val="04A0"/>
      </w:tblPr>
      <w:tblGrid>
        <w:gridCol w:w="4961"/>
        <w:gridCol w:w="4961"/>
      </w:tblGrid>
      <w:tr>
        <w:trPr>
          <w:cantSplit/>
        </w:trPr>
        <w:tc>
          <w:tcPr>
            <w:tcW w:type="dxa" w:w="4961"/>
            <w:shd w:fill="EEE9F7"/>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Aptos" w:hAnsi="Aptos" w:eastAsia="Aptos"/>
                <w:b/>
                <w:color w:val="4B2E83"/>
                <w:sz w:val="18"/>
              </w:rPr>
              <w:t>Brecha de liquidez</w:t>
            </w:r>
          </w:p>
        </w:tc>
        <w:tc>
          <w:tcPr>
            <w:tcW w:type="dxa" w:w="4961"/>
            <w:shd w:fill="F2F3F5"/>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Liberation Mono" w:hAnsi="Liberation Mono" w:eastAsia="Liberation Mono"/>
                <w:b/>
                <w:color w:val="263238"/>
                <w:sz w:val="18"/>
              </w:rPr>
              <w:t>caja final − caja mínima configurada</w:t>
            </w:r>
          </w:p>
        </w:tc>
      </w:tr>
    </w:tbl>
    <w:p>
      <w:pPr>
        <w:keepNext w:val="0"/>
        <w:spacing w:before="0" w:after="100" w:line="259" w:lineRule="auto"/>
      </w:pPr>
      <w:r>
        <w:rPr>
          <w:rFonts w:ascii="Aptos" w:hAnsi="Aptos" w:eastAsia="Aptos"/>
        </w:rPr>
        <w:t>La caja mínima es una política o condición del caso, no un valor universal. La app debe permitir reglas por periodo, moneda y escenario. Un escenario con brecha negativa se presenta como incumplimiento de liquidez aunque el DSCR cumpla.</w:t>
      </w:r>
    </w:p>
    <w:p>
      <w:pPr>
        <w:pStyle w:val="Heading2"/>
        <w:keepNext/>
        <w:spacing w:before="100" w:after="80"/>
      </w:pPr>
      <w:r>
        <w:rPr>
          <w:rFonts w:ascii="Aptos Display" w:hAnsi="Aptos Display" w:eastAsia="Aptos Display"/>
          <w:b/>
          <w:color w:val="263238"/>
        </w:rPr>
        <w:t>8.5 Simulación y riesgo</w:t>
      </w:r>
    </w:p>
    <w:tbl>
      <w:tblPr>
        <w:tblW w:type="auto" w:w="0"/>
        <w:jc w:val="center"/>
        <w:tblLayout w:type="autofit"/>
        <w:tblLook w:firstColumn="1" w:firstRow="1" w:lastColumn="0" w:lastRow="0" w:noHBand="0" w:noVBand="1" w:val="04A0"/>
      </w:tblPr>
      <w:tblGrid>
        <w:gridCol w:w="4961"/>
        <w:gridCol w:w="4961"/>
      </w:tblGrid>
      <w:tr>
        <w:trPr>
          <w:cantSplit/>
        </w:trPr>
        <w:tc>
          <w:tcPr>
            <w:tcW w:type="dxa" w:w="4961"/>
            <w:shd w:fill="EEE9F7"/>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Aptos" w:hAnsi="Aptos" w:eastAsia="Aptos"/>
                <w:b/>
                <w:color w:val="4B2E83"/>
                <w:sz w:val="18"/>
              </w:rPr>
              <w:t>Probabilidad de ruptura</w:t>
            </w:r>
          </w:p>
        </w:tc>
        <w:tc>
          <w:tcPr>
            <w:tcW w:type="dxa" w:w="4961"/>
            <w:shd w:fill="F2F3F5"/>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Liberation Mono" w:hAnsi="Liberation Mono" w:eastAsia="Liberation Mono"/>
                <w:b/>
                <w:color w:val="263238"/>
                <w:sz w:val="18"/>
              </w:rPr>
              <w:t>corridas válidas con al menos una ruptura ÷ corridas válidas totales × 100</w:t>
            </w:r>
          </w:p>
        </w:tc>
      </w:tr>
    </w:tbl>
    <w:tbl>
      <w:tblPr>
        <w:tblW w:type="auto" w:w="0"/>
        <w:jc w:val="center"/>
        <w:tblLayout w:type="autofit"/>
        <w:tblLook w:firstColumn="1" w:firstRow="1" w:lastColumn="0" w:lastRow="0" w:noHBand="0" w:noVBand="1" w:val="04A0"/>
      </w:tblPr>
      <w:tblGrid>
        <w:gridCol w:w="4961"/>
        <w:gridCol w:w="4961"/>
      </w:tblGrid>
      <w:tr>
        <w:trPr>
          <w:cantSplit/>
        </w:trPr>
        <w:tc>
          <w:tcPr>
            <w:tcW w:type="dxa" w:w="4961"/>
            <w:shd w:fill="EEE9F7"/>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Aptos" w:hAnsi="Aptos" w:eastAsia="Aptos"/>
                <w:b/>
                <w:color w:val="4B2E83"/>
                <w:sz w:val="18"/>
              </w:rPr>
              <w:t>Percentil</w:t>
            </w:r>
          </w:p>
        </w:tc>
        <w:tc>
          <w:tcPr>
            <w:tcW w:type="dxa" w:w="4961"/>
            <w:shd w:fill="F2F3F5"/>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Liberation Mono" w:hAnsi="Liberation Mono" w:eastAsia="Liberation Mono"/>
                <w:b/>
                <w:color w:val="263238"/>
                <w:sz w:val="18"/>
              </w:rPr>
              <w:t>valor de la distribución de salida correspondiente a la probabilidad acumulada seleccionada</w:t>
            </w:r>
          </w:p>
        </w:tc>
      </w:tr>
    </w:tbl>
    <w:tbl>
      <w:tblPr>
        <w:tblW w:type="auto" w:w="0"/>
        <w:jc w:val="center"/>
        <w:tblLayout w:type="autofit"/>
        <w:tblLook w:firstColumn="1" w:firstRow="1" w:lastColumn="0" w:lastRow="0" w:noHBand="0" w:noVBand="1" w:val="04A0"/>
      </w:tblPr>
      <w:tblGrid>
        <w:gridCol w:w="4961"/>
        <w:gridCol w:w="4961"/>
      </w:tblGrid>
      <w:tr>
        <w:trPr>
          <w:cantSplit/>
        </w:trPr>
        <w:tc>
          <w:tcPr>
            <w:tcW w:type="dxa" w:w="4961"/>
            <w:shd w:fill="EEE9F7"/>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Aptos" w:hAnsi="Aptos" w:eastAsia="Aptos"/>
                <w:b/>
                <w:color w:val="4B2E83"/>
                <w:sz w:val="18"/>
              </w:rPr>
              <w:t>Sensibilidad</w:t>
            </w:r>
          </w:p>
        </w:tc>
        <w:tc>
          <w:tcPr>
            <w:tcW w:type="dxa" w:w="4961"/>
            <w:shd w:fill="F2F3F5"/>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Liberation Mono" w:hAnsi="Liberation Mono" w:eastAsia="Liberation Mono"/>
                <w:b/>
                <w:color w:val="263238"/>
                <w:sz w:val="18"/>
              </w:rPr>
              <w:t>medida de asociación entre variaciones de entradas y variación de la salida, según el método exportado por la herramienta</w:t>
            </w:r>
          </w:p>
        </w:tc>
      </w:tr>
    </w:tbl>
    <w:p>
      <w:pPr>
        <w:keepNext w:val="0"/>
        <w:spacing w:before="0" w:after="100" w:line="259" w:lineRule="auto"/>
      </w:pPr>
      <w:r>
        <w:rPr>
          <w:rFonts w:ascii="Aptos" w:hAnsi="Aptos" w:eastAsia="Aptos"/>
        </w:rPr>
        <w:t>La app no debe convertir un percentil en “resultado esperado” sin explicar qué representa. La simulación requiere variables, distribuciones e iteraciones; Risk Simulator declara funciones de simulación, pronóstico, análisis estadístico y optimización sobre Excel. [RS-01][MC-01]</w:t>
      </w:r>
    </w:p>
    <w:p>
      <w:pPr>
        <w:pStyle w:val="Heading2"/>
        <w:keepNext/>
        <w:spacing w:before="100" w:after="80"/>
      </w:pPr>
      <w:r>
        <w:rPr>
          <w:rFonts w:ascii="Aptos Display" w:hAnsi="Aptos Display" w:eastAsia="Aptos Display"/>
          <w:b/>
          <w:color w:val="263238"/>
        </w:rPr>
        <w:t>8.6 Backtesting</w:t>
      </w:r>
    </w:p>
    <w:tbl>
      <w:tblPr>
        <w:tblW w:type="auto" w:w="0"/>
        <w:jc w:val="center"/>
        <w:tblLayout w:type="autofit"/>
        <w:tblLook w:firstColumn="1" w:firstRow="1" w:lastColumn="0" w:lastRow="0" w:noHBand="0" w:noVBand="1" w:val="04A0"/>
      </w:tblPr>
      <w:tblGrid>
        <w:gridCol w:w="4961"/>
        <w:gridCol w:w="4961"/>
      </w:tblGrid>
      <w:tr>
        <w:trPr>
          <w:cantSplit/>
        </w:trPr>
        <w:tc>
          <w:tcPr>
            <w:tcW w:type="dxa" w:w="4961"/>
            <w:shd w:fill="EEE9F7"/>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Aptos" w:hAnsi="Aptos" w:eastAsia="Aptos"/>
                <w:b/>
                <w:color w:val="4B2E83"/>
                <w:sz w:val="18"/>
              </w:rPr>
              <w:t>Desviación absoluta</w:t>
            </w:r>
          </w:p>
        </w:tc>
        <w:tc>
          <w:tcPr>
            <w:tcW w:type="dxa" w:w="4961"/>
            <w:shd w:fill="F2F3F5"/>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Liberation Mono" w:hAnsi="Liberation Mono" w:eastAsia="Liberation Mono"/>
                <w:b/>
                <w:color w:val="263238"/>
                <w:sz w:val="18"/>
              </w:rPr>
              <w:t>valor observado − valor proyectado</w:t>
            </w:r>
          </w:p>
        </w:tc>
      </w:tr>
    </w:tbl>
    <w:tbl>
      <w:tblPr>
        <w:tblW w:type="auto" w:w="0"/>
        <w:jc w:val="center"/>
        <w:tblLayout w:type="autofit"/>
        <w:tblLook w:firstColumn="1" w:firstRow="1" w:lastColumn="0" w:lastRow="0" w:noHBand="0" w:noVBand="1" w:val="04A0"/>
      </w:tblPr>
      <w:tblGrid>
        <w:gridCol w:w="4961"/>
        <w:gridCol w:w="4961"/>
      </w:tblGrid>
      <w:tr>
        <w:trPr>
          <w:cantSplit/>
        </w:trPr>
        <w:tc>
          <w:tcPr>
            <w:tcW w:type="dxa" w:w="4961"/>
            <w:shd w:fill="EEE9F7"/>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Aptos" w:hAnsi="Aptos" w:eastAsia="Aptos"/>
                <w:b/>
                <w:color w:val="4B2E83"/>
                <w:sz w:val="18"/>
              </w:rPr>
              <w:t>Desviación relativa</w:t>
            </w:r>
          </w:p>
        </w:tc>
        <w:tc>
          <w:tcPr>
            <w:tcW w:type="dxa" w:w="4961"/>
            <w:shd w:fill="F2F3F5"/>
            <w:tcMar>
              <w:top w:w="100" w:type="dxa"/>
              <w:start w:w="120" w:type="dxa"/>
              <w:bottom w:w="100" w:type="dxa"/>
              <w:end w:w="120" w:type="dxa"/>
            </w:tcMar>
            <w:tcBorders>
              <w:top w:sz="6" w:val="single" w:color="D6D8DC"/>
              <w:left w:sz="6" w:val="single" w:color="D6D8DC"/>
              <w:bottom w:sz="6" w:val="single" w:color="D6D8DC"/>
              <w:right w:sz="6" w:val="single" w:color="D6D8DC"/>
            </w:tcBorders>
          </w:tcPr>
          <w:p>
            <w:r>
              <w:rPr>
                <w:rFonts w:ascii="Liberation Mono" w:hAnsi="Liberation Mono" w:eastAsia="Liberation Mono"/>
                <w:b/>
                <w:color w:val="263238"/>
                <w:sz w:val="18"/>
              </w:rPr>
              <w:t>(valor observado − valor proyectado) ÷ base válida de comparación</w:t>
            </w:r>
          </w:p>
        </w:tc>
      </w:tr>
    </w:tbl>
    <w:p>
      <w:pPr>
        <w:keepNext w:val="0"/>
        <w:spacing w:before="0" w:after="100" w:line="259" w:lineRule="auto"/>
      </w:pPr>
      <w:r>
        <w:rPr>
          <w:rFonts w:ascii="Aptos" w:hAnsi="Aptos" w:eastAsia="Aptos"/>
        </w:rPr>
        <w:t>Cuando la base sea cero, negativa o no comparable, la app debe mostrar “No aplicable” y evitar porcentajes engañosos. El backtesting debe conservar la proyección original; nunca reescribirla con información posterior.</w:t>
      </w:r>
    </w:p>
    <w:p>
      <w:pPr>
        <w:pStyle w:val="Heading2"/>
        <w:keepNext/>
        <w:spacing w:before="100" w:after="80"/>
      </w:pPr>
      <w:r>
        <w:rPr>
          <w:rFonts w:ascii="Aptos Display" w:hAnsi="Aptos Display" w:eastAsia="Aptos Display"/>
          <w:b/>
          <w:color w:val="263238"/>
        </w:rPr>
        <w:t>8.7 Reglas de negocio financieras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1984"/>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Código</w:t>
            </w:r>
          </w:p>
        </w:tc>
        <w:tc>
          <w:tcPr>
            <w:tcW w:type="dxa" w:w="7370"/>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Regla</w:t>
            </w:r>
          </w:p>
        </w:tc>
      </w:tr>
      <w:tr>
        <w:trPr>
          <w:cantSplit/>
        </w:trPr>
        <w:tc>
          <w:tcPr>
            <w:tcW w:type="dxa" w:w="198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RN-FIN-01</w:t>
            </w:r>
          </w:p>
        </w:tc>
        <w:tc>
          <w:tcPr>
            <w:tcW w:type="dxa" w:w="737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No calcular con periodos o monedas incompatibles sin conversión y fuente.</w:t>
            </w:r>
          </w:p>
        </w:tc>
      </w:tr>
      <w:tr>
        <w:trPr>
          <w:cantSplit/>
        </w:trPr>
        <w:tc>
          <w:tcPr>
            <w:tcW w:type="dxa" w:w="198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RN-FIN-02</w:t>
            </w:r>
          </w:p>
        </w:tc>
        <w:tc>
          <w:tcPr>
            <w:tcW w:type="dxa" w:w="737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No mostrar DSCR cuando el servicio de deuda sea cero; indicar “No calculable”.</w:t>
            </w:r>
          </w:p>
        </w:tc>
      </w:tr>
      <w:tr>
        <w:trPr>
          <w:cantSplit/>
        </w:trPr>
        <w:tc>
          <w:tcPr>
            <w:tcW w:type="dxa" w:w="198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RN-FIN-03</w:t>
            </w:r>
          </w:p>
        </w:tc>
        <w:tc>
          <w:tcPr>
            <w:tcW w:type="dxa" w:w="737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El covenant debe tener tipo, umbral, periodo, fuente y vigencia.</w:t>
            </w:r>
          </w:p>
        </w:tc>
      </w:tr>
      <w:tr>
        <w:trPr>
          <w:cantSplit/>
        </w:trPr>
        <w:tc>
          <w:tcPr>
            <w:tcW w:type="dxa" w:w="198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RN-FIN-04</w:t>
            </w:r>
          </w:p>
        </w:tc>
        <w:tc>
          <w:tcPr>
            <w:tcW w:type="dxa" w:w="737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El máximo de deuda debe cumplir simultáneamente todas las restricciones activas.</w:t>
            </w:r>
          </w:p>
        </w:tc>
      </w:tr>
      <w:tr>
        <w:trPr>
          <w:cantSplit/>
        </w:trPr>
        <w:tc>
          <w:tcPr>
            <w:tcW w:type="dxa" w:w="198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RN-FIN-05</w:t>
            </w:r>
          </w:p>
        </w:tc>
        <w:tc>
          <w:tcPr>
            <w:tcW w:type="dxa" w:w="737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Toda variable de entrada debe identificar fuente, responsable, fecha y racional.</w:t>
            </w:r>
          </w:p>
        </w:tc>
      </w:tr>
      <w:tr>
        <w:trPr>
          <w:cantSplit/>
        </w:trPr>
        <w:tc>
          <w:tcPr>
            <w:tcW w:type="dxa" w:w="198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RN-FIN-06</w:t>
            </w:r>
          </w:p>
        </w:tc>
        <w:tc>
          <w:tcPr>
            <w:tcW w:type="dxa" w:w="737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Históricos, presupuestos y proyecciones no pueden mezclarse sin etiqueta.</w:t>
            </w:r>
          </w:p>
        </w:tc>
      </w:tr>
      <w:tr>
        <w:trPr>
          <w:cantSplit/>
        </w:trPr>
        <w:tc>
          <w:tcPr>
            <w:tcW w:type="dxa" w:w="198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RN-FIN-07</w:t>
            </w:r>
          </w:p>
        </w:tc>
        <w:tc>
          <w:tcPr>
            <w:tcW w:type="dxa" w:w="737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Una versión aprobada es inmutable; cualquier cambio genera una nueva versión.</w:t>
            </w:r>
          </w:p>
        </w:tc>
      </w:tr>
      <w:tr>
        <w:trPr>
          <w:cantSplit/>
        </w:trPr>
        <w:tc>
          <w:tcPr>
            <w:tcW w:type="dxa" w:w="198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RN-FIN-08</w:t>
            </w:r>
          </w:p>
        </w:tc>
        <w:tc>
          <w:tcPr>
            <w:tcW w:type="dxa" w:w="737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La salida determinística y la probabilística deben visualizarse por separado.</w:t>
            </w:r>
          </w:p>
        </w:tc>
      </w:tr>
      <w:tr>
        <w:trPr>
          <w:cantSplit/>
        </w:trPr>
        <w:tc>
          <w:tcPr>
            <w:tcW w:type="dxa" w:w="198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RN-FIN-09</w:t>
            </w:r>
          </w:p>
        </w:tc>
        <w:tc>
          <w:tcPr>
            <w:tcW w:type="dxa" w:w="737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Una importación de Risk Simulator debe coincidir con el modelo y la versión exportada.</w:t>
            </w:r>
          </w:p>
        </w:tc>
      </w:tr>
      <w:tr>
        <w:trPr>
          <w:cantSplit/>
        </w:trPr>
        <w:tc>
          <w:tcPr>
            <w:tcW w:type="dxa" w:w="198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RN-FIN-10</w:t>
            </w:r>
          </w:p>
        </w:tc>
        <w:tc>
          <w:tcPr>
            <w:tcW w:type="dxa" w:w="737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La decisión final debe registrar responsable, fecha, comentario y riesgo residual.</w:t>
            </w:r>
          </w:p>
        </w:tc>
      </w:tr>
    </w:tbl>
    <w:p>
      <w:pPr>
        <w:spacing w:after="20"/>
      </w:pPr>
    </w:p>
    <w:p>
      <w:pPr>
        <w:pStyle w:val="Heading1"/>
        <w:keepNext/>
        <w:spacing w:before="160" w:after="80"/>
      </w:pPr>
      <w:r>
        <w:rPr>
          <w:rFonts w:ascii="Aptos Display" w:hAnsi="Aptos Display" w:eastAsia="Aptos Display"/>
          <w:b/>
          <w:color w:val="4B2E83"/>
        </w:rPr>
        <w:t>9. Uso e interoperabilidad con Risk Simulator</w:t>
      </w:r>
    </w:p>
    <w:p>
      <w:pPr>
        <w:keepNext w:val="0"/>
        <w:spacing w:before="0" w:after="100" w:line="259" w:lineRule="auto"/>
      </w:pPr>
      <w:r>
        <w:rPr>
          <w:rFonts w:ascii="Aptos" w:hAnsi="Aptos" w:eastAsia="Aptos"/>
        </w:rPr>
        <w:t>Risk Simulator es un complemento de Excel ofrecido por Real Options Valuation para simulación, pronóstico, análisis estadístico y optimización. Su incorporación proviene de una instrucción directa de Rehavid y se conecta con la orientación de la transcripción sobre riesgo calculado y entorno externo. [R-05][RS-01][T-03]</w:t>
      </w:r>
    </w:p>
    <w:p>
      <w:pPr>
        <w:pStyle w:val="Heading2"/>
        <w:keepNext/>
        <w:spacing w:before="100" w:after="80"/>
      </w:pPr>
      <w:r>
        <w:rPr>
          <w:rFonts w:ascii="Aptos Display" w:hAnsi="Aptos Display" w:eastAsia="Aptos Display"/>
          <w:b/>
          <w:color w:val="263238"/>
        </w:rPr>
        <w:t>9.1 Contenido formativo obligatorio</w:t>
      </w:r>
    </w:p>
    <w:p>
      <w:pPr>
        <w:pStyle w:val="ListBullet"/>
        <w:spacing w:before="0" w:after="40" w:line="259" w:lineRule="auto"/>
      </w:pPr>
      <w:r>
        <w:rPr>
          <w:rFonts w:ascii="Aptos" w:hAnsi="Aptos" w:eastAsia="Aptos"/>
        </w:rPr>
        <w:t>Verificar el modelo determinístico antes de simular.</w:t>
      </w:r>
    </w:p>
    <w:p>
      <w:pPr>
        <w:pStyle w:val="ListBullet"/>
        <w:spacing w:before="0" w:after="40" w:line="259" w:lineRule="auto"/>
      </w:pPr>
      <w:r>
        <w:rPr>
          <w:rFonts w:ascii="Aptos" w:hAnsi="Aptos" w:eastAsia="Aptos"/>
        </w:rPr>
        <w:t>Seleccionar variables inciertas y justificar por qué son inciertas.</w:t>
      </w:r>
    </w:p>
    <w:p>
      <w:pPr>
        <w:pStyle w:val="ListBullet"/>
        <w:spacing w:before="0" w:after="40" w:line="259" w:lineRule="auto"/>
      </w:pPr>
      <w:r>
        <w:rPr>
          <w:rFonts w:ascii="Aptos" w:hAnsi="Aptos" w:eastAsia="Aptos"/>
        </w:rPr>
        <w:t>Elegir distribuciones y parámetros a partir de evidencia, no por conveniencia.</w:t>
      </w:r>
    </w:p>
    <w:p>
      <w:pPr>
        <w:pStyle w:val="ListBullet"/>
        <w:spacing w:before="0" w:after="40" w:line="259" w:lineRule="auto"/>
      </w:pPr>
      <w:r>
        <w:rPr>
          <w:rFonts w:ascii="Aptos" w:hAnsi="Aptos" w:eastAsia="Aptos"/>
        </w:rPr>
        <w:t>Definir correlaciones cuando las variables no sean independientes.</w:t>
      </w:r>
    </w:p>
    <w:p>
      <w:pPr>
        <w:pStyle w:val="ListBullet"/>
        <w:spacing w:before="0" w:after="40" w:line="259" w:lineRule="auto"/>
      </w:pPr>
      <w:r>
        <w:rPr>
          <w:rFonts w:ascii="Aptos" w:hAnsi="Aptos" w:eastAsia="Aptos"/>
        </w:rPr>
        <w:t>Identificar celdas de pronóstico y métricas de decisión.</w:t>
      </w:r>
    </w:p>
    <w:p>
      <w:pPr>
        <w:pStyle w:val="ListBullet"/>
        <w:spacing w:before="0" w:after="40" w:line="259" w:lineRule="auto"/>
      </w:pPr>
      <w:r>
        <w:rPr>
          <w:rFonts w:ascii="Aptos" w:hAnsi="Aptos" w:eastAsia="Aptos"/>
        </w:rPr>
        <w:t>Configurar número de iteraciones y criterios de estabilidad.</w:t>
      </w:r>
    </w:p>
    <w:p>
      <w:pPr>
        <w:pStyle w:val="ListBullet"/>
        <w:spacing w:before="0" w:after="40" w:line="259" w:lineRule="auto"/>
      </w:pPr>
      <w:r>
        <w:rPr>
          <w:rFonts w:ascii="Aptos" w:hAnsi="Aptos" w:eastAsia="Aptos"/>
        </w:rPr>
        <w:t>Ejecutar y revisar errores de cálculo.</w:t>
      </w:r>
    </w:p>
    <w:p>
      <w:pPr>
        <w:pStyle w:val="ListBullet"/>
        <w:spacing w:before="0" w:after="40" w:line="259" w:lineRule="auto"/>
      </w:pPr>
      <w:r>
        <w:rPr>
          <w:rFonts w:ascii="Aptos" w:hAnsi="Aptos" w:eastAsia="Aptos"/>
        </w:rPr>
        <w:t>Interpretar distribución, percentiles, probabilidad de ruptura y sensibilidad.</w:t>
      </w:r>
    </w:p>
    <w:p>
      <w:pPr>
        <w:pStyle w:val="ListBullet"/>
        <w:spacing w:before="0" w:after="40" w:line="259" w:lineRule="auto"/>
      </w:pPr>
      <w:r>
        <w:rPr>
          <w:rFonts w:ascii="Aptos" w:hAnsi="Aptos" w:eastAsia="Aptos"/>
        </w:rPr>
        <w:t>Documentar versión, archivo, usuario, fecha, supuestos y limitaciones.</w:t>
      </w:r>
    </w:p>
    <w:p>
      <w:pPr>
        <w:pStyle w:val="ListBullet"/>
        <w:spacing w:before="0" w:after="40" w:line="259" w:lineRule="auto"/>
      </w:pPr>
      <w:r>
        <w:rPr>
          <w:rFonts w:ascii="Aptos" w:hAnsi="Aptos" w:eastAsia="Aptos"/>
        </w:rPr>
        <w:t>Diferenciar resultado importado de Risk Simulator y cálculo nativo de la app.</w:t>
      </w:r>
    </w:p>
    <w:p>
      <w:pPr>
        <w:pStyle w:val="Heading2"/>
        <w:keepNext/>
        <w:spacing w:before="100" w:after="80"/>
      </w:pPr>
      <w:r>
        <w:rPr>
          <w:rFonts w:ascii="Aptos Display" w:hAnsi="Aptos Display" w:eastAsia="Aptos Display"/>
          <w:b/>
          <w:color w:val="263238"/>
        </w:rPr>
        <w:t>9.2 Flujo recomendado para el producto mínimo viable</w:t>
      </w:r>
    </w:p>
    <w:p>
      <w:pPr>
        <w:spacing w:before="0" w:after="40" w:line="259" w:lineRule="auto"/>
        <w:ind w:left="255" w:hanging="255"/>
      </w:pPr>
      <w:r>
        <w:rPr>
          <w:rFonts w:ascii="Aptos" w:hAnsi="Aptos" w:eastAsia="Aptos"/>
          <w:b/>
          <w:color w:val="4B2E83"/>
        </w:rPr>
        <w:t xml:space="preserve">1. </w:t>
      </w:r>
      <w:r>
        <w:rPr>
          <w:rFonts w:ascii="Aptos" w:hAnsi="Aptos" w:eastAsia="Aptos"/>
        </w:rPr>
        <w:t>La app valida el modelo determinístico y genera una especificación de simulación.</w:t>
      </w:r>
    </w:p>
    <w:p>
      <w:pPr>
        <w:spacing w:before="0" w:after="40" w:line="259" w:lineRule="auto"/>
        <w:ind w:left="255" w:hanging="255"/>
      </w:pPr>
      <w:r>
        <w:rPr>
          <w:rFonts w:ascii="Aptos" w:hAnsi="Aptos" w:eastAsia="Aptos"/>
          <w:b/>
          <w:color w:val="4B2E83"/>
        </w:rPr>
        <w:t xml:space="preserve">2. </w:t>
      </w:r>
      <w:r>
        <w:rPr>
          <w:rFonts w:ascii="Aptos" w:hAnsi="Aptos" w:eastAsia="Aptos"/>
        </w:rPr>
        <w:t>La app exporta una plantilla de Excel con identificadores del modelo, versión, variables y salidas.</w:t>
      </w:r>
    </w:p>
    <w:p>
      <w:pPr>
        <w:spacing w:before="0" w:after="40" w:line="259" w:lineRule="auto"/>
        <w:ind w:left="255" w:hanging="255"/>
      </w:pPr>
      <w:r>
        <w:rPr>
          <w:rFonts w:ascii="Aptos" w:hAnsi="Aptos" w:eastAsia="Aptos"/>
          <w:b/>
          <w:color w:val="4B2E83"/>
        </w:rPr>
        <w:t xml:space="preserve">3. </w:t>
      </w:r>
      <w:r>
        <w:rPr>
          <w:rFonts w:ascii="Aptos" w:hAnsi="Aptos" w:eastAsia="Aptos"/>
        </w:rPr>
        <w:t>El usuario abre el archivo en Excel y configura o confirma la simulación en Risk Simulator.</w:t>
      </w:r>
    </w:p>
    <w:p>
      <w:pPr>
        <w:spacing w:before="0" w:after="40" w:line="259" w:lineRule="auto"/>
        <w:ind w:left="255" w:hanging="255"/>
      </w:pPr>
      <w:r>
        <w:rPr>
          <w:rFonts w:ascii="Aptos" w:hAnsi="Aptos" w:eastAsia="Aptos"/>
          <w:b/>
          <w:color w:val="4B2E83"/>
        </w:rPr>
        <w:t xml:space="preserve">4. </w:t>
      </w:r>
      <w:r>
        <w:rPr>
          <w:rFonts w:ascii="Aptos" w:hAnsi="Aptos" w:eastAsia="Aptos"/>
        </w:rPr>
        <w:t>Risk Simulator ejecuta la simulación.</w:t>
      </w:r>
    </w:p>
    <w:p>
      <w:pPr>
        <w:spacing w:before="0" w:after="40" w:line="259" w:lineRule="auto"/>
        <w:ind w:left="255" w:hanging="255"/>
      </w:pPr>
      <w:r>
        <w:rPr>
          <w:rFonts w:ascii="Aptos" w:hAnsi="Aptos" w:eastAsia="Aptos"/>
          <w:b/>
          <w:color w:val="4B2E83"/>
        </w:rPr>
        <w:t xml:space="preserve">5. </w:t>
      </w:r>
      <w:r>
        <w:rPr>
          <w:rFonts w:ascii="Aptos" w:hAnsi="Aptos" w:eastAsia="Aptos"/>
        </w:rPr>
        <w:t>El usuario exporta resultados mediante una plantilla estructurada controlada por Rehavid.</w:t>
      </w:r>
    </w:p>
    <w:p>
      <w:pPr>
        <w:spacing w:before="0" w:after="40" w:line="259" w:lineRule="auto"/>
        <w:ind w:left="255" w:hanging="255"/>
      </w:pPr>
      <w:r>
        <w:rPr>
          <w:rFonts w:ascii="Aptos" w:hAnsi="Aptos" w:eastAsia="Aptos"/>
          <w:b/>
          <w:color w:val="4B2E83"/>
        </w:rPr>
        <w:t xml:space="preserve">6. </w:t>
      </w:r>
      <w:r>
        <w:rPr>
          <w:rFonts w:ascii="Aptos" w:hAnsi="Aptos" w:eastAsia="Aptos"/>
        </w:rPr>
        <w:t>La app valida la identidad del modelo, importa resultados y registra la ejecución como “externa importada”.</w:t>
      </w:r>
    </w:p>
    <w:p>
      <w:pPr>
        <w:spacing w:before="0" w:after="40" w:line="259" w:lineRule="auto"/>
        <w:ind w:left="255" w:hanging="255"/>
      </w:pPr>
      <w:r>
        <w:rPr>
          <w:rFonts w:ascii="Aptos" w:hAnsi="Aptos" w:eastAsia="Aptos"/>
          <w:b/>
          <w:color w:val="4B2E83"/>
        </w:rPr>
        <w:t xml:space="preserve">7. </w:t>
      </w:r>
      <w:r>
        <w:rPr>
          <w:rFonts w:ascii="Aptos" w:hAnsi="Aptos" w:eastAsia="Aptos"/>
        </w:rPr>
        <w:t>La app muestra resultados, advertencias y trazabilidad sin afirmar que ejecutó internamente el motor de Risk Simulator.</w:t>
      </w:r>
    </w:p>
    <w:p>
      <w:pPr>
        <w:pStyle w:val="Heading2"/>
        <w:keepNext/>
        <w:spacing w:before="100" w:after="80"/>
      </w:pPr>
      <w:r>
        <w:rPr>
          <w:rFonts w:ascii="Aptos Display" w:hAnsi="Aptos Display" w:eastAsia="Aptos Display"/>
          <w:b/>
          <w:color w:val="263238"/>
        </w:rPr>
        <w:t>9.3 Integración directa: condición para una fase posterior</w:t>
      </w:r>
    </w:p>
    <w:p>
      <w:pPr>
        <w:keepNext w:val="0"/>
        <w:spacing w:before="0" w:after="100" w:line="259" w:lineRule="auto"/>
      </w:pPr>
      <w:r>
        <w:rPr>
          <w:rFonts w:ascii="Aptos" w:hAnsi="Aptos" w:eastAsia="Aptos"/>
        </w:rPr>
        <w:t>El fabricante informa que dispone de opciones SDK/OEM para integrar sus capacidades en software propietario. La integración directa solo debe incluirse después de validar licencia, alcance técnico, formatos, seguridad, soporte y autorización contractual. [RS-02]</w:t>
      </w:r>
    </w:p>
    <w:tbl>
      <w:tblPr>
        <w:tblW w:type="auto" w:w="0"/>
        <w:jc w:val="center"/>
        <w:tblLayout w:type="autofit"/>
        <w:tblLook w:firstColumn="1" w:firstRow="1" w:lastColumn="0" w:lastRow="0" w:noHBand="0" w:noVBand="1" w:val="04A0"/>
      </w:tblPr>
      <w:tblGrid>
        <w:gridCol w:w="9922"/>
      </w:tblGrid>
      <w:tr>
        <w:trPr>
          <w:cantSplit/>
        </w:trPr>
        <w:tc>
          <w:tcPr>
            <w:tcW w:type="dxa" w:w="9922"/>
            <w:shd w:fill="FFF4E5"/>
            <w:tcBorders>
              <w:top w:sz="8" w:val="single" w:color="9A6700"/>
              <w:left w:sz="22" w:val="single" w:color="9A6700"/>
              <w:bottom w:sz="8" w:val="single" w:color="9A6700"/>
              <w:right w:sz="8" w:val="single" w:color="9A6700"/>
            </w:tcBorders>
            <w:tcMar>
              <w:top w:w="120" w:type="dxa"/>
              <w:start w:w="180" w:type="dxa"/>
              <w:bottom w:w="120" w:type="dxa"/>
              <w:end w:w="160" w:type="dxa"/>
            </w:tcMar>
          </w:tcPr>
          <w:p>
            <w:pPr>
              <w:spacing w:after="40"/>
            </w:pPr>
            <w:r>
              <w:rPr>
                <w:rFonts w:ascii="Aptos" w:hAnsi="Aptos" w:eastAsia="Aptos"/>
                <w:b/>
                <w:color w:val="9A6700"/>
                <w:sz w:val="20"/>
              </w:rPr>
              <w:t>Decisión de arquitectura</w:t>
            </w:r>
          </w:p>
          <w:p>
            <w:pPr>
              <w:spacing w:before="0" w:after="0" w:line="247" w:lineRule="auto"/>
            </w:pPr>
            <w:r>
              <w:rPr>
                <w:rFonts w:ascii="Aptos" w:hAnsi="Aptos" w:eastAsia="Aptos"/>
                <w:color w:val="263238"/>
                <w:sz w:val="18"/>
              </w:rPr>
              <w:t>MVP: interoperabilidad asistida por archivos estructurados. Fase posterior: integración directa únicamente mediante mecanismo autorizado por el fabricante. Esta separación evita prometer una conexión no confirmada.</w:t>
            </w:r>
          </w:p>
        </w:tc>
      </w:tr>
    </w:tbl>
    <w:p>
      <w:pPr>
        <w:spacing w:after="0"/>
      </w:pPr>
    </w:p>
    <w:p>
      <w:pPr>
        <w:pStyle w:val="Heading2"/>
        <w:keepNext/>
        <w:spacing w:before="100" w:after="80"/>
      </w:pPr>
      <w:r>
        <w:rPr>
          <w:rFonts w:ascii="Aptos Display" w:hAnsi="Aptos Display" w:eastAsia="Aptos Display"/>
          <w:b/>
          <w:color w:val="263238"/>
        </w:rPr>
        <w:t>9.4 Datos mínimos de una ejecución importada</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097"/>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Grupo</w:t>
            </w:r>
          </w:p>
        </w:tc>
        <w:tc>
          <w:tcPr>
            <w:tcW w:type="dxa" w:w="7256"/>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Campos</w:t>
            </w:r>
          </w:p>
        </w:tc>
      </w:tr>
      <w:tr>
        <w:trPr>
          <w:cantSplit/>
        </w:trPr>
        <w:tc>
          <w:tcPr>
            <w:tcW w:type="dxa" w:w="209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Identidad</w:t>
            </w:r>
          </w:p>
        </w:tc>
        <w:tc>
          <w:tcPr>
            <w:tcW w:type="dxa" w:w="725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Modelo, versión, escenario, archivo y hash.</w:t>
            </w:r>
          </w:p>
        </w:tc>
      </w:tr>
      <w:tr>
        <w:trPr>
          <w:cantSplit/>
        </w:trPr>
        <w:tc>
          <w:tcPr>
            <w:tcW w:type="dxa" w:w="209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Ejecución</w:t>
            </w:r>
          </w:p>
        </w:tc>
        <w:tc>
          <w:tcPr>
            <w:tcW w:type="dxa" w:w="7256"/>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Fecha, usuario, herramienta, versión, iteraciones y método disponible.</w:t>
            </w:r>
          </w:p>
        </w:tc>
      </w:tr>
      <w:tr>
        <w:trPr>
          <w:cantSplit/>
        </w:trPr>
        <w:tc>
          <w:tcPr>
            <w:tcW w:type="dxa" w:w="209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Entradas</w:t>
            </w:r>
          </w:p>
        </w:tc>
        <w:tc>
          <w:tcPr>
            <w:tcW w:type="dxa" w:w="725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Variable, distribución, parámetros, unidad, fuente y correlaciones.</w:t>
            </w:r>
          </w:p>
        </w:tc>
      </w:tr>
      <w:tr>
        <w:trPr>
          <w:cantSplit/>
        </w:trPr>
        <w:tc>
          <w:tcPr>
            <w:tcW w:type="dxa" w:w="209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Salidas</w:t>
            </w:r>
          </w:p>
        </w:tc>
        <w:tc>
          <w:tcPr>
            <w:tcW w:type="dxa" w:w="7256"/>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Variable, media, mediana, desviación, percentiles y probabilidad de umbral, según disponibilidad.</w:t>
            </w:r>
          </w:p>
        </w:tc>
      </w:tr>
      <w:tr>
        <w:trPr>
          <w:cantSplit/>
        </w:trPr>
        <w:tc>
          <w:tcPr>
            <w:tcW w:type="dxa" w:w="209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Sensibilidad</w:t>
            </w:r>
          </w:p>
        </w:tc>
        <w:tc>
          <w:tcPr>
            <w:tcW w:type="dxa" w:w="7256"/>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Variable explicativa, signo, magnitud y método.</w:t>
            </w:r>
          </w:p>
        </w:tc>
      </w:tr>
      <w:tr>
        <w:trPr>
          <w:cantSplit/>
        </w:trPr>
        <w:tc>
          <w:tcPr>
            <w:tcW w:type="dxa" w:w="209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Gobierno</w:t>
            </w:r>
          </w:p>
        </w:tc>
        <w:tc>
          <w:tcPr>
            <w:tcW w:type="dxa" w:w="7256"/>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Comentarios, limitaciones, revisión y estado.</w:t>
            </w:r>
          </w:p>
        </w:tc>
      </w:tr>
    </w:tbl>
    <w:p>
      <w:pPr>
        <w:spacing w:after="20"/>
      </w:pPr>
    </w:p>
    <w:p>
      <w:pPr>
        <w:pStyle w:val="Heading1"/>
        <w:keepNext/>
        <w:spacing w:before="160" w:after="80"/>
      </w:pPr>
      <w:r>
        <w:rPr>
          <w:rFonts w:ascii="Aptos Display" w:hAnsi="Aptos Display" w:eastAsia="Aptos Display"/>
          <w:b/>
          <w:color w:val="4B2E83"/>
        </w:rPr>
        <w:t>10. Modelo de datos, seguridad y marco colombiano</w:t>
      </w:r>
    </w:p>
    <w:p>
      <w:pPr>
        <w:pStyle w:val="Heading2"/>
        <w:keepNext/>
        <w:spacing w:before="100" w:after="80"/>
      </w:pPr>
      <w:r>
        <w:rPr>
          <w:rFonts w:ascii="Aptos Display" w:hAnsi="Aptos Display" w:eastAsia="Aptos Display"/>
          <w:b/>
          <w:color w:val="263238"/>
        </w:rPr>
        <w:t>10.1 Entidades principales</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891"/>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Entidad</w:t>
            </w:r>
          </w:p>
        </w:tc>
        <w:tc>
          <w:tcPr>
            <w:tcW w:type="dxa" w:w="6462"/>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Contenido esencial</w:t>
            </w:r>
          </w:p>
        </w:tc>
      </w:tr>
      <w:tr>
        <w:trPr>
          <w:cantSplit/>
        </w:trPr>
        <w:tc>
          <w:tcPr>
            <w:tcW w:type="dxa" w:w="289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User</w:t>
            </w:r>
          </w:p>
        </w:tc>
        <w:tc>
          <w:tcPr>
            <w:tcW w:type="dxa" w:w="646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Identidad, cargo, estado, roles y autorizaciones.</w:t>
            </w:r>
          </w:p>
        </w:tc>
      </w:tr>
      <w:tr>
        <w:trPr>
          <w:cantSplit/>
        </w:trPr>
        <w:tc>
          <w:tcPr>
            <w:tcW w:type="dxa" w:w="289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Course / Unit / ContentVersion</w:t>
            </w:r>
          </w:p>
        </w:tc>
        <w:tc>
          <w:tcPr>
            <w:tcW w:type="dxa" w:w="646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Ruta, unidad, contenido, vigencia y fuente.</w:t>
            </w:r>
          </w:p>
        </w:tc>
      </w:tr>
      <w:tr>
        <w:trPr>
          <w:cantSplit/>
        </w:trPr>
        <w:tc>
          <w:tcPr>
            <w:tcW w:type="dxa" w:w="289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Question / EquivalentItem</w:t>
            </w:r>
          </w:p>
        </w:tc>
        <w:tc>
          <w:tcPr>
            <w:tcW w:type="dxa" w:w="646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Objetivo, variante, respuesta, explicación y fuente.</w:t>
            </w:r>
          </w:p>
        </w:tc>
      </w:tr>
      <w:tr>
        <w:trPr>
          <w:cantSplit/>
        </w:trPr>
        <w:tc>
          <w:tcPr>
            <w:tcW w:type="dxa" w:w="289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AssessmentAttempt</w:t>
            </w:r>
          </w:p>
        </w:tc>
        <w:tc>
          <w:tcPr>
            <w:tcW w:type="dxa" w:w="646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Respuestas, resultado, errores, repreguntas, duración y estado.</w:t>
            </w:r>
          </w:p>
        </w:tc>
      </w:tr>
      <w:tr>
        <w:trPr>
          <w:cantSplit/>
        </w:trPr>
        <w:tc>
          <w:tcPr>
            <w:tcW w:type="dxa" w:w="289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Certificate</w:t>
            </w:r>
          </w:p>
        </w:tc>
        <w:tc>
          <w:tcPr>
            <w:tcW w:type="dxa" w:w="646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Código, participante, cargo, resultado, fecha, versión y estado.</w:t>
            </w:r>
          </w:p>
        </w:tc>
      </w:tr>
      <w:tr>
        <w:trPr>
          <w:cantSplit/>
        </w:trPr>
        <w:tc>
          <w:tcPr>
            <w:tcW w:type="dxa" w:w="289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FinancialModel</w:t>
            </w:r>
          </w:p>
        </w:tc>
        <w:tc>
          <w:tcPr>
            <w:tcW w:type="dxa" w:w="646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Propósito, responsable, periodo, moneda, versión y estado.</w:t>
            </w:r>
          </w:p>
        </w:tc>
      </w:tr>
      <w:tr>
        <w:trPr>
          <w:cantSplit/>
        </w:trPr>
        <w:tc>
          <w:tcPr>
            <w:tcW w:type="dxa" w:w="289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Scenario</w:t>
            </w:r>
          </w:p>
        </w:tc>
        <w:tc>
          <w:tcPr>
            <w:tcW w:type="dxa" w:w="646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Nombre, tipo, supuestos y relación con modelo base.</w:t>
            </w:r>
          </w:p>
        </w:tc>
      </w:tr>
      <w:tr>
        <w:trPr>
          <w:cantSplit/>
        </w:trPr>
        <w:tc>
          <w:tcPr>
            <w:tcW w:type="dxa" w:w="289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Assumption</w:t>
            </w:r>
          </w:p>
        </w:tc>
        <w:tc>
          <w:tcPr>
            <w:tcW w:type="dxa" w:w="646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Variable, valor, unidad, periodo, fuente, racional y responsable.</w:t>
            </w:r>
          </w:p>
        </w:tc>
      </w:tr>
      <w:tr>
        <w:trPr>
          <w:cantSplit/>
        </w:trPr>
        <w:tc>
          <w:tcPr>
            <w:tcW w:type="dxa" w:w="289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DebtFacility / DebtSchedule</w:t>
            </w:r>
          </w:p>
        </w:tc>
        <w:tc>
          <w:tcPr>
            <w:tcW w:type="dxa" w:w="646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Condición contractual, saldos, pagos y servicio.</w:t>
            </w:r>
          </w:p>
        </w:tc>
      </w:tr>
      <w:tr>
        <w:trPr>
          <w:cantSplit/>
        </w:trPr>
        <w:tc>
          <w:tcPr>
            <w:tcW w:type="dxa" w:w="289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CashFlowLine</w:t>
            </w:r>
          </w:p>
        </w:tc>
        <w:tc>
          <w:tcPr>
            <w:tcW w:type="dxa" w:w="646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Clasificación, periodo, escenario, origen y valor.</w:t>
            </w:r>
          </w:p>
        </w:tc>
      </w:tr>
      <w:tr>
        <w:trPr>
          <w:cantSplit/>
        </w:trPr>
        <w:tc>
          <w:tcPr>
            <w:tcW w:type="dxa" w:w="289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Covenant</w:t>
            </w:r>
          </w:p>
        </w:tc>
        <w:tc>
          <w:tcPr>
            <w:tcW w:type="dxa" w:w="646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Indicador, umbral, periodicidad, fuente y consecuencia.</w:t>
            </w:r>
          </w:p>
        </w:tc>
      </w:tr>
      <w:tr>
        <w:trPr>
          <w:cantSplit/>
        </w:trPr>
        <w:tc>
          <w:tcPr>
            <w:tcW w:type="dxa" w:w="289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LiquidityRule</w:t>
            </w:r>
          </w:p>
        </w:tc>
        <w:tc>
          <w:tcPr>
            <w:tcW w:type="dxa" w:w="646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Caja mínima, vigencia y fuente.</w:t>
            </w:r>
          </w:p>
        </w:tc>
      </w:tr>
      <w:tr>
        <w:trPr>
          <w:cantSplit/>
        </w:trPr>
        <w:tc>
          <w:tcPr>
            <w:tcW w:type="dxa" w:w="289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SimulationRun</w:t>
            </w:r>
          </w:p>
        </w:tc>
        <w:tc>
          <w:tcPr>
            <w:tcW w:type="dxa" w:w="646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Archivo, versión, parámetros, entradas, salidas y evidencia.</w:t>
            </w:r>
          </w:p>
        </w:tc>
      </w:tr>
      <w:tr>
        <w:trPr>
          <w:cantSplit/>
        </w:trPr>
        <w:tc>
          <w:tcPr>
            <w:tcW w:type="dxa" w:w="289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BacktestRun</w:t>
            </w:r>
          </w:p>
        </w:tc>
        <w:tc>
          <w:tcPr>
            <w:tcW w:type="dxa" w:w="646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Proyección original, observado, desviación y aprendizaje.</w:t>
            </w:r>
          </w:p>
        </w:tc>
      </w:tr>
      <w:tr>
        <w:trPr>
          <w:cantSplit/>
        </w:trPr>
        <w:tc>
          <w:tcPr>
            <w:tcW w:type="dxa" w:w="289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Review / Finding</w:t>
            </w:r>
          </w:p>
        </w:tc>
        <w:tc>
          <w:tcPr>
            <w:tcW w:type="dxa" w:w="646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Revisor, hallazgo, severidad, acción y cierre.</w:t>
            </w:r>
          </w:p>
        </w:tc>
      </w:tr>
      <w:tr>
        <w:trPr>
          <w:cantSplit/>
        </w:trPr>
        <w:tc>
          <w:tcPr>
            <w:tcW w:type="dxa" w:w="289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AuditEvent</w:t>
            </w:r>
          </w:p>
        </w:tc>
        <w:tc>
          <w:tcPr>
            <w:tcW w:type="dxa" w:w="646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Usuario, acción, fecha, entidad, valor previo y valor posterior.</w:t>
            </w:r>
          </w:p>
        </w:tc>
      </w:tr>
    </w:tbl>
    <w:p>
      <w:pPr>
        <w:spacing w:after="20"/>
      </w:pPr>
    </w:p>
    <w:p>
      <w:pPr>
        <w:pStyle w:val="Heading2"/>
        <w:keepNext/>
        <w:spacing w:before="100" w:after="80"/>
      </w:pPr>
      <w:r>
        <w:rPr>
          <w:rFonts w:ascii="Aptos Display" w:hAnsi="Aptos Display" w:eastAsia="Aptos Display"/>
          <w:b/>
          <w:color w:val="263238"/>
        </w:rPr>
        <w:t>10.2 Controles de calidad del dato</w:t>
      </w:r>
    </w:p>
    <w:p>
      <w:pPr>
        <w:pStyle w:val="ListBullet"/>
        <w:spacing w:before="0" w:after="40" w:line="259" w:lineRule="auto"/>
      </w:pPr>
      <w:r>
        <w:rPr>
          <w:rFonts w:ascii="Aptos" w:hAnsi="Aptos" w:eastAsia="Aptos"/>
        </w:rPr>
        <w:t>Catálogos controlados para moneda, periodicidad, distribución, estado y tipo de flujo.</w:t>
      </w:r>
    </w:p>
    <w:p>
      <w:pPr>
        <w:pStyle w:val="ListBullet"/>
        <w:spacing w:before="0" w:after="40" w:line="259" w:lineRule="auto"/>
      </w:pPr>
      <w:r>
        <w:rPr>
          <w:rFonts w:ascii="Aptos" w:hAnsi="Aptos" w:eastAsia="Aptos"/>
        </w:rPr>
        <w:t>Reglas de rango y tipo de dato; valores negativos solo donde tengan sentido financiero.</w:t>
      </w:r>
    </w:p>
    <w:p>
      <w:pPr>
        <w:pStyle w:val="ListBullet"/>
        <w:spacing w:before="0" w:after="40" w:line="259" w:lineRule="auto"/>
      </w:pPr>
      <w:r>
        <w:rPr>
          <w:rFonts w:ascii="Aptos" w:hAnsi="Aptos" w:eastAsia="Aptos"/>
        </w:rPr>
        <w:t>Conciliación automática de saldos y totales.</w:t>
      </w:r>
    </w:p>
    <w:p>
      <w:pPr>
        <w:pStyle w:val="ListBullet"/>
        <w:spacing w:before="0" w:after="40" w:line="259" w:lineRule="auto"/>
      </w:pPr>
      <w:r>
        <w:rPr>
          <w:rFonts w:ascii="Aptos" w:hAnsi="Aptos" w:eastAsia="Aptos"/>
        </w:rPr>
        <w:t>Identificador de origen y evidencia adjunta.</w:t>
      </w:r>
    </w:p>
    <w:p>
      <w:pPr>
        <w:pStyle w:val="ListBullet"/>
        <w:spacing w:before="0" w:after="40" w:line="259" w:lineRule="auto"/>
      </w:pPr>
      <w:r>
        <w:rPr>
          <w:rFonts w:ascii="Aptos" w:hAnsi="Aptos" w:eastAsia="Aptos"/>
        </w:rPr>
        <w:t>Separación entre dato ingresado, dato importado y dato calculado.</w:t>
      </w:r>
    </w:p>
    <w:p>
      <w:pPr>
        <w:pStyle w:val="ListBullet"/>
        <w:spacing w:before="0" w:after="40" w:line="259" w:lineRule="auto"/>
      </w:pPr>
      <w:r>
        <w:rPr>
          <w:rFonts w:ascii="Aptos" w:hAnsi="Aptos" w:eastAsia="Aptos"/>
        </w:rPr>
        <w:t>Hash o huella de los archivos intercambiados con Excel.</w:t>
      </w:r>
    </w:p>
    <w:p>
      <w:pPr>
        <w:pStyle w:val="ListBullet"/>
        <w:spacing w:before="0" w:after="40" w:line="259" w:lineRule="auto"/>
      </w:pPr>
      <w:r>
        <w:rPr>
          <w:rFonts w:ascii="Aptos" w:hAnsi="Aptos" w:eastAsia="Aptos"/>
        </w:rPr>
        <w:t>Registro de cambios y aprobación antes de publicar resultados.</w:t>
      </w:r>
    </w:p>
    <w:p>
      <w:pPr>
        <w:pStyle w:val="ListBullet"/>
        <w:spacing w:before="0" w:after="40" w:line="259" w:lineRule="auto"/>
      </w:pPr>
      <w:r>
        <w:rPr>
          <w:rFonts w:ascii="Aptos" w:hAnsi="Aptos" w:eastAsia="Aptos"/>
        </w:rPr>
        <w:t>Detección de fórmulas faltantes, referencias rotas y divisiones inválidas.</w:t>
      </w:r>
    </w:p>
    <w:p>
      <w:pPr>
        <w:pStyle w:val="Heading2"/>
        <w:keepNext/>
        <w:spacing w:before="100" w:after="80"/>
      </w:pPr>
      <w:r>
        <w:rPr>
          <w:rFonts w:ascii="Aptos Display" w:hAnsi="Aptos Display" w:eastAsia="Aptos Display"/>
          <w:b/>
          <w:color w:val="263238"/>
        </w:rPr>
        <w:t>10.3 Seguridad y privacidad</w:t>
      </w:r>
    </w:p>
    <w:p>
      <w:pPr>
        <w:keepNext w:val="0"/>
        <w:spacing w:before="0" w:after="100" w:line="259" w:lineRule="auto"/>
      </w:pPr>
      <w:r>
        <w:rPr>
          <w:rFonts w:ascii="Aptos" w:hAnsi="Aptos" w:eastAsia="Aptos"/>
        </w:rPr>
        <w:t>La app tratará, como mínimo, nombre, cargo, resultados de formación y actividad de usuario; estos son datos personales y requieren finalidad, autorización o base válida, acceso restringido, calidad, seguridad y confidencialidad conforme al régimen colombiano. [COL-02][COL-03]</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154"/>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Dominio</w:t>
            </w:r>
          </w:p>
        </w:tc>
        <w:tc>
          <w:tcPr>
            <w:tcW w:type="dxa" w:w="7200"/>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Control mínimo</w:t>
            </w:r>
          </w:p>
        </w:tc>
      </w:tr>
      <w:tr>
        <w:trPr>
          <w:cantSplit/>
        </w:trPr>
        <w:tc>
          <w:tcPr>
            <w:tcW w:type="dxa" w:w="215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Identidad</w:t>
            </w:r>
          </w:p>
        </w:tc>
        <w:tc>
          <w:tcPr>
            <w:tcW w:type="dxa" w:w="72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Autenticación robusta; recuperación segura; cierre de sesiones; bloqueo por riesgo.</w:t>
            </w:r>
          </w:p>
        </w:tc>
      </w:tr>
      <w:tr>
        <w:trPr>
          <w:cantSplit/>
        </w:trPr>
        <w:tc>
          <w:tcPr>
            <w:tcW w:type="dxa" w:w="215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Autorización</w:t>
            </w:r>
          </w:p>
        </w:tc>
        <w:tc>
          <w:tcPr>
            <w:tcW w:type="dxa" w:w="72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Mínimo privilegio; separación de funciones; permisos por modelo y organización.</w:t>
            </w:r>
          </w:p>
        </w:tc>
      </w:tr>
      <w:tr>
        <w:trPr>
          <w:cantSplit/>
        </w:trPr>
        <w:tc>
          <w:tcPr>
            <w:tcW w:type="dxa" w:w="215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Datos</w:t>
            </w:r>
          </w:p>
        </w:tc>
        <w:tc>
          <w:tcPr>
            <w:tcW w:type="dxa" w:w="72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Cifrado en tránsito y reposo; secretos fuera del código; copias protegidas.</w:t>
            </w:r>
          </w:p>
        </w:tc>
      </w:tr>
      <w:tr>
        <w:trPr>
          <w:cantSplit/>
        </w:trPr>
        <w:tc>
          <w:tcPr>
            <w:tcW w:type="dxa" w:w="215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Trazabilidad</w:t>
            </w:r>
          </w:p>
        </w:tc>
        <w:tc>
          <w:tcPr>
            <w:tcW w:type="dxa" w:w="72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Logs inmutables o protegidos frente a alteración; sincronización de tiempo.</w:t>
            </w:r>
          </w:p>
        </w:tc>
      </w:tr>
      <w:tr>
        <w:trPr>
          <w:cantSplit/>
        </w:trPr>
        <w:tc>
          <w:tcPr>
            <w:tcW w:type="dxa" w:w="215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Archivos</w:t>
            </w:r>
          </w:p>
        </w:tc>
        <w:tc>
          <w:tcPr>
            <w:tcW w:type="dxa" w:w="72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Validación de tipo, tamaño, contenido, malware y correspondencia de versión.</w:t>
            </w:r>
          </w:p>
        </w:tc>
      </w:tr>
      <w:tr>
        <w:trPr>
          <w:cantSplit/>
        </w:trPr>
        <w:tc>
          <w:tcPr>
            <w:tcW w:type="dxa" w:w="215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Desarrollo</w:t>
            </w:r>
          </w:p>
        </w:tc>
        <w:tc>
          <w:tcPr>
            <w:tcW w:type="dxa" w:w="72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Revisión de código, dependencias, pruebas y gestión de vulnerabilidades.</w:t>
            </w:r>
          </w:p>
        </w:tc>
      </w:tr>
      <w:tr>
        <w:trPr>
          <w:cantSplit/>
        </w:trPr>
        <w:tc>
          <w:tcPr>
            <w:tcW w:type="dxa" w:w="215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Verificación</w:t>
            </w:r>
          </w:p>
        </w:tc>
        <w:tc>
          <w:tcPr>
            <w:tcW w:type="dxa" w:w="72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Usar OWASP ASVS 5.0.0 como línea base de requisitos verificables. [SEC-01]</w:t>
            </w:r>
          </w:p>
        </w:tc>
      </w:tr>
    </w:tbl>
    <w:p>
      <w:pPr>
        <w:spacing w:after="20"/>
      </w:pPr>
    </w:p>
    <w:p>
      <w:pPr>
        <w:keepNext/>
        <w:spacing w:before="0" w:after="60" w:line="240" w:lineRule="auto"/>
      </w:pPr>
      <w:r>
        <w:rPr>
          <w:rFonts w:ascii="Aptos" w:hAnsi="Aptos" w:eastAsia="Aptos"/>
          <w:b/>
          <w:color w:val="9A6700"/>
          <w:sz w:val="17"/>
        </w:rPr>
        <w:t xml:space="preserve">Límite jurídico. </w:t>
      </w:r>
      <w:r>
        <w:rPr>
          <w:rFonts w:ascii="Aptos" w:hAnsi="Aptos" w:eastAsia="Aptos"/>
          <w:i/>
          <w:color w:val="5F6368"/>
          <w:sz w:val="16"/>
        </w:rPr>
        <w:t>La matriz orienta el diseño y no reemplaza la revisión de un abogado, contador o responsable de protección de datos; su aplicabilidad depende del usuario, los datos, las integraciones y la finalidad real del despliegue.</w:t>
      </w:r>
    </w:p>
    <w:p>
      <w:pPr>
        <w:pStyle w:val="Heading2"/>
        <w:keepNext/>
        <w:spacing w:before="100" w:after="80"/>
      </w:pPr>
      <w:r>
        <w:rPr>
          <w:rFonts w:ascii="Aptos Display" w:hAnsi="Aptos Display" w:eastAsia="Aptos Display"/>
          <w:b/>
          <w:color w:val="263238"/>
        </w:rPr>
        <w:t>10.4 Matriz de aplicabilidad jurídica y contable en Colombia</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324"/>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Norma / contrato</w:t>
            </w:r>
          </w:p>
        </w:tc>
        <w:tc>
          <w:tcPr>
            <w:tcW w:type="dxa" w:w="2891"/>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Cuándo aplica</w:t>
            </w:r>
          </w:p>
        </w:tc>
        <w:tc>
          <w:tcPr>
            <w:tcW w:type="dxa" w:w="4138"/>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Implicación de diseño</w:t>
            </w:r>
          </w:p>
        </w:tc>
      </w:tr>
      <w:tr>
        <w:trPr>
          <w:cantSplit/>
        </w:trPr>
        <w:tc>
          <w:tcPr>
            <w:tcW w:type="dxa" w:w="232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Ley 1581 de 2012 y reglamentación</w:t>
            </w:r>
          </w:p>
        </w:tc>
        <w:tc>
          <w:tcPr>
            <w:tcW w:type="dxa" w:w="289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Nombre, cargo, resultados, actividad y demás datos personales.</w:t>
            </w:r>
          </w:p>
        </w:tc>
        <w:tc>
          <w:tcPr>
            <w:tcW w:type="dxa" w:w="4138"/>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Política, aviso, finalidad, derechos del titular, seguridad, acceso restringido y gestión de incidentes. [COL-02][COL-03]</w:t>
            </w:r>
          </w:p>
        </w:tc>
      </w:tr>
      <w:tr>
        <w:trPr>
          <w:cantSplit/>
        </w:trPr>
        <w:tc>
          <w:tcPr>
            <w:tcW w:type="dxa" w:w="232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Ley 1266 de 2008, modificada</w:t>
            </w:r>
          </w:p>
        </w:tc>
        <w:tc>
          <w:tcPr>
            <w:tcW w:type="dxa" w:w="289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Solo si la app trata datos personales financieros, crediticios, comerciales o de servicios en el ámbito regulado.</w:t>
            </w:r>
          </w:p>
        </w:tc>
        <w:tc>
          <w:tcPr>
            <w:tcW w:type="dxa" w:w="4138"/>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No asumir aplicabilidad general; realizar análisis específico antes de incorporar datos de personas naturales. [COL-04]</w:t>
            </w:r>
          </w:p>
        </w:tc>
      </w:tr>
      <w:tr>
        <w:trPr>
          <w:cantSplit/>
        </w:trPr>
        <w:tc>
          <w:tcPr>
            <w:tcW w:type="dxa" w:w="232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Ley 1314 de 2009 y DUR 2420 de 2015</w:t>
            </w:r>
          </w:p>
        </w:tc>
        <w:tc>
          <w:tcPr>
            <w:tcW w:type="dxa" w:w="289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Cuando las salidas se utilicen como información financiera o se conecten con reportes contables.</w:t>
            </w:r>
          </w:p>
        </w:tc>
        <w:tc>
          <w:tcPr>
            <w:tcW w:type="dxa" w:w="4138"/>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Mapear cuentas y políticas al grupo aplicable; la app no certifica estados financieros. [COL-01]</w:t>
            </w:r>
          </w:p>
        </w:tc>
      </w:tr>
      <w:tr>
        <w:trPr>
          <w:cantSplit/>
        </w:trPr>
        <w:tc>
          <w:tcPr>
            <w:tcW w:type="dxa" w:w="232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Ley 527 de 1999 y firma electrónica</w:t>
            </w:r>
          </w:p>
        </w:tc>
        <w:tc>
          <w:tcPr>
            <w:tcW w:type="dxa" w:w="289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Certificados, aprobaciones o evidencias emitidas como mensajes de datos.</w:t>
            </w:r>
          </w:p>
        </w:tc>
        <w:tc>
          <w:tcPr>
            <w:tcW w:type="dxa" w:w="4138"/>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Conservar integridad, disponibilidad y trazabilidad; evaluar firma electrónica confiable si se exige autenticidad reforzada. [COL-05]</w:t>
            </w:r>
          </w:p>
        </w:tc>
      </w:tr>
      <w:tr>
        <w:trPr>
          <w:cantSplit/>
        </w:trPr>
        <w:tc>
          <w:tcPr>
            <w:tcW w:type="dxa" w:w="232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Licencia de Risk Simulator</w:t>
            </w:r>
          </w:p>
        </w:tc>
        <w:tc>
          <w:tcPr>
            <w:tcW w:type="dxa" w:w="289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Uso del complemento, plantillas y eventual SDK/OEM.</w:t>
            </w:r>
          </w:p>
        </w:tc>
        <w:tc>
          <w:tcPr>
            <w:tcW w:type="dxa" w:w="4138"/>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Validar derechos por usuario y derechos de integración antes del desarrollo. [RS-01][RS-02]</w:t>
            </w:r>
          </w:p>
        </w:tc>
      </w:tr>
    </w:tbl>
    <w:p>
      <w:pPr>
        <w:spacing w:after="20"/>
      </w:pPr>
    </w:p>
    <w:p>
      <w:pPr>
        <w:sectPr>
          <w:pgSz w:w="11906" w:h="16838"/>
          <w:pgMar w:top="1020" w:right="992" w:bottom="964" w:left="992" w:header="397" w:footer="340" w:gutter="0"/>
          <w:cols w:space="720"/>
          <w:docGrid w:linePitch="360"/>
        </w:sectPr>
      </w:pPr>
    </w:p>
    <w:p>
      <w:pPr>
        <w:pStyle w:val="Heading1"/>
        <w:keepNext/>
        <w:spacing w:before="160" w:after="80"/>
      </w:pPr>
      <w:r>
        <w:rPr>
          <w:rFonts w:ascii="Aptos Display" w:hAnsi="Aptos Display" w:eastAsia="Aptos Display"/>
          <w:b/>
          <w:color w:val="4B2E83"/>
        </w:rPr>
        <w:t>11. Historias de usuario, requisitos y pruebas</w:t>
      </w:r>
    </w:p>
    <w:p>
      <w:pPr>
        <w:pStyle w:val="Heading2"/>
        <w:keepNext/>
        <w:spacing w:before="100" w:after="80"/>
      </w:pPr>
      <w:r>
        <w:rPr>
          <w:rFonts w:ascii="Aptos Display" w:hAnsi="Aptos Display" w:eastAsia="Aptos Display"/>
          <w:b/>
          <w:color w:val="263238"/>
        </w:rPr>
        <w:t>11.1 Requisitos funcionales priorizados</w:t>
      </w:r>
    </w:p>
    <w:tbl>
      <w:tblPr>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cantSplit/>
        </w:trPr>
        <w:tc>
          <w:tcPr>
            <w:tcW w:type="dxa" w:w="850"/>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ID</w:t>
            </w:r>
          </w:p>
        </w:tc>
        <w:tc>
          <w:tcPr>
            <w:tcW w:type="dxa" w:w="907"/>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Prioridad</w:t>
            </w:r>
          </w:p>
        </w:tc>
        <w:tc>
          <w:tcPr>
            <w:tcW w:type="dxa" w:w="1474"/>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Módulo</w:t>
            </w:r>
          </w:p>
        </w:tc>
        <w:tc>
          <w:tcPr>
            <w:tcW w:type="dxa" w:w="5952"/>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Requisito</w:t>
            </w:r>
          </w:p>
        </w:tc>
        <w:tc>
          <w:tcPr>
            <w:tcW w:type="dxa" w:w="1814"/>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Origen</w:t>
            </w:r>
          </w:p>
        </w:tc>
        <w:tc>
          <w:tcPr>
            <w:tcW w:type="dxa" w:w="3855"/>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Criterio de aceptación</w:t>
            </w:r>
          </w:p>
        </w:tc>
      </w:tr>
      <w:tr>
        <w:trPr>
          <w:cantSplit/>
        </w:trPr>
        <w:tc>
          <w:tcPr>
            <w:tcW w:type="dxa" w:w="85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RF-001</w:t>
            </w:r>
          </w:p>
        </w:tc>
        <w:tc>
          <w:tcPr>
            <w:tcW w:type="dxa" w:w="9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Perfil</w:t>
            </w:r>
          </w:p>
        </w:tc>
        <w:tc>
          <w:tcPr>
            <w:tcW w:type="dxa" w:w="595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Registrar nombre completo y cargo en Rehavid; validar antes de certificar.</w:t>
            </w:r>
          </w:p>
        </w:tc>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[R-04]</w:t>
            </w:r>
          </w:p>
        </w:tc>
        <w:tc>
          <w:tcPr>
            <w:tcW w:type="dxa" w:w="385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Perfil visible; cambios auditados.</w:t>
            </w:r>
          </w:p>
        </w:tc>
      </w:tr>
      <w:tr>
        <w:trPr>
          <w:cantSplit/>
        </w:trPr>
        <w:tc>
          <w:tcPr>
            <w:tcW w:type="dxa" w:w="85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RF-002</w:t>
            </w:r>
          </w:p>
        </w:tc>
        <w:tc>
          <w:tcPr>
            <w:tcW w:type="dxa" w:w="9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Formación</w:t>
            </w:r>
          </w:p>
        </w:tc>
        <w:tc>
          <w:tcPr>
            <w:tcW w:type="dxa" w:w="595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Publicar unidades que cubran todos los temas identificados y Risk Simulator.</w:t>
            </w:r>
          </w:p>
        </w:tc>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[T-01][T-02][T-03][R-05]</w:t>
            </w:r>
          </w:p>
        </w:tc>
        <w:tc>
          <w:tcPr>
            <w:tcW w:type="dxa" w:w="385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No se puede publicar una ruta con unidades obligatorias faltantes.</w:t>
            </w:r>
          </w:p>
        </w:tc>
      </w:tr>
      <w:tr>
        <w:trPr>
          <w:cantSplit/>
        </w:trPr>
        <w:tc>
          <w:tcPr>
            <w:tcW w:type="dxa" w:w="85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RF-003</w:t>
            </w:r>
          </w:p>
        </w:tc>
        <w:tc>
          <w:tcPr>
            <w:tcW w:type="dxa" w:w="9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Evaluación</w:t>
            </w:r>
          </w:p>
        </w:tc>
        <w:tc>
          <w:tcPr>
            <w:tcW w:type="dxa" w:w="595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Exigir resultado mínimo del 80 % para aprobar.</w:t>
            </w:r>
          </w:p>
        </w:tc>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[R-03]</w:t>
            </w:r>
          </w:p>
        </w:tc>
        <w:tc>
          <w:tcPr>
            <w:tcW w:type="dxa" w:w="385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Un resultado inferior no emite certificado.</w:t>
            </w:r>
          </w:p>
        </w:tc>
      </w:tr>
      <w:tr>
        <w:trPr>
          <w:cantSplit/>
        </w:trPr>
        <w:tc>
          <w:tcPr>
            <w:tcW w:type="dxa" w:w="85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RF-004</w:t>
            </w:r>
          </w:p>
        </w:tc>
        <w:tc>
          <w:tcPr>
            <w:tcW w:type="dxa" w:w="9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Evaluación</w:t>
            </w:r>
          </w:p>
        </w:tc>
        <w:tc>
          <w:tcPr>
            <w:tcW w:type="dxa" w:w="595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Corregir inmediatamente una respuesta incorrecta y explicar el concepto.</w:t>
            </w:r>
          </w:p>
        </w:tc>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[R-03]</w:t>
            </w:r>
          </w:p>
        </w:tc>
        <w:tc>
          <w:tcPr>
            <w:tcW w:type="dxa" w:w="385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La explicación aparece antes de continuar.</w:t>
            </w:r>
          </w:p>
        </w:tc>
      </w:tr>
      <w:tr>
        <w:trPr>
          <w:cantSplit/>
        </w:trPr>
        <w:tc>
          <w:tcPr>
            <w:tcW w:type="dxa" w:w="85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RF-005</w:t>
            </w:r>
          </w:p>
        </w:tc>
        <w:tc>
          <w:tcPr>
            <w:tcW w:type="dxa" w:w="9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Evaluación</w:t>
            </w:r>
          </w:p>
        </w:tc>
        <w:tc>
          <w:tcPr>
            <w:tcW w:type="dxa" w:w="595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Repreguntar con un ítem diferente del mismo objetivo.</w:t>
            </w:r>
          </w:p>
        </w:tc>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[R-03]</w:t>
            </w:r>
          </w:p>
        </w:tc>
        <w:tc>
          <w:tcPr>
            <w:tcW w:type="dxa" w:w="385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No reutiliza el mismo enunciado ni opciones.</w:t>
            </w:r>
          </w:p>
        </w:tc>
      </w:tr>
      <w:tr>
        <w:trPr>
          <w:cantSplit/>
        </w:trPr>
        <w:tc>
          <w:tcPr>
            <w:tcW w:type="dxa" w:w="85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RF-006</w:t>
            </w:r>
          </w:p>
        </w:tc>
        <w:tc>
          <w:tcPr>
            <w:tcW w:type="dxa" w:w="9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Evaluación</w:t>
            </w:r>
          </w:p>
        </w:tc>
        <w:tc>
          <w:tcPr>
            <w:tcW w:type="dxa" w:w="595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Separar resultado certificable y dominio posterior al refuerzo.</w:t>
            </w:r>
          </w:p>
        </w:tc>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Diseño técnico</w:t>
            </w:r>
          </w:p>
        </w:tc>
        <w:tc>
          <w:tcPr>
            <w:tcW w:type="dxa" w:w="385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Ambos quedan trazables.</w:t>
            </w:r>
          </w:p>
        </w:tc>
      </w:tr>
      <w:tr>
        <w:trPr>
          <w:cantSplit/>
        </w:trPr>
        <w:tc>
          <w:tcPr>
            <w:tcW w:type="dxa" w:w="85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RF-007</w:t>
            </w:r>
          </w:p>
        </w:tc>
        <w:tc>
          <w:tcPr>
            <w:tcW w:type="dxa" w:w="9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Certificado</w:t>
            </w:r>
          </w:p>
        </w:tc>
        <w:tc>
          <w:tcPr>
            <w:tcW w:type="dxa" w:w="595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Generar PDF con nombre, cargo, resultado, fecha, versión y código.</w:t>
            </w:r>
          </w:p>
        </w:tc>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[R-04]</w:t>
            </w:r>
          </w:p>
        </w:tc>
        <w:tc>
          <w:tcPr>
            <w:tcW w:type="dxa" w:w="385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Solo después de aprobar.</w:t>
            </w:r>
          </w:p>
        </w:tc>
      </w:tr>
      <w:tr>
        <w:trPr>
          <w:cantSplit/>
        </w:trPr>
        <w:tc>
          <w:tcPr>
            <w:tcW w:type="dxa" w:w="85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RF-008</w:t>
            </w:r>
          </w:p>
        </w:tc>
        <w:tc>
          <w:tcPr>
            <w:tcW w:type="dxa" w:w="9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Certificado</w:t>
            </w:r>
          </w:p>
        </w:tc>
        <w:tc>
          <w:tcPr>
            <w:tcW w:type="dxa" w:w="595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Permitir verificar, revocar y reexpedir certificados.</w:t>
            </w:r>
          </w:p>
        </w:tc>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Diseño técnico</w:t>
            </w:r>
          </w:p>
        </w:tc>
        <w:tc>
          <w:tcPr>
            <w:tcW w:type="dxa" w:w="385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No edita el certificado original.</w:t>
            </w:r>
          </w:p>
        </w:tc>
      </w:tr>
      <w:tr>
        <w:trPr>
          <w:cantSplit/>
        </w:trPr>
        <w:tc>
          <w:tcPr>
            <w:tcW w:type="dxa" w:w="85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RF-009</w:t>
            </w:r>
          </w:p>
        </w:tc>
        <w:tc>
          <w:tcPr>
            <w:tcW w:type="dxa" w:w="9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Modelo</w:t>
            </w:r>
          </w:p>
        </w:tc>
        <w:tc>
          <w:tcPr>
            <w:tcW w:type="dxa" w:w="595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Crear proyecto con propósito, horizonte, periodicidad, moneda, responsable y alcance.</w:t>
            </w:r>
          </w:p>
        </w:tc>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[T-01][T-03]</w:t>
            </w:r>
          </w:p>
        </w:tc>
        <w:tc>
          <w:tcPr>
            <w:tcW w:type="dxa" w:w="385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No calcula sin parámetros mínimos.</w:t>
            </w:r>
          </w:p>
        </w:tc>
      </w:tr>
      <w:tr>
        <w:trPr>
          <w:cantSplit/>
        </w:trPr>
        <w:tc>
          <w:tcPr>
            <w:tcW w:type="dxa" w:w="85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RF-010</w:t>
            </w:r>
          </w:p>
        </w:tc>
        <w:tc>
          <w:tcPr>
            <w:tcW w:type="dxa" w:w="9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Supuestos</w:t>
            </w:r>
          </w:p>
        </w:tc>
        <w:tc>
          <w:tcPr>
            <w:tcW w:type="dxa" w:w="595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Registrar fuente, racional, fecha, unidad y responsable de cada supuesto.</w:t>
            </w:r>
          </w:p>
        </w:tc>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[T-03]</w:t>
            </w:r>
          </w:p>
        </w:tc>
        <w:tc>
          <w:tcPr>
            <w:tcW w:type="dxa" w:w="385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Supuesto sin fuente queda en borrador.</w:t>
            </w:r>
          </w:p>
        </w:tc>
      </w:tr>
      <w:tr>
        <w:trPr>
          <w:cantSplit/>
        </w:trPr>
        <w:tc>
          <w:tcPr>
            <w:tcW w:type="dxa" w:w="85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RF-011</w:t>
            </w:r>
          </w:p>
        </w:tc>
        <w:tc>
          <w:tcPr>
            <w:tcW w:type="dxa" w:w="9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Deuda</w:t>
            </w:r>
          </w:p>
        </w:tc>
        <w:tc>
          <w:tcPr>
            <w:tcW w:type="dxa" w:w="595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Configurar obligaciones y generar calendario de saldos y pagos.</w:t>
            </w:r>
          </w:p>
        </w:tc>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[T-01]</w:t>
            </w:r>
          </w:p>
        </w:tc>
        <w:tc>
          <w:tcPr>
            <w:tcW w:type="dxa" w:w="385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Saldos concilian por periodo.</w:t>
            </w:r>
          </w:p>
        </w:tc>
      </w:tr>
      <w:tr>
        <w:trPr>
          <w:cantSplit/>
        </w:trPr>
        <w:tc>
          <w:tcPr>
            <w:tcW w:type="dxa" w:w="85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RF-012</w:t>
            </w:r>
          </w:p>
        </w:tc>
        <w:tc>
          <w:tcPr>
            <w:tcW w:type="dxa" w:w="9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Deuda</w:t>
            </w:r>
          </w:p>
        </w:tc>
        <w:tc>
          <w:tcPr>
            <w:tcW w:type="dxa" w:w="595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Separar principal, interés y componentes adicionales.</w:t>
            </w:r>
          </w:p>
        </w:tc>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[F-01]</w:t>
            </w:r>
          </w:p>
        </w:tc>
        <w:tc>
          <w:tcPr>
            <w:tcW w:type="dxa" w:w="385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Reporte desagregado.</w:t>
            </w:r>
          </w:p>
        </w:tc>
      </w:tr>
      <w:tr>
        <w:trPr>
          <w:cantSplit/>
        </w:trPr>
        <w:tc>
          <w:tcPr>
            <w:tcW w:type="dxa" w:w="85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RF-013</w:t>
            </w:r>
          </w:p>
        </w:tc>
        <w:tc>
          <w:tcPr>
            <w:tcW w:type="dxa" w:w="9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Cobertura</w:t>
            </w:r>
          </w:p>
        </w:tc>
        <w:tc>
          <w:tcPr>
            <w:tcW w:type="dxa" w:w="595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Configurar mapeo del CFADS y calcular DSCR por periodo.</w:t>
            </w:r>
          </w:p>
        </w:tc>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[T-01][F-01]</w:t>
            </w:r>
          </w:p>
        </w:tc>
        <w:tc>
          <w:tcPr>
            <w:tcW w:type="dxa" w:w="385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Fórmula y componentes visibles.</w:t>
            </w:r>
          </w:p>
        </w:tc>
      </w:tr>
      <w:tr>
        <w:trPr>
          <w:cantSplit/>
        </w:trPr>
        <w:tc>
          <w:tcPr>
            <w:tcW w:type="dxa" w:w="85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RF-014</w:t>
            </w:r>
          </w:p>
        </w:tc>
        <w:tc>
          <w:tcPr>
            <w:tcW w:type="dxa" w:w="9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Covenant</w:t>
            </w:r>
          </w:p>
        </w:tc>
        <w:tc>
          <w:tcPr>
            <w:tcW w:type="dxa" w:w="595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Registrar umbral, vigencia, fuente, frecuencia y consecuencia.</w:t>
            </w:r>
          </w:p>
        </w:tc>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[T-01]</w:t>
            </w:r>
          </w:p>
        </w:tc>
        <w:tc>
          <w:tcPr>
            <w:tcW w:type="dxa" w:w="385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No existe umbral genérico oculto.</w:t>
            </w:r>
          </w:p>
        </w:tc>
      </w:tr>
      <w:tr>
        <w:trPr>
          <w:cantSplit/>
        </w:trPr>
        <w:tc>
          <w:tcPr>
            <w:tcW w:type="dxa" w:w="85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RF-015</w:t>
            </w:r>
          </w:p>
        </w:tc>
        <w:tc>
          <w:tcPr>
            <w:tcW w:type="dxa" w:w="9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Capacidad</w:t>
            </w:r>
          </w:p>
        </w:tc>
        <w:tc>
          <w:tcPr>
            <w:tcW w:type="dxa" w:w="595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Calcular máximo monto factible bajo covenants y liquidez.</w:t>
            </w:r>
          </w:p>
        </w:tc>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[T-01]</w:t>
            </w:r>
          </w:p>
        </w:tc>
        <w:tc>
          <w:tcPr>
            <w:tcW w:type="dxa" w:w="385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Identifica restricción vinculante.</w:t>
            </w:r>
          </w:p>
        </w:tc>
      </w:tr>
      <w:tr>
        <w:trPr>
          <w:cantSplit/>
        </w:trPr>
        <w:tc>
          <w:tcPr>
            <w:tcW w:type="dxa" w:w="85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RF-016</w:t>
            </w:r>
          </w:p>
        </w:tc>
        <w:tc>
          <w:tcPr>
            <w:tcW w:type="dxa" w:w="9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Liquidez</w:t>
            </w:r>
          </w:p>
        </w:tc>
        <w:tc>
          <w:tcPr>
            <w:tcW w:type="dxa" w:w="595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Calcular caja final y brecha frente a mínimo por periodo.</w:t>
            </w:r>
          </w:p>
        </w:tc>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[T-01]</w:t>
            </w:r>
          </w:p>
        </w:tc>
        <w:tc>
          <w:tcPr>
            <w:tcW w:type="dxa" w:w="385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Alerta y causa del déficit.</w:t>
            </w:r>
          </w:p>
        </w:tc>
      </w:tr>
      <w:tr>
        <w:trPr>
          <w:cantSplit/>
        </w:trPr>
        <w:tc>
          <w:tcPr>
            <w:tcW w:type="dxa" w:w="85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RF-017</w:t>
            </w:r>
          </w:p>
        </w:tc>
        <w:tc>
          <w:tcPr>
            <w:tcW w:type="dxa" w:w="9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Escenarios</w:t>
            </w:r>
          </w:p>
        </w:tc>
        <w:tc>
          <w:tcPr>
            <w:tcW w:type="dxa" w:w="595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Duplicar, modificar y comparar escenarios sin alterar el original.</w:t>
            </w:r>
          </w:p>
        </w:tc>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[T-01][T-03]</w:t>
            </w:r>
          </w:p>
        </w:tc>
        <w:tc>
          <w:tcPr>
            <w:tcW w:type="dxa" w:w="385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Comparación absoluta y relativa.</w:t>
            </w:r>
          </w:p>
        </w:tc>
      </w:tr>
      <w:tr>
        <w:trPr>
          <w:cantSplit/>
        </w:trPr>
        <w:tc>
          <w:tcPr>
            <w:tcW w:type="dxa" w:w="85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RF-018</w:t>
            </w:r>
          </w:p>
        </w:tc>
        <w:tc>
          <w:tcPr>
            <w:tcW w:type="dxa" w:w="9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Risk Simulator</w:t>
            </w:r>
          </w:p>
        </w:tc>
        <w:tc>
          <w:tcPr>
            <w:tcW w:type="dxa" w:w="595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Exportar plantilla identificada para simulación en Excel.</w:t>
            </w:r>
          </w:p>
        </w:tc>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[R-05]</w:t>
            </w:r>
          </w:p>
        </w:tc>
        <w:tc>
          <w:tcPr>
            <w:tcW w:type="dxa" w:w="385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Incluye modelo, versión, variables y salidas.</w:t>
            </w:r>
          </w:p>
        </w:tc>
      </w:tr>
      <w:tr>
        <w:trPr>
          <w:cantSplit/>
        </w:trPr>
        <w:tc>
          <w:tcPr>
            <w:tcW w:type="dxa" w:w="85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RF-019</w:t>
            </w:r>
          </w:p>
        </w:tc>
        <w:tc>
          <w:tcPr>
            <w:tcW w:type="dxa" w:w="9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Risk Simulator</w:t>
            </w:r>
          </w:p>
        </w:tc>
        <w:tc>
          <w:tcPr>
            <w:tcW w:type="dxa" w:w="595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Importar resultados estructurados y validar correspondencia.</w:t>
            </w:r>
          </w:p>
        </w:tc>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[R-05]</w:t>
            </w:r>
          </w:p>
        </w:tc>
        <w:tc>
          <w:tcPr>
            <w:tcW w:type="dxa" w:w="385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Rechaza versión o hash inconsistente.</w:t>
            </w:r>
          </w:p>
        </w:tc>
      </w:tr>
      <w:tr>
        <w:trPr>
          <w:cantSplit/>
        </w:trPr>
        <w:tc>
          <w:tcPr>
            <w:tcW w:type="dxa" w:w="85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RF-020</w:t>
            </w:r>
          </w:p>
        </w:tc>
        <w:tc>
          <w:tcPr>
            <w:tcW w:type="dxa" w:w="9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Simulación</w:t>
            </w:r>
          </w:p>
        </w:tc>
        <w:tc>
          <w:tcPr>
            <w:tcW w:type="dxa" w:w="595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Mostrar percentiles, dispersión, probabilidad de ruptura y sensibilidad disponibles.</w:t>
            </w:r>
          </w:p>
        </w:tc>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[R-05][MC-01]</w:t>
            </w:r>
          </w:p>
        </w:tc>
        <w:tc>
          <w:tcPr>
            <w:tcW w:type="dxa" w:w="385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Cada gráfico incluye explicación.</w:t>
            </w:r>
          </w:p>
        </w:tc>
      </w:tr>
      <w:tr>
        <w:trPr>
          <w:cantSplit/>
        </w:trPr>
        <w:tc>
          <w:tcPr>
            <w:tcW w:type="dxa" w:w="85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RF-021</w:t>
            </w:r>
          </w:p>
        </w:tc>
        <w:tc>
          <w:tcPr>
            <w:tcW w:type="dxa" w:w="9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Media</w:t>
            </w:r>
          </w:p>
        </w:tc>
        <w:tc>
          <w:tcPr>
            <w:tcW w:type="dxa" w:w="147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Simulación</w:t>
            </w:r>
          </w:p>
        </w:tc>
        <w:tc>
          <w:tcPr>
            <w:tcW w:type="dxa" w:w="595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Registrar distribución, parámetros, correlación y justificación.</w:t>
            </w:r>
          </w:p>
        </w:tc>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[R-05][MC-01]</w:t>
            </w:r>
          </w:p>
        </w:tc>
        <w:tc>
          <w:tcPr>
            <w:tcW w:type="dxa" w:w="385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No aprueba sin justificación.</w:t>
            </w:r>
          </w:p>
        </w:tc>
      </w:tr>
      <w:tr>
        <w:trPr>
          <w:cantSplit/>
        </w:trPr>
        <w:tc>
          <w:tcPr>
            <w:tcW w:type="dxa" w:w="85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RF-022</w:t>
            </w:r>
          </w:p>
        </w:tc>
        <w:tc>
          <w:tcPr>
            <w:tcW w:type="dxa" w:w="9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Auditoría</w:t>
            </w:r>
          </w:p>
        </w:tc>
        <w:tc>
          <w:tcPr>
            <w:tcW w:type="dxa" w:w="595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Ejecutar validaciones de fórmula, periodo, saldo, unidad y fuente.</w:t>
            </w:r>
          </w:p>
        </w:tc>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[T-02][MQ-01]</w:t>
            </w:r>
          </w:p>
        </w:tc>
        <w:tc>
          <w:tcPr>
            <w:tcW w:type="dxa" w:w="385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Hallazgos con severidad y responsable.</w:t>
            </w:r>
          </w:p>
        </w:tc>
      </w:tr>
      <w:tr>
        <w:trPr>
          <w:cantSplit/>
        </w:trPr>
        <w:tc>
          <w:tcPr>
            <w:tcW w:type="dxa" w:w="85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RF-023</w:t>
            </w:r>
          </w:p>
        </w:tc>
        <w:tc>
          <w:tcPr>
            <w:tcW w:type="dxa" w:w="9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Revisión</w:t>
            </w:r>
          </w:p>
        </w:tc>
        <w:tc>
          <w:tcPr>
            <w:tcW w:type="dxa" w:w="595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Asignar revisor, registrar observaciones y aprobar o devolver.</w:t>
            </w:r>
          </w:p>
        </w:tc>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[T-02][T-03]</w:t>
            </w:r>
          </w:p>
        </w:tc>
        <w:tc>
          <w:tcPr>
            <w:tcW w:type="dxa" w:w="385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Historial inmutable.</w:t>
            </w:r>
          </w:p>
        </w:tc>
      </w:tr>
      <w:tr>
        <w:trPr>
          <w:cantSplit/>
        </w:trPr>
        <w:tc>
          <w:tcPr>
            <w:tcW w:type="dxa" w:w="85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RF-024</w:t>
            </w:r>
          </w:p>
        </w:tc>
        <w:tc>
          <w:tcPr>
            <w:tcW w:type="dxa" w:w="9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Media</w:t>
            </w:r>
          </w:p>
        </w:tc>
        <w:tc>
          <w:tcPr>
            <w:tcW w:type="dxa" w:w="147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Backtesting</w:t>
            </w:r>
          </w:p>
        </w:tc>
        <w:tc>
          <w:tcPr>
            <w:tcW w:type="dxa" w:w="595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Comparar proyección archivada con observado y registrar explicación.</w:t>
            </w:r>
          </w:p>
        </w:tc>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[T-02]</w:t>
            </w:r>
          </w:p>
        </w:tc>
        <w:tc>
          <w:tcPr>
            <w:tcW w:type="dxa" w:w="385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Nunca sobrescribe la proyección.</w:t>
            </w:r>
          </w:p>
        </w:tc>
      </w:tr>
      <w:tr>
        <w:trPr>
          <w:cantSplit/>
        </w:trPr>
        <w:tc>
          <w:tcPr>
            <w:tcW w:type="dxa" w:w="85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RF-025</w:t>
            </w:r>
          </w:p>
        </w:tc>
        <w:tc>
          <w:tcPr>
            <w:tcW w:type="dxa" w:w="9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Media</w:t>
            </w:r>
          </w:p>
        </w:tc>
        <w:tc>
          <w:tcPr>
            <w:tcW w:type="dxa" w:w="147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Aprendizaje</w:t>
            </w:r>
          </w:p>
        </w:tc>
        <w:tc>
          <w:tcPr>
            <w:tcW w:type="dxa" w:w="595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Construir bitácora de errores de modelación y acciones preventivas.</w:t>
            </w:r>
          </w:p>
        </w:tc>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[T-02]</w:t>
            </w:r>
          </w:p>
        </w:tc>
        <w:tc>
          <w:tcPr>
            <w:tcW w:type="dxa" w:w="385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Error vinculado a modelo y regla.</w:t>
            </w:r>
          </w:p>
        </w:tc>
      </w:tr>
      <w:tr>
        <w:trPr>
          <w:cantSplit/>
        </w:trPr>
        <w:tc>
          <w:tcPr>
            <w:tcW w:type="dxa" w:w="85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RF-026</w:t>
            </w:r>
          </w:p>
        </w:tc>
        <w:tc>
          <w:tcPr>
            <w:tcW w:type="dxa" w:w="9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Versiones</w:t>
            </w:r>
          </w:p>
        </w:tc>
        <w:tc>
          <w:tcPr>
            <w:tcW w:type="dxa" w:w="595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Congelar versiones aprobadas y crear nuevas versiones para cambios.</w:t>
            </w:r>
          </w:p>
        </w:tc>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[T-02]</w:t>
            </w:r>
          </w:p>
        </w:tc>
        <w:tc>
          <w:tcPr>
            <w:tcW w:type="dxa" w:w="385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No hay edición silenciosa.</w:t>
            </w:r>
          </w:p>
        </w:tc>
      </w:tr>
      <w:tr>
        <w:trPr>
          <w:cantSplit/>
        </w:trPr>
        <w:tc>
          <w:tcPr>
            <w:tcW w:type="dxa" w:w="85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RF-027</w:t>
            </w:r>
          </w:p>
        </w:tc>
        <w:tc>
          <w:tcPr>
            <w:tcW w:type="dxa" w:w="9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Reportes</w:t>
            </w:r>
          </w:p>
        </w:tc>
        <w:tc>
          <w:tcPr>
            <w:tcW w:type="dxa" w:w="595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Exportar informe de modelo, supuestos, deuda, cobertura, liquidez y simulación.</w:t>
            </w:r>
          </w:p>
        </w:tc>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[T-01]</w:t>
            </w:r>
          </w:p>
        </w:tc>
        <w:tc>
          <w:tcPr>
            <w:tcW w:type="dxa" w:w="385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Reporte identifica versión y fuentes.</w:t>
            </w:r>
          </w:p>
        </w:tc>
      </w:tr>
      <w:tr>
        <w:trPr>
          <w:cantSplit/>
        </w:trPr>
        <w:tc>
          <w:tcPr>
            <w:tcW w:type="dxa" w:w="85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RF-028</w:t>
            </w:r>
          </w:p>
        </w:tc>
        <w:tc>
          <w:tcPr>
            <w:tcW w:type="dxa" w:w="9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Decisión</w:t>
            </w:r>
          </w:p>
        </w:tc>
        <w:tc>
          <w:tcPr>
            <w:tcW w:type="dxa" w:w="595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Registrar decisión, responsable, comentario y riesgo residual.</w:t>
            </w:r>
          </w:p>
        </w:tc>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[T-03]</w:t>
            </w:r>
          </w:p>
        </w:tc>
        <w:tc>
          <w:tcPr>
            <w:tcW w:type="dxa" w:w="385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No cerrar sin responsable.</w:t>
            </w:r>
          </w:p>
        </w:tc>
      </w:tr>
      <w:tr>
        <w:trPr>
          <w:cantSplit/>
        </w:trPr>
        <w:tc>
          <w:tcPr>
            <w:tcW w:type="dxa" w:w="85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RF-029</w:t>
            </w:r>
          </w:p>
        </w:tc>
        <w:tc>
          <w:tcPr>
            <w:tcW w:type="dxa" w:w="9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Alta</w:t>
            </w:r>
          </w:p>
        </w:tc>
        <w:tc>
          <w:tcPr>
            <w:tcW w:type="dxa" w:w="147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Gobierno</w:t>
            </w:r>
          </w:p>
        </w:tc>
        <w:tc>
          <w:tcPr>
            <w:tcW w:type="dxa" w:w="595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Mantener log de accesos, cambios, cálculos, importaciones y certificados.</w:t>
            </w:r>
          </w:p>
        </w:tc>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Diseño técnico</w:t>
            </w:r>
          </w:p>
        </w:tc>
        <w:tc>
          <w:tcPr>
            <w:tcW w:type="dxa" w:w="385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Consulta por auditor autorizado.</w:t>
            </w:r>
          </w:p>
        </w:tc>
      </w:tr>
      <w:tr>
        <w:trPr>
          <w:cantSplit/>
        </w:trPr>
        <w:tc>
          <w:tcPr>
            <w:tcW w:type="dxa" w:w="85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RF-030</w:t>
            </w:r>
          </w:p>
        </w:tc>
        <w:tc>
          <w:tcPr>
            <w:tcW w:type="dxa" w:w="9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Media</w:t>
            </w:r>
          </w:p>
        </w:tc>
        <w:tc>
          <w:tcPr>
            <w:tcW w:type="dxa" w:w="147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Contenido</w:t>
            </w:r>
          </w:p>
        </w:tc>
        <w:tc>
          <w:tcPr>
            <w:tcW w:type="dxa" w:w="595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Versionar lecciones, preguntas, respuestas y retroalimentaciones.</w:t>
            </w:r>
          </w:p>
        </w:tc>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[R-03]</w:t>
            </w:r>
          </w:p>
        </w:tc>
        <w:tc>
          <w:tcPr>
            <w:tcW w:type="dxa" w:w="385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Intento conserva versión cursada.</w:t>
            </w:r>
          </w:p>
        </w:tc>
      </w:tr>
      <w:tr>
        <w:trPr>
          <w:cantSplit/>
        </w:trPr>
        <w:tc>
          <w:tcPr>
            <w:tcW w:type="dxa" w:w="85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RF-031</w:t>
            </w:r>
          </w:p>
        </w:tc>
        <w:tc>
          <w:tcPr>
            <w:tcW w:type="dxa" w:w="907"/>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Media</w:t>
            </w:r>
          </w:p>
        </w:tc>
        <w:tc>
          <w:tcPr>
            <w:tcW w:type="dxa" w:w="147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Administración</w:t>
            </w:r>
          </w:p>
        </w:tc>
        <w:tc>
          <w:tcPr>
            <w:tcW w:type="dxa" w:w="595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Configurar cargos, roles, catálogos y parámetros sin modificar código.</w:t>
            </w:r>
          </w:p>
        </w:tc>
        <w:tc>
          <w:tcPr>
            <w:tcW w:type="dxa" w:w="181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[R-04]</w:t>
            </w:r>
          </w:p>
        </w:tc>
        <w:tc>
          <w:tcPr>
            <w:tcW w:type="dxa" w:w="385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Cambios auditados.</w:t>
            </w:r>
          </w:p>
        </w:tc>
      </w:tr>
      <w:tr>
        <w:trPr>
          <w:cantSplit/>
        </w:trPr>
        <w:tc>
          <w:tcPr>
            <w:tcW w:type="dxa" w:w="85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RF-032</w:t>
            </w:r>
          </w:p>
        </w:tc>
        <w:tc>
          <w:tcPr>
            <w:tcW w:type="dxa" w:w="907"/>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Media</w:t>
            </w:r>
          </w:p>
        </w:tc>
        <w:tc>
          <w:tcPr>
            <w:tcW w:type="dxa" w:w="147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Integración</w:t>
            </w:r>
          </w:p>
        </w:tc>
        <w:tc>
          <w:tcPr>
            <w:tcW w:type="dxa" w:w="595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Permitir fase SDK/OEM únicamente tras habilitación contractual.</w:t>
            </w:r>
          </w:p>
        </w:tc>
        <w:tc>
          <w:tcPr>
            <w:tcW w:type="dxa" w:w="181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[RS-02]</w:t>
            </w:r>
          </w:p>
        </w:tc>
        <w:tc>
          <w:tcPr>
            <w:tcW w:type="dxa" w:w="385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Bandera de integración desactivada por defecto.</w:t>
            </w:r>
          </w:p>
        </w:tc>
      </w:tr>
    </w:tbl>
    <w:p>
      <w:pPr>
        <w:spacing w:after="20"/>
      </w:pPr>
    </w:p>
    <w:p>
      <w:pPr>
        <w:pStyle w:val="Heading2"/>
        <w:keepNext/>
        <w:spacing w:before="100" w:after="80"/>
      </w:pPr>
      <w:r>
        <w:rPr>
          <w:rFonts w:ascii="Aptos Display" w:hAnsi="Aptos Display" w:eastAsia="Aptos Display"/>
          <w:b/>
          <w:color w:val="263238"/>
        </w:rPr>
        <w:t>11.2 Requisitos no funcionales</w:t>
      </w:r>
    </w:p>
    <w:tbl>
      <w:tblPr>
        <w:tblW w:type="auto" w:w="0"/>
        <w:jc w:val="center"/>
        <w:tblLayout w:type="fixed"/>
        <w:tblLook w:firstColumn="1" w:firstRow="1" w:lastColumn="0" w:lastRow="0" w:noHBand="0" w:noVBand="1" w:val="04A0"/>
      </w:tblPr>
      <w:tblGrid>
        <w:gridCol w:w="5083"/>
        <w:gridCol w:w="5083"/>
        <w:gridCol w:w="5083"/>
      </w:tblGrid>
      <w:tr>
        <w:trPr>
          <w:tblHeader w:val="true"/>
          <w:cantSplit/>
        </w:trPr>
        <w:tc>
          <w:tcPr>
            <w:tcW w:type="dxa" w:w="963"/>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ID</w:t>
            </w:r>
          </w:p>
        </w:tc>
        <w:tc>
          <w:tcPr>
            <w:tcW w:type="dxa" w:w="1700"/>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Categoría</w:t>
            </w:r>
          </w:p>
        </w:tc>
        <w:tc>
          <w:tcPr>
            <w:tcW w:type="dxa" w:w="12188"/>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Requisito</w:t>
            </w:r>
          </w:p>
        </w:tc>
      </w:tr>
      <w:tr>
        <w:trPr>
          <w:cantSplit/>
        </w:trPr>
        <w:tc>
          <w:tcPr>
            <w:tcW w:type="dxa" w:w="96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RNF-001</w:t>
            </w:r>
          </w:p>
        </w:tc>
        <w:tc>
          <w:tcPr>
            <w:tcW w:type="dxa" w:w="17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Seguridad</w:t>
            </w:r>
          </w:p>
        </w:tc>
        <w:tc>
          <w:tcPr>
            <w:tcW w:type="dxa" w:w="12188"/>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Definir y verificar controles con referencia a OWASP ASVS 5.0.0. [SEC-01]</w:t>
            </w:r>
          </w:p>
        </w:tc>
      </w:tr>
      <w:tr>
        <w:trPr>
          <w:cantSplit/>
        </w:trPr>
        <w:tc>
          <w:tcPr>
            <w:tcW w:type="dxa" w:w="96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RNF-002</w:t>
            </w:r>
          </w:p>
        </w:tc>
        <w:tc>
          <w:tcPr>
            <w:tcW w:type="dxa" w:w="17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Privacidad</w:t>
            </w:r>
          </w:p>
        </w:tc>
        <w:tc>
          <w:tcPr>
            <w:tcW w:type="dxa" w:w="12188"/>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Minimizar datos personales y aplicar finalidad, acceso restringido y trazabilidad. [COL-02][COL-03]</w:t>
            </w:r>
          </w:p>
        </w:tc>
      </w:tr>
      <w:tr>
        <w:trPr>
          <w:cantSplit/>
        </w:trPr>
        <w:tc>
          <w:tcPr>
            <w:tcW w:type="dxa" w:w="96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RNF-003</w:t>
            </w:r>
          </w:p>
        </w:tc>
        <w:tc>
          <w:tcPr>
            <w:tcW w:type="dxa" w:w="17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Integridad</w:t>
            </w:r>
          </w:p>
        </w:tc>
        <w:tc>
          <w:tcPr>
            <w:tcW w:type="dxa" w:w="12188"/>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Detectar alteración de archivos, resultados y certificados.</w:t>
            </w:r>
          </w:p>
        </w:tc>
      </w:tr>
      <w:tr>
        <w:trPr>
          <w:cantSplit/>
        </w:trPr>
        <w:tc>
          <w:tcPr>
            <w:tcW w:type="dxa" w:w="96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RNF-004</w:t>
            </w:r>
          </w:p>
        </w:tc>
        <w:tc>
          <w:tcPr>
            <w:tcW w:type="dxa" w:w="17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Auditabilidad</w:t>
            </w:r>
          </w:p>
        </w:tc>
        <w:tc>
          <w:tcPr>
            <w:tcW w:type="dxa" w:w="12188"/>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Registrar quién, qué, cuándo, desde dónde y sobre qué versión.</w:t>
            </w:r>
          </w:p>
        </w:tc>
      </w:tr>
      <w:tr>
        <w:trPr>
          <w:cantSplit/>
        </w:trPr>
        <w:tc>
          <w:tcPr>
            <w:tcW w:type="dxa" w:w="96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RNF-005</w:t>
            </w:r>
          </w:p>
        </w:tc>
        <w:tc>
          <w:tcPr>
            <w:tcW w:type="dxa" w:w="17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Usabilidad</w:t>
            </w:r>
          </w:p>
        </w:tc>
        <w:tc>
          <w:tcPr>
            <w:tcW w:type="dxa" w:w="12188"/>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Explicar fórmulas, alertas y resultados en lenguaje técnico comprensible.</w:t>
            </w:r>
          </w:p>
        </w:tc>
      </w:tr>
      <w:tr>
        <w:trPr>
          <w:cantSplit/>
        </w:trPr>
        <w:tc>
          <w:tcPr>
            <w:tcW w:type="dxa" w:w="96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RNF-006</w:t>
            </w:r>
          </w:p>
        </w:tc>
        <w:tc>
          <w:tcPr>
            <w:tcW w:type="dxa" w:w="17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Accesibilidad</w:t>
            </w:r>
          </w:p>
        </w:tc>
        <w:tc>
          <w:tcPr>
            <w:tcW w:type="dxa" w:w="12188"/>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Diseñar navegación por teclado, contraste y alternativas textuales; nivel objetivo por definir.</w:t>
            </w:r>
          </w:p>
        </w:tc>
      </w:tr>
      <w:tr>
        <w:trPr>
          <w:cantSplit/>
        </w:trPr>
        <w:tc>
          <w:tcPr>
            <w:tcW w:type="dxa" w:w="96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RNF-007</w:t>
            </w:r>
          </w:p>
        </w:tc>
        <w:tc>
          <w:tcPr>
            <w:tcW w:type="dxa" w:w="17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Rendimiento</w:t>
            </w:r>
          </w:p>
        </w:tc>
        <w:tc>
          <w:tcPr>
            <w:tcW w:type="dxa" w:w="12188"/>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Definir tiempos máximos de carga, cálculo e importación después de conocer volumen y arquitectura.</w:t>
            </w:r>
          </w:p>
        </w:tc>
      </w:tr>
      <w:tr>
        <w:trPr>
          <w:cantSplit/>
        </w:trPr>
        <w:tc>
          <w:tcPr>
            <w:tcW w:type="dxa" w:w="96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RNF-008</w:t>
            </w:r>
          </w:p>
        </w:tc>
        <w:tc>
          <w:tcPr>
            <w:tcW w:type="dxa" w:w="17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Disponibilidad</w:t>
            </w:r>
          </w:p>
        </w:tc>
        <w:tc>
          <w:tcPr>
            <w:tcW w:type="dxa" w:w="12188"/>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Definir objetivo de disponibilidad, mantenimiento y recuperación antes de contratar infraestructura.</w:t>
            </w:r>
          </w:p>
        </w:tc>
      </w:tr>
      <w:tr>
        <w:trPr>
          <w:cantSplit/>
        </w:trPr>
        <w:tc>
          <w:tcPr>
            <w:tcW w:type="dxa" w:w="96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RNF-009</w:t>
            </w:r>
          </w:p>
        </w:tc>
        <w:tc>
          <w:tcPr>
            <w:tcW w:type="dxa" w:w="17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Escalabilidad</w:t>
            </w:r>
          </w:p>
        </w:tc>
        <w:tc>
          <w:tcPr>
            <w:tcW w:type="dxa" w:w="12188"/>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Separar contenidos, cálculo, archivos y analítica para escalar por demanda.</w:t>
            </w:r>
          </w:p>
        </w:tc>
      </w:tr>
      <w:tr>
        <w:trPr>
          <w:cantSplit/>
        </w:trPr>
        <w:tc>
          <w:tcPr>
            <w:tcW w:type="dxa" w:w="96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RNF-010</w:t>
            </w:r>
          </w:p>
        </w:tc>
        <w:tc>
          <w:tcPr>
            <w:tcW w:type="dxa" w:w="17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Interoperabilidad</w:t>
            </w:r>
          </w:p>
        </w:tc>
        <w:tc>
          <w:tcPr>
            <w:tcW w:type="dxa" w:w="12188"/>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Usar formatos estructurados, diccionario de datos, identificadores y versiones.</w:t>
            </w:r>
          </w:p>
        </w:tc>
      </w:tr>
      <w:tr>
        <w:trPr>
          <w:cantSplit/>
        </w:trPr>
        <w:tc>
          <w:tcPr>
            <w:tcW w:type="dxa" w:w="96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RNF-011</w:t>
            </w:r>
          </w:p>
        </w:tc>
        <w:tc>
          <w:tcPr>
            <w:tcW w:type="dxa" w:w="17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Mantenibilidad</w:t>
            </w:r>
          </w:p>
        </w:tc>
        <w:tc>
          <w:tcPr>
            <w:tcW w:type="dxa" w:w="12188"/>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Pruebas automatizadas, documentación de fórmulas y control de dependencias.</w:t>
            </w:r>
          </w:p>
        </w:tc>
      </w:tr>
      <w:tr>
        <w:trPr>
          <w:cantSplit/>
        </w:trPr>
        <w:tc>
          <w:tcPr>
            <w:tcW w:type="dxa" w:w="96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RNF-012</w:t>
            </w:r>
          </w:p>
        </w:tc>
        <w:tc>
          <w:tcPr>
            <w:tcW w:type="dxa" w:w="17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Observabilidad</w:t>
            </w:r>
          </w:p>
        </w:tc>
        <w:tc>
          <w:tcPr>
            <w:tcW w:type="dxa" w:w="12188"/>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Monitorear errores, importaciones fallidas, accesos, rendimiento y eventos de seguridad.</w:t>
            </w:r>
          </w:p>
        </w:tc>
      </w:tr>
      <w:tr>
        <w:trPr>
          <w:cantSplit/>
        </w:trPr>
        <w:tc>
          <w:tcPr>
            <w:tcW w:type="dxa" w:w="96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RNF-013</w:t>
            </w:r>
          </w:p>
        </w:tc>
        <w:tc>
          <w:tcPr>
            <w:tcW w:type="dxa" w:w="17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Recuperación</w:t>
            </w:r>
          </w:p>
        </w:tc>
        <w:tc>
          <w:tcPr>
            <w:tcW w:type="dxa" w:w="12188"/>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Copias, restauración probada, retención y continuidad definidas por criticidad.</w:t>
            </w:r>
          </w:p>
        </w:tc>
      </w:tr>
      <w:tr>
        <w:trPr>
          <w:cantSplit/>
        </w:trPr>
        <w:tc>
          <w:tcPr>
            <w:tcW w:type="dxa" w:w="96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RNF-014</w:t>
            </w:r>
          </w:p>
        </w:tc>
        <w:tc>
          <w:tcPr>
            <w:tcW w:type="dxa" w:w="17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Portabilidad</w:t>
            </w:r>
          </w:p>
        </w:tc>
        <w:tc>
          <w:tcPr>
            <w:tcW w:type="dxa" w:w="12188"/>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Canal web, móvil o escritorio queda por validar; la arquitectura funcional debe ser independiente.</w:t>
            </w:r>
          </w:p>
        </w:tc>
      </w:tr>
    </w:tbl>
    <w:p>
      <w:pPr>
        <w:spacing w:after="20"/>
      </w:pPr>
    </w:p>
    <w:p>
      <w:pPr>
        <w:pStyle w:val="Heading2"/>
        <w:keepNext/>
        <w:spacing w:before="100" w:after="80"/>
      </w:pPr>
      <w:r>
        <w:rPr>
          <w:rFonts w:ascii="Aptos Display" w:hAnsi="Aptos Display" w:eastAsia="Aptos Display"/>
          <w:b/>
          <w:color w:val="263238"/>
        </w:rPr>
        <w:t>11.3 Historias de usuario clave</w:t>
      </w:r>
    </w:p>
    <w:tbl>
      <w:tblPr>
        <w:tblW w:type="auto" w:w="0"/>
        <w:jc w:val="center"/>
        <w:tblLayout w:type="fixed"/>
        <w:tblLook w:firstColumn="1" w:firstRow="1" w:lastColumn="0" w:lastRow="0" w:noHBand="0" w:noVBand="1" w:val="04A0"/>
      </w:tblPr>
      <w:tblGrid>
        <w:gridCol w:w="7625"/>
        <w:gridCol w:w="7625"/>
      </w:tblGrid>
      <w:tr>
        <w:trPr>
          <w:tblHeader w:val="true"/>
          <w:cantSplit/>
        </w:trPr>
        <w:tc>
          <w:tcPr>
            <w:tcW w:type="dxa" w:w="1020"/>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5"/>
              </w:rPr>
              <w:t>ID</w:t>
            </w:r>
          </w:p>
        </w:tc>
        <w:tc>
          <w:tcPr>
            <w:tcW w:type="dxa" w:w="13833"/>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5"/>
              </w:rPr>
              <w:t>Historia</w:t>
            </w:r>
          </w:p>
        </w:tc>
      </w:tr>
      <w:tr>
        <w:trPr>
          <w:cantSplit/>
        </w:trPr>
        <w:tc>
          <w:tcPr>
            <w:tcW w:type="dxa" w:w="102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HU-01</w:t>
            </w:r>
          </w:p>
        </w:tc>
        <w:tc>
          <w:tcPr>
            <w:tcW w:type="dxa" w:w="1383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Como participante, quiero que la app me explique de inmediato mi error y me haga una pregunta diferente, para comprobar que aprendí el concepto.</w:t>
            </w:r>
          </w:p>
        </w:tc>
      </w:tr>
      <w:tr>
        <w:trPr>
          <w:cantSplit/>
        </w:trPr>
        <w:tc>
          <w:tcPr>
            <w:tcW w:type="dxa" w:w="102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HU-02</w:t>
            </w:r>
          </w:p>
        </w:tc>
        <w:tc>
          <w:tcPr>
            <w:tcW w:type="dxa" w:w="1383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Como participante, quiero obtener un certificado con mi nombre, cargo y resultado cuando apruebe.</w:t>
            </w:r>
          </w:p>
        </w:tc>
      </w:tr>
      <w:tr>
        <w:trPr>
          <w:cantSplit/>
        </w:trPr>
        <w:tc>
          <w:tcPr>
            <w:tcW w:type="dxa" w:w="102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HU-03</w:t>
            </w:r>
          </w:p>
        </w:tc>
        <w:tc>
          <w:tcPr>
            <w:tcW w:type="dxa" w:w="1383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Como modelador, quiero registrar los supuestos y su fuente para que otro profesional pueda revisar el modelo.</w:t>
            </w:r>
          </w:p>
        </w:tc>
      </w:tr>
      <w:tr>
        <w:trPr>
          <w:cantSplit/>
        </w:trPr>
        <w:tc>
          <w:tcPr>
            <w:tcW w:type="dxa" w:w="102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HU-04</w:t>
            </w:r>
          </w:p>
        </w:tc>
        <w:tc>
          <w:tcPr>
            <w:tcW w:type="dxa" w:w="1383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Como modelador, quiero visualizar el servicio de deuda y el DSCR por periodo para detectar rupturas.</w:t>
            </w:r>
          </w:p>
        </w:tc>
      </w:tr>
      <w:tr>
        <w:trPr>
          <w:cantSplit/>
        </w:trPr>
        <w:tc>
          <w:tcPr>
            <w:tcW w:type="dxa" w:w="102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HU-05</w:t>
            </w:r>
          </w:p>
        </w:tc>
        <w:tc>
          <w:tcPr>
            <w:tcW w:type="dxa" w:w="1383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Como decisor, quiero conocer el máximo monto factible y la restricción vinculante para evaluar una alternativa.</w:t>
            </w:r>
          </w:p>
        </w:tc>
      </w:tr>
      <w:tr>
        <w:trPr>
          <w:cantSplit/>
        </w:trPr>
        <w:tc>
          <w:tcPr>
            <w:tcW w:type="dxa" w:w="102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HU-06</w:t>
            </w:r>
          </w:p>
        </w:tc>
        <w:tc>
          <w:tcPr>
            <w:tcW w:type="dxa" w:w="1383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Como modelador, quiero comprobar liquidez además de cobertura para no aceptar una estructura que genere crisis de caja.</w:t>
            </w:r>
          </w:p>
        </w:tc>
      </w:tr>
      <w:tr>
        <w:trPr>
          <w:cantSplit/>
        </w:trPr>
        <w:tc>
          <w:tcPr>
            <w:tcW w:type="dxa" w:w="102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HU-07</w:t>
            </w:r>
          </w:p>
        </w:tc>
        <w:tc>
          <w:tcPr>
            <w:tcW w:type="dxa" w:w="1383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Como analista, quiero exportar a Risk Simulator e importar resultados controlados para cuantificar incertidumbre.</w:t>
            </w:r>
          </w:p>
        </w:tc>
      </w:tr>
      <w:tr>
        <w:trPr>
          <w:cantSplit/>
        </w:trPr>
        <w:tc>
          <w:tcPr>
            <w:tcW w:type="dxa" w:w="102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HU-08</w:t>
            </w:r>
          </w:p>
        </w:tc>
        <w:tc>
          <w:tcPr>
            <w:tcW w:type="dxa" w:w="1383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Como revisor, quiero observar fórmulas, fuentes y versiones para auditar el modelo.</w:t>
            </w:r>
          </w:p>
        </w:tc>
      </w:tr>
      <w:tr>
        <w:trPr>
          <w:cantSplit/>
        </w:trPr>
        <w:tc>
          <w:tcPr>
            <w:tcW w:type="dxa" w:w="102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HU-09</w:t>
            </w:r>
          </w:p>
        </w:tc>
        <w:tc>
          <w:tcPr>
            <w:tcW w:type="dxa" w:w="13833"/>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Como equipo, quiero comparar lo proyectado con lo observado para aprender de los errores.</w:t>
            </w:r>
          </w:p>
        </w:tc>
      </w:tr>
      <w:tr>
        <w:trPr>
          <w:cantSplit/>
        </w:trPr>
        <w:tc>
          <w:tcPr>
            <w:tcW w:type="dxa" w:w="102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HU-10</w:t>
            </w:r>
          </w:p>
        </w:tc>
        <w:tc>
          <w:tcPr>
            <w:tcW w:type="dxa" w:w="13833"/>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5"/>
              </w:rPr>
              <w:t>Como auditor, quiero verificar certificados y cambios sin poder alterar los registros.</w:t>
            </w:r>
          </w:p>
        </w:tc>
      </w:tr>
    </w:tbl>
    <w:p>
      <w:pPr>
        <w:spacing w:after="20"/>
      </w:pPr>
    </w:p>
    <w:p>
      <w:r>
        <w:br w:type="page"/>
      </w:r>
    </w:p>
    <w:p>
      <w:pPr>
        <w:pStyle w:val="Heading2"/>
        <w:keepNext/>
        <w:spacing w:before="100" w:after="80"/>
      </w:pPr>
      <w:r>
        <w:rPr>
          <w:rFonts w:ascii="Aptos Display" w:hAnsi="Aptos Display" w:eastAsia="Aptos Display"/>
          <w:b/>
          <w:color w:val="263238"/>
        </w:rPr>
        <w:t>11.4 Casos de prueba de aceptación</w:t>
      </w:r>
    </w:p>
    <w:tbl>
      <w:tblPr>
        <w:tblW w:type="auto" w:w="0"/>
        <w:jc w:val="center"/>
        <w:tblLayout w:type="fixed"/>
        <w:tblLook w:firstColumn="1" w:firstRow="1" w:lastColumn="0" w:lastRow="0" w:noHBand="0" w:noVBand="1" w:val="04A0"/>
      </w:tblPr>
      <w:tblGrid>
        <w:gridCol w:w="5083"/>
        <w:gridCol w:w="5083"/>
        <w:gridCol w:w="5083"/>
      </w:tblGrid>
      <w:tr>
        <w:trPr>
          <w:tblHeader w:val="true"/>
          <w:cantSplit/>
        </w:trPr>
        <w:tc>
          <w:tcPr>
            <w:tcW w:type="dxa" w:w="1020"/>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ID</w:t>
            </w:r>
          </w:p>
        </w:tc>
        <w:tc>
          <w:tcPr>
            <w:tcW w:type="dxa" w:w="4932"/>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Condición</w:t>
            </w:r>
          </w:p>
        </w:tc>
        <w:tc>
          <w:tcPr>
            <w:tcW w:type="dxa" w:w="8900"/>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Resultado esperado</w:t>
            </w:r>
          </w:p>
        </w:tc>
      </w:tr>
      <w:tr>
        <w:trPr>
          <w:cantSplit/>
        </w:trPr>
        <w:tc>
          <w:tcPr>
            <w:tcW w:type="dxa" w:w="102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CP-001</w:t>
            </w:r>
          </w:p>
        </w:tc>
        <w:tc>
          <w:tcPr>
            <w:tcW w:type="dxa" w:w="493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Resultado inferior al 80 %</w:t>
            </w:r>
          </w:p>
        </w:tc>
        <w:tc>
          <w:tcPr>
            <w:tcW w:type="dxa" w:w="89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No genera certificado; muestra refuerzo y conserva intento.</w:t>
            </w:r>
          </w:p>
        </w:tc>
      </w:tr>
      <w:tr>
        <w:trPr>
          <w:cantSplit/>
        </w:trPr>
        <w:tc>
          <w:tcPr>
            <w:tcW w:type="dxa" w:w="102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CP-002</w:t>
            </w:r>
          </w:p>
        </w:tc>
        <w:tc>
          <w:tcPr>
            <w:tcW w:type="dxa" w:w="493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Respuesta incorrecta</w:t>
            </w:r>
          </w:p>
        </w:tc>
        <w:tc>
          <w:tcPr>
            <w:tcW w:type="dxa" w:w="89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Muestra corrección y explicación antes de la siguiente pregunta.</w:t>
            </w:r>
          </w:p>
        </w:tc>
      </w:tr>
      <w:tr>
        <w:trPr>
          <w:cantSplit/>
        </w:trPr>
        <w:tc>
          <w:tcPr>
            <w:tcW w:type="dxa" w:w="102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CP-003</w:t>
            </w:r>
          </w:p>
        </w:tc>
        <w:tc>
          <w:tcPr>
            <w:tcW w:type="dxa" w:w="493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Repregunta adaptativa</w:t>
            </w:r>
          </w:p>
        </w:tc>
        <w:tc>
          <w:tcPr>
            <w:tcW w:type="dxa" w:w="89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Presenta otro ítem del mismo objetivo con redacción y opciones diferentes.</w:t>
            </w:r>
          </w:p>
        </w:tc>
      </w:tr>
      <w:tr>
        <w:trPr>
          <w:cantSplit/>
        </w:trPr>
        <w:tc>
          <w:tcPr>
            <w:tcW w:type="dxa" w:w="102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CP-004</w:t>
            </w:r>
          </w:p>
        </w:tc>
        <w:tc>
          <w:tcPr>
            <w:tcW w:type="dxa" w:w="493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Resultado igual o superior al 80 %</w:t>
            </w:r>
          </w:p>
        </w:tc>
        <w:tc>
          <w:tcPr>
            <w:tcW w:type="dxa" w:w="89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Genera certificado verificable con nombre, cargo y resultado.</w:t>
            </w:r>
          </w:p>
        </w:tc>
      </w:tr>
      <w:tr>
        <w:trPr>
          <w:cantSplit/>
        </w:trPr>
        <w:tc>
          <w:tcPr>
            <w:tcW w:type="dxa" w:w="102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CP-005</w:t>
            </w:r>
          </w:p>
        </w:tc>
        <w:tc>
          <w:tcPr>
            <w:tcW w:type="dxa" w:w="493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Cambio de nombre después de certificar</w:t>
            </w:r>
          </w:p>
        </w:tc>
        <w:tc>
          <w:tcPr>
            <w:tcW w:type="dxa" w:w="89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Revoca y reexpide; no edita el certificado emitido.</w:t>
            </w:r>
          </w:p>
        </w:tc>
      </w:tr>
      <w:tr>
        <w:trPr>
          <w:cantSplit/>
        </w:trPr>
        <w:tc>
          <w:tcPr>
            <w:tcW w:type="dxa" w:w="102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CP-006</w:t>
            </w:r>
          </w:p>
        </w:tc>
        <w:tc>
          <w:tcPr>
            <w:tcW w:type="dxa" w:w="493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Saldo de deuda no concilia</w:t>
            </w:r>
          </w:p>
        </w:tc>
        <w:tc>
          <w:tcPr>
            <w:tcW w:type="dxa" w:w="89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Bloquea aprobación y muestra el periodo de diferencia.</w:t>
            </w:r>
          </w:p>
        </w:tc>
      </w:tr>
      <w:tr>
        <w:trPr>
          <w:cantSplit/>
        </w:trPr>
        <w:tc>
          <w:tcPr>
            <w:tcW w:type="dxa" w:w="102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CP-007</w:t>
            </w:r>
          </w:p>
        </w:tc>
        <w:tc>
          <w:tcPr>
            <w:tcW w:type="dxa" w:w="493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Servicio de deuda cero</w:t>
            </w:r>
          </w:p>
        </w:tc>
        <w:tc>
          <w:tcPr>
            <w:tcW w:type="dxa" w:w="89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DSCR se presenta como no calculable.</w:t>
            </w:r>
          </w:p>
        </w:tc>
      </w:tr>
      <w:tr>
        <w:trPr>
          <w:cantSplit/>
        </w:trPr>
        <w:tc>
          <w:tcPr>
            <w:tcW w:type="dxa" w:w="102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CP-008</w:t>
            </w:r>
          </w:p>
        </w:tc>
        <w:tc>
          <w:tcPr>
            <w:tcW w:type="dxa" w:w="493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Covenant sin fuente</w:t>
            </w:r>
          </w:p>
        </w:tc>
        <w:tc>
          <w:tcPr>
            <w:tcW w:type="dxa" w:w="89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Permite borrador; impide aprobación definitiva.</w:t>
            </w:r>
          </w:p>
        </w:tc>
      </w:tr>
      <w:tr>
        <w:trPr>
          <w:cantSplit/>
        </w:trPr>
        <w:tc>
          <w:tcPr>
            <w:tcW w:type="dxa" w:w="102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CP-009</w:t>
            </w:r>
          </w:p>
        </w:tc>
        <w:tc>
          <w:tcPr>
            <w:tcW w:type="dxa" w:w="493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Covenant más exigente</w:t>
            </w:r>
          </w:p>
        </w:tc>
        <w:tc>
          <w:tcPr>
            <w:tcW w:type="dxa" w:w="89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La capacidad factible no aumenta con las demás variables constantes.</w:t>
            </w:r>
          </w:p>
        </w:tc>
      </w:tr>
      <w:tr>
        <w:trPr>
          <w:cantSplit/>
        </w:trPr>
        <w:tc>
          <w:tcPr>
            <w:tcW w:type="dxa" w:w="102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CP-010</w:t>
            </w:r>
          </w:p>
        </w:tc>
        <w:tc>
          <w:tcPr>
            <w:tcW w:type="dxa" w:w="493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Caja menor al mínimo con DSCR cumplido</w:t>
            </w:r>
          </w:p>
        </w:tc>
        <w:tc>
          <w:tcPr>
            <w:tcW w:type="dxa" w:w="89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Escenario queda no factible por liquidez.</w:t>
            </w:r>
          </w:p>
        </w:tc>
      </w:tr>
      <w:tr>
        <w:trPr>
          <w:cantSplit/>
        </w:trPr>
        <w:tc>
          <w:tcPr>
            <w:tcW w:type="dxa" w:w="102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CP-011</w:t>
            </w:r>
          </w:p>
        </w:tc>
        <w:tc>
          <w:tcPr>
            <w:tcW w:type="dxa" w:w="493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Archivo Risk Simulator de otra versión</w:t>
            </w:r>
          </w:p>
        </w:tc>
        <w:tc>
          <w:tcPr>
            <w:tcW w:type="dxa" w:w="89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Importación rechazada y evento auditado.</w:t>
            </w:r>
          </w:p>
        </w:tc>
      </w:tr>
      <w:tr>
        <w:trPr>
          <w:cantSplit/>
        </w:trPr>
        <w:tc>
          <w:tcPr>
            <w:tcW w:type="dxa" w:w="102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CP-012</w:t>
            </w:r>
          </w:p>
        </w:tc>
        <w:tc>
          <w:tcPr>
            <w:tcW w:type="dxa" w:w="493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Distribución sin justificación</w:t>
            </w:r>
          </w:p>
        </w:tc>
        <w:tc>
          <w:tcPr>
            <w:tcW w:type="dxa" w:w="89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Simulación queda en borrador y no se publica.</w:t>
            </w:r>
          </w:p>
        </w:tc>
      </w:tr>
      <w:tr>
        <w:trPr>
          <w:cantSplit/>
        </w:trPr>
        <w:tc>
          <w:tcPr>
            <w:tcW w:type="dxa" w:w="102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CP-013</w:t>
            </w:r>
          </w:p>
        </w:tc>
        <w:tc>
          <w:tcPr>
            <w:tcW w:type="dxa" w:w="493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Versión aprobada editada</w:t>
            </w:r>
          </w:p>
        </w:tc>
        <w:tc>
          <w:tcPr>
            <w:tcW w:type="dxa" w:w="89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Sistema crea nueva versión o bloquea la edición.</w:t>
            </w:r>
          </w:p>
        </w:tc>
      </w:tr>
      <w:tr>
        <w:trPr>
          <w:cantSplit/>
        </w:trPr>
        <w:tc>
          <w:tcPr>
            <w:tcW w:type="dxa" w:w="102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CP-014</w:t>
            </w:r>
          </w:p>
        </w:tc>
        <w:tc>
          <w:tcPr>
            <w:tcW w:type="dxa" w:w="493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Backtesting</w:t>
            </w:r>
          </w:p>
        </w:tc>
        <w:tc>
          <w:tcPr>
            <w:tcW w:type="dxa" w:w="89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Mantiene la proyección original y registra observado por separado.</w:t>
            </w:r>
          </w:p>
        </w:tc>
      </w:tr>
      <w:tr>
        <w:trPr>
          <w:cantSplit/>
        </w:trPr>
        <w:tc>
          <w:tcPr>
            <w:tcW w:type="dxa" w:w="102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CP-015</w:t>
            </w:r>
          </w:p>
        </w:tc>
        <w:tc>
          <w:tcPr>
            <w:tcW w:type="dxa" w:w="4932"/>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Usuario sin permiso</w:t>
            </w:r>
          </w:p>
        </w:tc>
        <w:tc>
          <w:tcPr>
            <w:tcW w:type="dxa" w:w="890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Niega acceso y registra intento.</w:t>
            </w:r>
          </w:p>
        </w:tc>
      </w:tr>
      <w:tr>
        <w:trPr>
          <w:cantSplit/>
        </w:trPr>
        <w:tc>
          <w:tcPr>
            <w:tcW w:type="dxa" w:w="102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CP-016</w:t>
            </w:r>
          </w:p>
        </w:tc>
        <w:tc>
          <w:tcPr>
            <w:tcW w:type="dxa" w:w="4932"/>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Exportación de reporte</w:t>
            </w:r>
          </w:p>
        </w:tc>
        <w:tc>
          <w:tcPr>
            <w:tcW w:type="dxa" w:w="890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Incluye modelo, versión, responsable, fuentes y advertencias.</w:t>
            </w:r>
          </w:p>
        </w:tc>
      </w:tr>
    </w:tbl>
    <w:p>
      <w:pPr>
        <w:spacing w:after="20"/>
      </w:pPr>
    </w:p>
    <w:p>
      <w:pPr>
        <w:sectPr>
          <w:pgSz w:w="16838" w:h="11906" w:orient="landscape"/>
          <w:pgMar w:top="850" w:right="794" w:bottom="850" w:left="794" w:header="397" w:footer="340" w:gutter="0"/>
          <w:cols w:space="720"/>
          <w:docGrid w:linePitch="360"/>
        </w:sectPr>
      </w:pPr>
    </w:p>
    <w:p>
      <w:pPr>
        <w:pStyle w:val="Heading1"/>
        <w:keepNext/>
        <w:spacing w:before="160" w:after="80"/>
      </w:pPr>
      <w:r>
        <w:rPr>
          <w:rFonts w:ascii="Aptos Display" w:hAnsi="Aptos Display" w:eastAsia="Aptos Display"/>
          <w:b/>
          <w:color w:val="4B2E83"/>
        </w:rPr>
        <w:t>12. Producto mínimo viable, riesgos y pendientes</w:t>
      </w:r>
    </w:p>
    <w:p>
      <w:pPr>
        <w:pStyle w:val="Heading2"/>
        <w:keepNext/>
        <w:spacing w:before="100" w:after="80"/>
      </w:pPr>
      <w:r>
        <w:rPr>
          <w:rFonts w:ascii="Aptos Display" w:hAnsi="Aptos Display" w:eastAsia="Aptos Display"/>
          <w:b/>
          <w:color w:val="263238"/>
        </w:rPr>
        <w:t>12.1 Producto mínimo viable</w:t>
      </w:r>
    </w:p>
    <w:tbl>
      <w:tblPr>
        <w:tblW w:type="auto" w:w="0"/>
        <w:jc w:val="center"/>
        <w:tblLayout w:type="fixed"/>
        <w:tblLook w:firstColumn="1" w:firstRow="1" w:lastColumn="0" w:lastRow="0" w:noHBand="0" w:noVBand="1" w:val="04A0"/>
      </w:tblPr>
      <w:tblGrid>
        <w:gridCol w:w="4961"/>
        <w:gridCol w:w="4961"/>
      </w:tblGrid>
      <w:tr>
        <w:trPr>
          <w:tblHeader w:val="true"/>
          <w:cantSplit/>
        </w:trPr>
        <w:tc>
          <w:tcPr>
            <w:tcW w:type="dxa" w:w="2494"/>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Bloque</w:t>
            </w:r>
          </w:p>
        </w:tc>
        <w:tc>
          <w:tcPr>
            <w:tcW w:type="dxa" w:w="6859"/>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7"/>
              </w:rPr>
              <w:t>Alcance</w:t>
            </w:r>
          </w:p>
        </w:tc>
      </w:tr>
      <w:tr>
        <w:trPr>
          <w:cantSplit/>
        </w:trPr>
        <w:tc>
          <w:tcPr>
            <w:tcW w:type="dxa" w:w="249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MVP-1 Formación</w:t>
            </w:r>
          </w:p>
        </w:tc>
        <w:tc>
          <w:tcPr>
            <w:tcW w:type="dxa" w:w="685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Ocho unidades; evaluación adaptativa; 80 %; certificado y administración básica.</w:t>
            </w:r>
          </w:p>
        </w:tc>
      </w:tr>
      <w:tr>
        <w:trPr>
          <w:cantSplit/>
        </w:trPr>
        <w:tc>
          <w:tcPr>
            <w:tcW w:type="dxa" w:w="249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MVP-2 Modelación</w:t>
            </w:r>
          </w:p>
        </w:tc>
        <w:tc>
          <w:tcPr>
            <w:tcW w:type="dxa" w:w="685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Proyectos, escenarios, supuestos, deuda, CFADS, DSCR, covenants y liquidez.</w:t>
            </w:r>
          </w:p>
        </w:tc>
      </w:tr>
      <w:tr>
        <w:trPr>
          <w:cantSplit/>
        </w:trPr>
        <w:tc>
          <w:tcPr>
            <w:tcW w:type="dxa" w:w="249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MVP-3 Simulación asistida</w:t>
            </w:r>
          </w:p>
        </w:tc>
        <w:tc>
          <w:tcPr>
            <w:tcW w:type="dxa" w:w="685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Exportación e importación estructurada con Risk Simulator.</w:t>
            </w:r>
          </w:p>
        </w:tc>
      </w:tr>
      <w:tr>
        <w:trPr>
          <w:cantSplit/>
        </w:trPr>
        <w:tc>
          <w:tcPr>
            <w:tcW w:type="dxa" w:w="249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MVP-4 Calidad</w:t>
            </w:r>
          </w:p>
        </w:tc>
        <w:tc>
          <w:tcPr>
            <w:tcW w:type="dxa" w:w="6859"/>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Validaciones, revisión, versionado, auditoría y backtesting básico.</w:t>
            </w:r>
          </w:p>
        </w:tc>
      </w:tr>
      <w:tr>
        <w:trPr>
          <w:cantSplit/>
        </w:trPr>
        <w:tc>
          <w:tcPr>
            <w:tcW w:type="dxa" w:w="249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MVP-5 Decisión</w:t>
            </w:r>
          </w:p>
        </w:tc>
        <w:tc>
          <w:tcPr>
            <w:tcW w:type="dxa" w:w="6859"/>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7"/>
              </w:rPr>
              <w:t>Tableros, comparación, reportes y registro de decisión.</w:t>
            </w:r>
          </w:p>
        </w:tc>
      </w:tr>
    </w:tbl>
    <w:p>
      <w:pPr>
        <w:spacing w:after="20"/>
      </w:pPr>
    </w:p>
    <w:p>
      <w:pPr>
        <w:pStyle w:val="Heading2"/>
        <w:keepNext/>
        <w:spacing w:before="100" w:after="80"/>
      </w:pPr>
      <w:r>
        <w:rPr>
          <w:rFonts w:ascii="Aptos Display" w:hAnsi="Aptos Display" w:eastAsia="Aptos Display"/>
          <w:b/>
          <w:color w:val="263238"/>
        </w:rPr>
        <w:t>12.2 Evolución posterior</w:t>
      </w:r>
    </w:p>
    <w:p>
      <w:pPr>
        <w:pStyle w:val="ListBullet"/>
        <w:spacing w:before="0" w:after="40" w:line="259" w:lineRule="auto"/>
      </w:pPr>
      <w:r>
        <w:rPr>
          <w:rFonts w:ascii="Aptos" w:hAnsi="Aptos" w:eastAsia="Aptos"/>
        </w:rPr>
        <w:t>Integración SDK/OEM autorizada con Risk Simulator.</w:t>
      </w:r>
    </w:p>
    <w:p>
      <w:pPr>
        <w:pStyle w:val="ListBullet"/>
        <w:spacing w:before="0" w:after="40" w:line="259" w:lineRule="auto"/>
      </w:pPr>
      <w:r>
        <w:rPr>
          <w:rFonts w:ascii="Aptos" w:hAnsi="Aptos" w:eastAsia="Aptos"/>
        </w:rPr>
        <w:t>Optimización avanzada de estructuras de deuda.</w:t>
      </w:r>
    </w:p>
    <w:p>
      <w:pPr>
        <w:pStyle w:val="ListBullet"/>
        <w:spacing w:before="0" w:after="40" w:line="259" w:lineRule="auto"/>
      </w:pPr>
      <w:r>
        <w:rPr>
          <w:rFonts w:ascii="Aptos" w:hAnsi="Aptos" w:eastAsia="Aptos"/>
        </w:rPr>
        <w:t>Conectores con ERP, contabilidad o fuentes públicas verificadas.</w:t>
      </w:r>
    </w:p>
    <w:p>
      <w:pPr>
        <w:pStyle w:val="ListBullet"/>
        <w:spacing w:before="0" w:after="40" w:line="259" w:lineRule="auto"/>
      </w:pPr>
      <w:r>
        <w:rPr>
          <w:rFonts w:ascii="Aptos" w:hAnsi="Aptos" w:eastAsia="Aptos"/>
        </w:rPr>
        <w:t>Biblioteca sectorial de supuestos con gobierno y vigencia.</w:t>
      </w:r>
    </w:p>
    <w:p>
      <w:pPr>
        <w:pStyle w:val="ListBullet"/>
        <w:spacing w:before="0" w:after="40" w:line="259" w:lineRule="auto"/>
      </w:pPr>
      <w:r>
        <w:rPr>
          <w:rFonts w:ascii="Aptos" w:hAnsi="Aptos" w:eastAsia="Aptos"/>
        </w:rPr>
        <w:t>Colaboración en tiempo real y comité de aprobación.</w:t>
      </w:r>
    </w:p>
    <w:p>
      <w:pPr>
        <w:pStyle w:val="ListBullet"/>
        <w:spacing w:before="0" w:after="40" w:line="259" w:lineRule="auto"/>
      </w:pPr>
      <w:r>
        <w:rPr>
          <w:rFonts w:ascii="Aptos" w:hAnsi="Aptos" w:eastAsia="Aptos"/>
        </w:rPr>
        <w:t>Analítica de aprendizaje para identificar errores recurrentes por concepto.</w:t>
      </w:r>
    </w:p>
    <w:p>
      <w:pPr>
        <w:pStyle w:val="ListBullet"/>
        <w:spacing w:before="0" w:after="40" w:line="259" w:lineRule="auto"/>
      </w:pPr>
      <w:r>
        <w:rPr>
          <w:rFonts w:ascii="Aptos" w:hAnsi="Aptos" w:eastAsia="Aptos"/>
        </w:rPr>
        <w:t>Aplicación móvil o modo sin conexión, si el contexto de uso lo exige.</w:t>
      </w:r>
    </w:p>
    <w:p>
      <w:pPr>
        <w:pStyle w:val="Heading2"/>
        <w:keepNext/>
        <w:spacing w:before="100" w:after="80"/>
      </w:pPr>
      <w:r>
        <w:rPr>
          <w:rFonts w:ascii="Aptos Display" w:hAnsi="Aptos Display" w:eastAsia="Aptos Display"/>
          <w:b/>
          <w:color w:val="263238"/>
        </w:rPr>
        <w:t>12.3 Riesgos del producto y controles</w:t>
      </w:r>
    </w:p>
    <w:tbl>
      <w:tblPr>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324"/>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Riesgo</w:t>
            </w:r>
          </w:p>
        </w:tc>
        <w:tc>
          <w:tcPr>
            <w:tcW w:type="dxa" w:w="2948"/>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Efecto</w:t>
            </w:r>
          </w:p>
        </w:tc>
        <w:tc>
          <w:tcPr>
            <w:tcW w:type="dxa" w:w="4081"/>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6"/>
              </w:rPr>
              <w:t>Control</w:t>
            </w:r>
          </w:p>
        </w:tc>
      </w:tr>
      <w:tr>
        <w:trPr>
          <w:cantSplit/>
        </w:trPr>
        <w:tc>
          <w:tcPr>
            <w:tcW w:type="dxa" w:w="232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Falsa precisión</w:t>
            </w:r>
          </w:p>
        </w:tc>
        <w:tc>
          <w:tcPr>
            <w:tcW w:type="dxa" w:w="2948"/>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Usuarios interpretan una proyección como certeza.</w:t>
            </w:r>
          </w:p>
        </w:tc>
        <w:tc>
          <w:tcPr>
            <w:tcW w:type="dxa" w:w="408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Advertencias, rangos, supuestos y revisión humana.</w:t>
            </w:r>
          </w:p>
        </w:tc>
      </w:tr>
      <w:tr>
        <w:trPr>
          <w:cantSplit/>
        </w:trPr>
        <w:tc>
          <w:tcPr>
            <w:tcW w:type="dxa" w:w="232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CFADS incorrecto</w:t>
            </w:r>
          </w:p>
        </w:tc>
        <w:tc>
          <w:tcPr>
            <w:tcW w:type="dxa" w:w="2948"/>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Mezcla de conceptos contables y de caja.</w:t>
            </w:r>
          </w:p>
        </w:tc>
        <w:tc>
          <w:tcPr>
            <w:tcW w:type="dxa" w:w="408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Mapeo aprobado, diccionario y prueba de conciliación.</w:t>
            </w:r>
          </w:p>
        </w:tc>
      </w:tr>
      <w:tr>
        <w:trPr>
          <w:cantSplit/>
        </w:trPr>
        <w:tc>
          <w:tcPr>
            <w:tcW w:type="dxa" w:w="232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Covenant no contractual</w:t>
            </w:r>
          </w:p>
        </w:tc>
        <w:tc>
          <w:tcPr>
            <w:tcW w:type="dxa" w:w="2948"/>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Se usa un umbral supuesto.</w:t>
            </w:r>
          </w:p>
        </w:tc>
        <w:tc>
          <w:tcPr>
            <w:tcW w:type="dxa" w:w="408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Fuente obligatoria y bloqueo de aprobación.</w:t>
            </w:r>
          </w:p>
        </w:tc>
      </w:tr>
      <w:tr>
        <w:trPr>
          <w:cantSplit/>
        </w:trPr>
        <w:tc>
          <w:tcPr>
            <w:tcW w:type="dxa" w:w="232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Error de hoja de cálculo</w:t>
            </w:r>
          </w:p>
        </w:tc>
        <w:tc>
          <w:tcPr>
            <w:tcW w:type="dxa" w:w="2948"/>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Fórmulas o vínculos defectuosos.</w:t>
            </w:r>
          </w:p>
        </w:tc>
        <w:tc>
          <w:tcPr>
            <w:tcW w:type="dxa" w:w="408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Validaciones, revisión por pares y control de versión [MQ-01].</w:t>
            </w:r>
          </w:p>
        </w:tc>
      </w:tr>
      <w:tr>
        <w:trPr>
          <w:cantSplit/>
        </w:trPr>
        <w:tc>
          <w:tcPr>
            <w:tcW w:type="dxa" w:w="232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Distribución arbitraria</w:t>
            </w:r>
          </w:p>
        </w:tc>
        <w:tc>
          <w:tcPr>
            <w:tcW w:type="dxa" w:w="2948"/>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Resultados probabilísticos sin evidencia.</w:t>
            </w:r>
          </w:p>
        </w:tc>
        <w:tc>
          <w:tcPr>
            <w:tcW w:type="dxa" w:w="408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Justificación, revisión y análisis de sensibilidad.</w:t>
            </w:r>
          </w:p>
        </w:tc>
      </w:tr>
      <w:tr>
        <w:trPr>
          <w:cantSplit/>
        </w:trPr>
        <w:tc>
          <w:tcPr>
            <w:tcW w:type="dxa" w:w="232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Importación equivocada</w:t>
            </w:r>
          </w:p>
        </w:tc>
        <w:tc>
          <w:tcPr>
            <w:tcW w:type="dxa" w:w="2948"/>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Resultados de otro modelo o versión.</w:t>
            </w:r>
          </w:p>
        </w:tc>
        <w:tc>
          <w:tcPr>
            <w:tcW w:type="dxa" w:w="408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Identificador, hash y plantilla controlada.</w:t>
            </w:r>
          </w:p>
        </w:tc>
      </w:tr>
      <w:tr>
        <w:trPr>
          <w:cantSplit/>
        </w:trPr>
        <w:tc>
          <w:tcPr>
            <w:tcW w:type="dxa" w:w="232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Sobreajuste retrospectivo</w:t>
            </w:r>
          </w:p>
        </w:tc>
        <w:tc>
          <w:tcPr>
            <w:tcW w:type="dxa" w:w="2948"/>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Se ajusta el modelo para explicar el pasado sin robustez futura.</w:t>
            </w:r>
          </w:p>
        </w:tc>
        <w:tc>
          <w:tcPr>
            <w:tcW w:type="dxa" w:w="408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Conservar versiones y separar aprendizaje de reescritura.</w:t>
            </w:r>
          </w:p>
        </w:tc>
      </w:tr>
      <w:tr>
        <w:trPr>
          <w:cantSplit/>
        </w:trPr>
        <w:tc>
          <w:tcPr>
            <w:tcW w:type="dxa" w:w="232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Uso no autorizado</w:t>
            </w:r>
          </w:p>
        </w:tc>
        <w:tc>
          <w:tcPr>
            <w:tcW w:type="dxa" w:w="2948"/>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Acceso a información financiera o resultados personales.</w:t>
            </w:r>
          </w:p>
        </w:tc>
        <w:tc>
          <w:tcPr>
            <w:tcW w:type="dxa" w:w="408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Roles, mínimo privilegio, logs y cifrado.</w:t>
            </w:r>
          </w:p>
        </w:tc>
      </w:tr>
      <w:tr>
        <w:trPr>
          <w:cantSplit/>
        </w:trPr>
        <w:tc>
          <w:tcPr>
            <w:tcW w:type="dxa" w:w="232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Fraude de certificado</w:t>
            </w:r>
          </w:p>
        </w:tc>
        <w:tc>
          <w:tcPr>
            <w:tcW w:type="dxa" w:w="2948"/>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Alteración o reutilización indebida.</w:t>
            </w:r>
          </w:p>
        </w:tc>
        <w:tc>
          <w:tcPr>
            <w:tcW w:type="dxa" w:w="408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Código verificable, estado y revocación.</w:t>
            </w:r>
          </w:p>
        </w:tc>
      </w:tr>
      <w:tr>
        <w:trPr>
          <w:cantSplit/>
        </w:trPr>
        <w:tc>
          <w:tcPr>
            <w:tcW w:type="dxa" w:w="2324"/>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Licencia insuficiente</w:t>
            </w:r>
          </w:p>
        </w:tc>
        <w:tc>
          <w:tcPr>
            <w:tcW w:type="dxa" w:w="2948"/>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Integración o uso no cubierto por el fabricante.</w:t>
            </w:r>
          </w:p>
        </w:tc>
        <w:tc>
          <w:tcPr>
            <w:tcW w:type="dxa" w:w="408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Validación contractual previa [RS-02].</w:t>
            </w:r>
          </w:p>
        </w:tc>
      </w:tr>
      <w:tr>
        <w:trPr>
          <w:cantSplit/>
        </w:trPr>
        <w:tc>
          <w:tcPr>
            <w:tcW w:type="dxa" w:w="2324"/>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Dependencia del experto</w:t>
            </w:r>
          </w:p>
        </w:tc>
        <w:tc>
          <w:tcPr>
            <w:tcW w:type="dxa" w:w="2948"/>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Solo una persona entiende el modelo.</w:t>
            </w:r>
          </w:p>
        </w:tc>
        <w:tc>
          <w:tcPr>
            <w:tcW w:type="dxa" w:w="408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6"/>
              </w:rPr>
              <w:t>Metodología común, documentación, formación y revisión.</w:t>
            </w:r>
          </w:p>
        </w:tc>
      </w:tr>
    </w:tbl>
    <w:p>
      <w:pPr>
        <w:spacing w:after="20"/>
      </w:pPr>
    </w:p>
    <w:p>
      <w:pPr>
        <w:pStyle w:val="Heading2"/>
        <w:keepNext/>
        <w:spacing w:before="100" w:after="80"/>
      </w:pPr>
      <w:r>
        <w:rPr>
          <w:rFonts w:ascii="Aptos Display" w:hAnsi="Aptos Display" w:eastAsia="Aptos Display"/>
          <w:b/>
          <w:color w:val="263238"/>
        </w:rPr>
        <w:t>12.4 Decisiones pendientes de validación</w:t>
      </w:r>
    </w:p>
    <w:p>
      <w:pPr>
        <w:pStyle w:val="ListBullet"/>
        <w:spacing w:before="0" w:after="40" w:line="259" w:lineRule="auto"/>
      </w:pPr>
      <w:r>
        <w:rPr>
          <w:rFonts w:ascii="Aptos" w:hAnsi="Aptos" w:eastAsia="Aptos"/>
        </w:rPr>
        <w:t>Canal de despliegue: web, móvil, escritorio o combinación.</w:t>
      </w:r>
    </w:p>
    <w:p>
      <w:pPr>
        <w:pStyle w:val="ListBullet"/>
        <w:spacing w:before="0" w:after="40" w:line="259" w:lineRule="auto"/>
      </w:pPr>
      <w:r>
        <w:rPr>
          <w:rFonts w:ascii="Aptos" w:hAnsi="Aptos" w:eastAsia="Aptos"/>
        </w:rPr>
        <w:t>Número, tipo y complejidad de los modelos que se administrarán.</w:t>
      </w:r>
    </w:p>
    <w:p>
      <w:pPr>
        <w:pStyle w:val="ListBullet"/>
        <w:spacing w:before="0" w:after="40" w:line="259" w:lineRule="auto"/>
      </w:pPr>
      <w:r>
        <w:rPr>
          <w:rFonts w:ascii="Aptos" w:hAnsi="Aptos" w:eastAsia="Aptos"/>
        </w:rPr>
        <w:t>Métodos de amortización, tasas, calendarios y componentes contractuales requeridos.</w:t>
      </w:r>
    </w:p>
    <w:p>
      <w:pPr>
        <w:pStyle w:val="ListBullet"/>
        <w:spacing w:before="0" w:after="40" w:line="259" w:lineRule="auto"/>
      </w:pPr>
      <w:r>
        <w:rPr>
          <w:rFonts w:ascii="Aptos" w:hAnsi="Aptos" w:eastAsia="Aptos"/>
        </w:rPr>
        <w:t>Definición corporativa exacta del CFADS y de la caja mínima.</w:t>
      </w:r>
    </w:p>
    <w:p>
      <w:pPr>
        <w:pStyle w:val="ListBullet"/>
        <w:spacing w:before="0" w:after="40" w:line="259" w:lineRule="auto"/>
      </w:pPr>
      <w:r>
        <w:rPr>
          <w:rFonts w:ascii="Aptos" w:hAnsi="Aptos" w:eastAsia="Aptos"/>
        </w:rPr>
        <w:t>Tipos de covenants distintos al DSCR que deben incluirse.</w:t>
      </w:r>
    </w:p>
    <w:p>
      <w:pPr>
        <w:pStyle w:val="ListBullet"/>
        <w:spacing w:before="0" w:after="40" w:line="259" w:lineRule="auto"/>
      </w:pPr>
      <w:r>
        <w:rPr>
          <w:rFonts w:ascii="Aptos" w:hAnsi="Aptos" w:eastAsia="Aptos"/>
        </w:rPr>
        <w:t>Formato real de exportación e importación de Risk Simulator y versión instalada.</w:t>
      </w:r>
    </w:p>
    <w:p>
      <w:pPr>
        <w:pStyle w:val="ListBullet"/>
        <w:spacing w:before="0" w:after="40" w:line="259" w:lineRule="auto"/>
      </w:pPr>
      <w:r>
        <w:rPr>
          <w:rFonts w:ascii="Aptos" w:hAnsi="Aptos" w:eastAsia="Aptos"/>
        </w:rPr>
        <w:t>Licenciamiento vigente y posibilidad de SDK/OEM.</w:t>
      </w:r>
    </w:p>
    <w:p>
      <w:pPr>
        <w:pStyle w:val="ListBullet"/>
        <w:spacing w:before="0" w:after="40" w:line="259" w:lineRule="auto"/>
      </w:pPr>
      <w:r>
        <w:rPr>
          <w:rFonts w:ascii="Aptos" w:hAnsi="Aptos" w:eastAsia="Aptos"/>
        </w:rPr>
        <w:t>Autoridad que firma o valida certificados internos.</w:t>
      </w:r>
    </w:p>
    <w:p>
      <w:pPr>
        <w:pStyle w:val="ListBullet"/>
        <w:spacing w:before="0" w:after="40" w:line="259" w:lineRule="auto"/>
      </w:pPr>
      <w:r>
        <w:rPr>
          <w:rFonts w:ascii="Aptos" w:hAnsi="Aptos" w:eastAsia="Aptos"/>
        </w:rPr>
        <w:t>Política de retención, respaldo y eliminación de datos.</w:t>
      </w:r>
    </w:p>
    <w:p>
      <w:pPr>
        <w:pStyle w:val="ListBullet"/>
        <w:spacing w:before="0" w:after="40" w:line="259" w:lineRule="auto"/>
      </w:pPr>
      <w:r>
        <w:rPr>
          <w:rFonts w:ascii="Aptos" w:hAnsi="Aptos" w:eastAsia="Aptos"/>
        </w:rPr>
        <w:t>Grupo contable y finalidad de los reportes para cada despliegue.</w:t>
      </w:r>
    </w:p>
    <w:p>
      <w:pPr>
        <w:pStyle w:val="ListBullet"/>
        <w:spacing w:before="0" w:after="40" w:line="259" w:lineRule="auto"/>
      </w:pPr>
      <w:r>
        <w:rPr>
          <w:rFonts w:ascii="Aptos" w:hAnsi="Aptos" w:eastAsia="Aptos"/>
        </w:rPr>
        <w:t>Fuentes de datos y sistemas con los que se integrará la app.</w:t>
      </w:r>
    </w:p>
    <w:p>
      <w:pPr>
        <w:pStyle w:val="ListBullet"/>
        <w:spacing w:before="0" w:after="40" w:line="259" w:lineRule="auto"/>
      </w:pPr>
      <w:r>
        <w:rPr>
          <w:rFonts w:ascii="Aptos" w:hAnsi="Aptos" w:eastAsia="Aptos"/>
        </w:rPr>
        <w:t>Métricas no funcionales: volumen, concurrencia, tiempos, disponibilidad y recuperación.</w:t>
      </w:r>
    </w:p>
    <w:p>
      <w:pPr>
        <w:pStyle w:val="ListBullet"/>
        <w:spacing w:before="0" w:after="40" w:line="259" w:lineRule="auto"/>
      </w:pPr>
      <w:r>
        <w:rPr>
          <w:rFonts w:ascii="Aptos" w:hAnsi="Aptos" w:eastAsia="Aptos"/>
        </w:rPr>
        <w:t>Transcripciones adicionales del curso, en caso de existir, para ampliar conceptos, autores y métodos.</w:t>
      </w:r>
    </w:p>
    <w:tbl>
      <w:tblPr>
        <w:tblW w:type="auto" w:w="0"/>
        <w:jc w:val="center"/>
        <w:tblLayout w:type="autofit"/>
        <w:tblLook w:firstColumn="1" w:firstRow="1" w:lastColumn="0" w:lastRow="0" w:noHBand="0" w:noVBand="1" w:val="04A0"/>
      </w:tblPr>
      <w:tblGrid>
        <w:gridCol w:w="9922"/>
      </w:tblGrid>
      <w:tr>
        <w:trPr>
          <w:cantSplit/>
        </w:trPr>
        <w:tc>
          <w:tcPr>
            <w:tcW w:type="dxa" w:w="9922"/>
            <w:shd w:fill="EAF7EF"/>
            <w:tcBorders>
              <w:top w:sz="8" w:val="single" w:color="18794E"/>
              <w:left w:sz="22" w:val="single" w:color="18794E"/>
              <w:bottom w:sz="8" w:val="single" w:color="18794E"/>
              <w:right w:sz="8" w:val="single" w:color="18794E"/>
            </w:tcBorders>
            <w:tcMar>
              <w:top w:w="120" w:type="dxa"/>
              <w:start w:w="180" w:type="dxa"/>
              <w:bottom w:w="120" w:type="dxa"/>
              <w:end w:w="160" w:type="dxa"/>
            </w:tcMar>
          </w:tcPr>
          <w:p>
            <w:pPr>
              <w:spacing w:after="40"/>
            </w:pPr>
            <w:r>
              <w:rPr>
                <w:rFonts w:ascii="Aptos" w:hAnsi="Aptos" w:eastAsia="Aptos"/>
                <w:b/>
                <w:color w:val="18794E"/>
                <w:sz w:val="20"/>
              </w:rPr>
              <w:t>Conclusión técnica</w:t>
            </w:r>
          </w:p>
          <w:p>
            <w:pPr>
              <w:spacing w:before="0" w:after="0" w:line="247" w:lineRule="auto"/>
            </w:pPr>
            <w:r>
              <w:rPr>
                <w:rFonts w:ascii="Aptos" w:hAnsi="Aptos" w:eastAsia="Aptos"/>
                <w:color w:val="263238"/>
                <w:sz w:val="18"/>
              </w:rPr>
              <w:t>Con el material aportado es posible construir un MVP coherente y trazable centrado en deuda, cobertura, capacidad, liquidez, simulación, auditoría y formación. No es técnicamente responsable ampliar el producto hacia valoración integral, impuestos, estados financieros completos o crédito automático sin nuevas fuentes o decisiones de alcance.</w:t>
            </w:r>
          </w:p>
        </w:tc>
      </w:tr>
    </w:tbl>
    <w:p>
      <w:pPr>
        <w:spacing w:after="0"/>
      </w:pPr>
    </w:p>
    <w:p>
      <w:pPr>
        <w:sectPr>
          <w:pgSz w:w="11906" w:h="16838"/>
          <w:pgMar w:top="1020" w:right="992" w:bottom="964" w:left="992" w:header="397" w:footer="340" w:gutter="0"/>
          <w:cols w:space="720"/>
          <w:docGrid w:linePitch="360"/>
        </w:sectPr>
      </w:pPr>
    </w:p>
    <w:p>
      <w:pPr>
        <w:pStyle w:val="Heading1"/>
        <w:keepNext/>
        <w:spacing w:before="160" w:after="80"/>
      </w:pPr>
      <w:r>
        <w:rPr>
          <w:rFonts w:ascii="Aptos Display" w:hAnsi="Aptos Display" w:eastAsia="Aptos Display"/>
          <w:b/>
          <w:color w:val="4B2E83"/>
        </w:rPr>
        <w:t>13. Matriz de trazabilidad y fuentes</w:t>
      </w:r>
    </w:p>
    <w:p>
      <w:pPr>
        <w:pStyle w:val="Heading2"/>
        <w:keepNext/>
        <w:spacing w:before="100" w:after="80"/>
      </w:pPr>
      <w:r>
        <w:rPr>
          <w:rFonts w:ascii="Aptos Display" w:hAnsi="Aptos Display" w:eastAsia="Aptos Display"/>
          <w:b/>
          <w:color w:val="263238"/>
        </w:rPr>
        <w:t>13.1 Trazabilidad de temas a módulos</w:t>
      </w:r>
    </w:p>
    <w:tbl>
      <w:tblPr>
        <w:tblW w:type="auto" w:w="0"/>
        <w:jc w:val="center"/>
        <w:tblLayout w:type="fixed"/>
        <w:tblLook w:firstColumn="1" w:firstRow="1" w:lastColumn="0" w:lastRow="0" w:noHBand="0" w:noVBand="1" w:val="04A0"/>
      </w:tblPr>
      <w:tblGrid>
        <w:gridCol w:w="3812"/>
        <w:gridCol w:w="3812"/>
        <w:gridCol w:w="3812"/>
        <w:gridCol w:w="3812"/>
      </w:tblGrid>
      <w:tr>
        <w:trPr>
          <w:tblHeader w:val="true"/>
          <w:cantSplit/>
        </w:trPr>
        <w:tc>
          <w:tcPr>
            <w:tcW w:type="dxa" w:w="3741"/>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Tema</w:t>
            </w:r>
          </w:p>
        </w:tc>
        <w:tc>
          <w:tcPr>
            <w:tcW w:type="dxa" w:w="1530"/>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Origen</w:t>
            </w:r>
          </w:p>
        </w:tc>
        <w:tc>
          <w:tcPr>
            <w:tcW w:type="dxa" w:w="4705"/>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Ubicación</w:t>
            </w:r>
          </w:p>
        </w:tc>
        <w:tc>
          <w:tcPr>
            <w:tcW w:type="dxa" w:w="4535"/>
            <w:shd w:fill="4B2E83"/>
            <w:tcMar>
              <w:top w:w="90" w:type="dxa"/>
              <w:start w:w="90" w:type="dxa"/>
              <w:bottom w:w="90" w:type="dxa"/>
              <w:end w:w="90" w:type="dxa"/>
            </w:tcMar>
            <w:vAlign w:val="center"/>
            <w:tcBorders>
              <w:top w:sz="4" w:val="single" w:color="D9DCE1"/>
              <w:left w:sz="4" w:val="single" w:color="D9DCE1"/>
              <w:bottom w:sz="4" w:val="single" w:color="D9DCE1"/>
              <w:right w:sz="4" w:val="single" w:color="D9DCE1"/>
            </w:tcBorders>
          </w:tcPr>
          <w:p>
            <w:pPr>
              <w:spacing w:before="0" w:after="0" w:line="240" w:lineRule="auto"/>
              <w:jc w:val="left"/>
            </w:pPr>
            <w:r>
              <w:rPr>
                <w:rFonts w:ascii="Aptos" w:hAnsi="Aptos" w:eastAsia="Aptos"/>
                <w:b/>
                <w:color w:val="FFFFFF"/>
                <w:sz w:val="14"/>
              </w:rPr>
              <w:t>Resultado</w:t>
            </w:r>
          </w:p>
        </w:tc>
      </w:tr>
      <w:tr>
        <w:trPr>
          <w:cantSplit/>
        </w:trPr>
        <w:tc>
          <w:tcPr>
            <w:tcW w:type="dxa" w:w="374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Comportamiento y repago de la deuda</w:t>
            </w:r>
          </w:p>
        </w:tc>
        <w:tc>
          <w:tcPr>
            <w:tcW w:type="dxa" w:w="153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[T-01]</w:t>
            </w:r>
          </w:p>
        </w:tc>
        <w:tc>
          <w:tcPr>
            <w:tcW w:type="dxa" w:w="470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U2; MF-06; RF-011/RF-012</w:t>
            </w:r>
          </w:p>
        </w:tc>
        <w:tc>
          <w:tcPr>
            <w:tcW w:type="dxa" w:w="453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Calendario, saldo y servicio.</w:t>
            </w:r>
          </w:p>
        </w:tc>
      </w:tr>
      <w:tr>
        <w:trPr>
          <w:cantSplit/>
        </w:trPr>
        <w:tc>
          <w:tcPr>
            <w:tcW w:type="dxa" w:w="374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Flujo disponible dividido por cuota</w:t>
            </w:r>
          </w:p>
        </w:tc>
        <w:tc>
          <w:tcPr>
            <w:tcW w:type="dxa" w:w="153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[T-01]</w:t>
            </w:r>
          </w:p>
        </w:tc>
        <w:tc>
          <w:tcPr>
            <w:tcW w:type="dxa" w:w="470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U3; MF-07; RF-013</w:t>
            </w:r>
          </w:p>
        </w:tc>
        <w:tc>
          <w:tcPr>
            <w:tcW w:type="dxa" w:w="453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CFADS/DSCR.</w:t>
            </w:r>
          </w:p>
        </w:tc>
      </w:tr>
      <w:tr>
        <w:trPr>
          <w:cantSplit/>
        </w:trPr>
        <w:tc>
          <w:tcPr>
            <w:tcW w:type="dxa" w:w="374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Restricción del banco</w:t>
            </w:r>
          </w:p>
        </w:tc>
        <w:tc>
          <w:tcPr>
            <w:tcW w:type="dxa" w:w="153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[T-01]</w:t>
            </w:r>
          </w:p>
        </w:tc>
        <w:tc>
          <w:tcPr>
            <w:tcW w:type="dxa" w:w="470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U4; MF-07; RF-014/RF-015</w:t>
            </w:r>
          </w:p>
        </w:tc>
        <w:tc>
          <w:tcPr>
            <w:tcW w:type="dxa" w:w="453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Covenant parametrizable.</w:t>
            </w:r>
          </w:p>
        </w:tc>
      </w:tr>
      <w:tr>
        <w:trPr>
          <w:cantSplit/>
        </w:trPr>
        <w:tc>
          <w:tcPr>
            <w:tcW w:type="dxa" w:w="374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Capacidad de endeudamiento</w:t>
            </w:r>
          </w:p>
        </w:tc>
        <w:tc>
          <w:tcPr>
            <w:tcW w:type="dxa" w:w="153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[T-01]</w:t>
            </w:r>
          </w:p>
        </w:tc>
        <w:tc>
          <w:tcPr>
            <w:tcW w:type="dxa" w:w="470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U4; motor de capacidad</w:t>
            </w:r>
          </w:p>
        </w:tc>
        <w:tc>
          <w:tcPr>
            <w:tcW w:type="dxa" w:w="453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Máximo factible.</w:t>
            </w:r>
          </w:p>
        </w:tc>
      </w:tr>
      <w:tr>
        <w:trPr>
          <w:cantSplit/>
        </w:trPr>
        <w:tc>
          <w:tcPr>
            <w:tcW w:type="dxa" w:w="374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Conservar liquidez y evitar crisis</w:t>
            </w:r>
          </w:p>
        </w:tc>
        <w:tc>
          <w:tcPr>
            <w:tcW w:type="dxa" w:w="153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[T-01]</w:t>
            </w:r>
          </w:p>
        </w:tc>
        <w:tc>
          <w:tcPr>
            <w:tcW w:type="dxa" w:w="470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U5; MF-08; RF-016</w:t>
            </w:r>
          </w:p>
        </w:tc>
        <w:tc>
          <w:tcPr>
            <w:tcW w:type="dxa" w:w="453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Caja mínima y alerta.</w:t>
            </w:r>
          </w:p>
        </w:tc>
      </w:tr>
      <w:tr>
        <w:trPr>
          <w:cantSplit/>
        </w:trPr>
        <w:tc>
          <w:tcPr>
            <w:tcW w:type="dxa" w:w="374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Practicar muchos modelos</w:t>
            </w:r>
          </w:p>
        </w:tc>
        <w:tc>
          <w:tcPr>
            <w:tcW w:type="dxa" w:w="153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[T-02]</w:t>
            </w:r>
          </w:p>
        </w:tc>
        <w:tc>
          <w:tcPr>
            <w:tcW w:type="dxa" w:w="470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U7; laboratorio</w:t>
            </w:r>
          </w:p>
        </w:tc>
        <w:tc>
          <w:tcPr>
            <w:tcW w:type="dxa" w:w="453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Práctica deliberada.</w:t>
            </w:r>
          </w:p>
        </w:tc>
      </w:tr>
      <w:tr>
        <w:trPr>
          <w:cantSplit/>
        </w:trPr>
        <w:tc>
          <w:tcPr>
            <w:tcW w:type="dxa" w:w="374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Máquina del tiempo</w:t>
            </w:r>
          </w:p>
        </w:tc>
        <w:tc>
          <w:tcPr>
            <w:tcW w:type="dxa" w:w="153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[T-02]</w:t>
            </w:r>
          </w:p>
        </w:tc>
        <w:tc>
          <w:tcPr>
            <w:tcW w:type="dxa" w:w="470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U7; MF-10; RF-024</w:t>
            </w:r>
          </w:p>
        </w:tc>
        <w:tc>
          <w:tcPr>
            <w:tcW w:type="dxa" w:w="453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Backtesting.</w:t>
            </w:r>
          </w:p>
        </w:tc>
      </w:tr>
      <w:tr>
        <w:trPr>
          <w:cantSplit/>
        </w:trPr>
        <w:tc>
          <w:tcPr>
            <w:tcW w:type="dxa" w:w="374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Auditar errores</w:t>
            </w:r>
          </w:p>
        </w:tc>
        <w:tc>
          <w:tcPr>
            <w:tcW w:type="dxa" w:w="153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[T-02]</w:t>
            </w:r>
          </w:p>
        </w:tc>
        <w:tc>
          <w:tcPr>
            <w:tcW w:type="dxa" w:w="470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U7; RF-022/RF-025</w:t>
            </w:r>
          </w:p>
        </w:tc>
        <w:tc>
          <w:tcPr>
            <w:tcW w:type="dxa" w:w="453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Revisión y bitácora.</w:t>
            </w:r>
          </w:p>
        </w:tc>
      </w:tr>
      <w:tr>
        <w:trPr>
          <w:cantSplit/>
        </w:trPr>
        <w:tc>
          <w:tcPr>
            <w:tcW w:type="dxa" w:w="374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Curiosidad y visión global</w:t>
            </w:r>
          </w:p>
        </w:tc>
        <w:tc>
          <w:tcPr>
            <w:tcW w:type="dxa" w:w="153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[T-02]</w:t>
            </w:r>
          </w:p>
        </w:tc>
        <w:tc>
          <w:tcPr>
            <w:tcW w:type="dxa" w:w="470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U1/U8</w:t>
            </w:r>
          </w:p>
        </w:tc>
        <w:tc>
          <w:tcPr>
            <w:tcW w:type="dxa" w:w="453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Fuentes y discusión.</w:t>
            </w:r>
          </w:p>
        </w:tc>
      </w:tr>
      <w:tr>
        <w:trPr>
          <w:cantSplit/>
        </w:trPr>
        <w:tc>
          <w:tcPr>
            <w:tcW w:type="dxa" w:w="374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Finanzas y estrategia como tema social</w:t>
            </w:r>
          </w:p>
        </w:tc>
        <w:tc>
          <w:tcPr>
            <w:tcW w:type="dxa" w:w="153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[T-03]</w:t>
            </w:r>
          </w:p>
        </w:tc>
        <w:tc>
          <w:tcPr>
            <w:tcW w:type="dxa" w:w="470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U8; MF-11; RF-028</w:t>
            </w:r>
          </w:p>
        </w:tc>
        <w:tc>
          <w:tcPr>
            <w:tcW w:type="dxa" w:w="453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Comentarios y decisión.</w:t>
            </w:r>
          </w:p>
        </w:tc>
      </w:tr>
      <w:tr>
        <w:trPr>
          <w:cantSplit/>
        </w:trPr>
        <w:tc>
          <w:tcPr>
            <w:tcW w:type="dxa" w:w="374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Lectura y pensamiento crítico</w:t>
            </w:r>
          </w:p>
        </w:tc>
        <w:tc>
          <w:tcPr>
            <w:tcW w:type="dxa" w:w="153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[T-03]</w:t>
            </w:r>
          </w:p>
        </w:tc>
        <w:tc>
          <w:tcPr>
            <w:tcW w:type="dxa" w:w="470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U8</w:t>
            </w:r>
          </w:p>
        </w:tc>
        <w:tc>
          <w:tcPr>
            <w:tcW w:type="dxa" w:w="453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Materiales y reflexión.</w:t>
            </w:r>
          </w:p>
        </w:tc>
      </w:tr>
      <w:tr>
        <w:trPr>
          <w:cantSplit/>
        </w:trPr>
        <w:tc>
          <w:tcPr>
            <w:tcW w:type="dxa" w:w="374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Riesgo calculado y entorno externo</w:t>
            </w:r>
          </w:p>
        </w:tc>
        <w:tc>
          <w:tcPr>
            <w:tcW w:type="dxa" w:w="153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[T-03]</w:t>
            </w:r>
          </w:p>
        </w:tc>
        <w:tc>
          <w:tcPr>
            <w:tcW w:type="dxa" w:w="470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U6/U8; MF-09</w:t>
            </w:r>
          </w:p>
        </w:tc>
        <w:tc>
          <w:tcPr>
            <w:tcW w:type="dxa" w:w="453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Simulación y riesgo residual.</w:t>
            </w:r>
          </w:p>
        </w:tc>
      </w:tr>
      <w:tr>
        <w:trPr>
          <w:cantSplit/>
        </w:trPr>
        <w:tc>
          <w:tcPr>
            <w:tcW w:type="dxa" w:w="374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Aprobación 80 %</w:t>
            </w:r>
          </w:p>
        </w:tc>
        <w:tc>
          <w:tcPr>
            <w:tcW w:type="dxa" w:w="153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[R-03]</w:t>
            </w:r>
          </w:p>
        </w:tc>
        <w:tc>
          <w:tcPr>
            <w:tcW w:type="dxa" w:w="470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MF-03; RF-003</w:t>
            </w:r>
          </w:p>
        </w:tc>
        <w:tc>
          <w:tcPr>
            <w:tcW w:type="dxa" w:w="453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Examen certificable.</w:t>
            </w:r>
          </w:p>
        </w:tc>
      </w:tr>
      <w:tr>
        <w:trPr>
          <w:cantSplit/>
        </w:trPr>
        <w:tc>
          <w:tcPr>
            <w:tcW w:type="dxa" w:w="374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Corrección y repregunta diferente</w:t>
            </w:r>
          </w:p>
        </w:tc>
        <w:tc>
          <w:tcPr>
            <w:tcW w:type="dxa" w:w="153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[R-03]</w:t>
            </w:r>
          </w:p>
        </w:tc>
        <w:tc>
          <w:tcPr>
            <w:tcW w:type="dxa" w:w="470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MF-03; RF-004/RF-005</w:t>
            </w:r>
          </w:p>
        </w:tc>
        <w:tc>
          <w:tcPr>
            <w:tcW w:type="dxa" w:w="453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Motor adaptativo.</w:t>
            </w:r>
          </w:p>
        </w:tc>
      </w:tr>
      <w:tr>
        <w:trPr>
          <w:cantSplit/>
        </w:trPr>
        <w:tc>
          <w:tcPr>
            <w:tcW w:type="dxa" w:w="3741"/>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Certificado con nombre, cargo y resultado</w:t>
            </w:r>
          </w:p>
        </w:tc>
        <w:tc>
          <w:tcPr>
            <w:tcW w:type="dxa" w:w="1530"/>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[R-04]</w:t>
            </w:r>
          </w:p>
        </w:tc>
        <w:tc>
          <w:tcPr>
            <w:tcW w:type="dxa" w:w="470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MF-04; RF-007/RF-008</w:t>
            </w:r>
          </w:p>
        </w:tc>
        <w:tc>
          <w:tcPr>
            <w:tcW w:type="dxa" w:w="4535"/>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PDF verificable.</w:t>
            </w:r>
          </w:p>
        </w:tc>
      </w:tr>
      <w:tr>
        <w:trPr>
          <w:cantSplit/>
        </w:trPr>
        <w:tc>
          <w:tcPr>
            <w:tcW w:type="dxa" w:w="3741"/>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Risk Simulator</w:t>
            </w:r>
          </w:p>
        </w:tc>
        <w:tc>
          <w:tcPr>
            <w:tcW w:type="dxa" w:w="1530"/>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[R-05]</w:t>
            </w:r>
          </w:p>
        </w:tc>
        <w:tc>
          <w:tcPr>
            <w:tcW w:type="dxa" w:w="470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U6; MF-09; RF-018–RF-021</w:t>
            </w:r>
          </w:p>
        </w:tc>
        <w:tc>
          <w:tcPr>
            <w:tcW w:type="dxa" w:w="4535"/>
            <w:shd w:fill="FAFAFB"/>
            <w:tcMar>
              <w:top w:w="75" w:type="dxa"/>
              <w:start w:w="85" w:type="dxa"/>
              <w:bottom w:w="75" w:type="dxa"/>
              <w:end w:w="85" w:type="dxa"/>
            </w:tcMar>
            <w:vAlign w:val="top"/>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color w:val="263238"/>
                <w:sz w:val="14"/>
              </w:rPr>
              <w:t>Interoperabilidad.</w:t>
            </w:r>
          </w:p>
        </w:tc>
      </w:tr>
    </w:tbl>
    <w:p>
      <w:pPr>
        <w:spacing w:after="20"/>
      </w:pPr>
    </w:p>
    <w:p>
      <w:r>
        <w:br w:type="page"/>
      </w:r>
    </w:p>
    <w:p>
      <w:pPr>
        <w:pStyle w:val="Heading2"/>
        <w:keepNext/>
        <w:spacing w:before="100" w:after="80"/>
      </w:pPr>
      <w:r>
        <w:rPr>
          <w:rFonts w:ascii="Aptos Display" w:hAnsi="Aptos Display" w:eastAsia="Aptos Display"/>
          <w:b/>
          <w:color w:val="263238"/>
        </w:rPr>
        <w:t>13.2 Registro de fuentes</w:t>
      </w:r>
    </w:p>
    <w:tbl>
      <w:tblPr>
        <w:tblW w:type="auto" w:w="0"/>
        <w:jc w:val="center"/>
        <w:tblLayout w:type="fixed"/>
        <w:tblLook w:firstColumn="1" w:firstRow="1" w:lastColumn="0" w:lastRow="0" w:noHBand="0" w:noVBand="1" w:val="04A0"/>
      </w:tblPr>
      <w:tblGrid>
        <w:gridCol w:w="3812"/>
        <w:gridCol w:w="3812"/>
        <w:gridCol w:w="3812"/>
        <w:gridCol w:w="3812"/>
      </w:tblGrid>
      <w:tr>
        <w:trPr>
          <w:tblHeader w:val="true"/>
        </w:trPr>
        <w:tc>
          <w:tcPr>
            <w:tcW w:type="dxa" w:w="1020"/>
            <w:shd w:fill="4B2E83"/>
            <w:tcMar>
              <w:top w:w="80" w:type="dxa"/>
              <w:start w:w="80" w:type="dxa"/>
              <w:bottom w:w="80" w:type="dxa"/>
              <w:end w:w="80" w:type="dxa"/>
            </w:tcMar>
            <w:tcBorders>
              <w:top w:sz="4" w:val="single" w:color="D9DCE1"/>
              <w:left w:sz="4" w:val="single" w:color="D9DCE1"/>
              <w:bottom w:sz="4" w:val="single" w:color="D9DCE1"/>
              <w:right w:sz="4" w:val="single" w:color="D9DCE1"/>
            </w:tcBorders>
          </w:tcPr>
          <w:p>
            <w:r>
              <w:rPr>
                <w:rFonts w:ascii="Aptos" w:hAnsi="Aptos" w:eastAsia="Aptos"/>
                <w:b/>
                <w:color w:val="FFFFFF"/>
                <w:sz w:val="14"/>
              </w:rPr>
              <w:t>ID</w:t>
            </w:r>
          </w:p>
        </w:tc>
        <w:tc>
          <w:tcPr>
            <w:tcW w:type="dxa" w:w="6009"/>
            <w:shd w:fill="4B2E83"/>
            <w:tcMar>
              <w:top w:w="80" w:type="dxa"/>
              <w:start w:w="80" w:type="dxa"/>
              <w:bottom w:w="80" w:type="dxa"/>
              <w:end w:w="80" w:type="dxa"/>
            </w:tcMar>
            <w:tcBorders>
              <w:top w:sz="4" w:val="single" w:color="D9DCE1"/>
              <w:left w:sz="4" w:val="single" w:color="D9DCE1"/>
              <w:bottom w:sz="4" w:val="single" w:color="D9DCE1"/>
              <w:right w:sz="4" w:val="single" w:color="D9DCE1"/>
            </w:tcBorders>
          </w:tcPr>
          <w:p>
            <w:r>
              <w:rPr>
                <w:rFonts w:ascii="Aptos" w:hAnsi="Aptos" w:eastAsia="Aptos"/>
                <w:b/>
                <w:color w:val="FFFFFF"/>
                <w:sz w:val="14"/>
              </w:rPr>
              <w:t>Fuente</w:t>
            </w:r>
          </w:p>
        </w:tc>
        <w:tc>
          <w:tcPr>
            <w:tcW w:type="dxa" w:w="5385"/>
            <w:shd w:fill="4B2E83"/>
            <w:tcMar>
              <w:top w:w="80" w:type="dxa"/>
              <w:start w:w="80" w:type="dxa"/>
              <w:bottom w:w="80" w:type="dxa"/>
              <w:end w:w="80" w:type="dxa"/>
            </w:tcMar>
            <w:tcBorders>
              <w:top w:sz="4" w:val="single" w:color="D9DCE1"/>
              <w:left w:sz="4" w:val="single" w:color="D9DCE1"/>
              <w:bottom w:sz="4" w:val="single" w:color="D9DCE1"/>
              <w:right w:sz="4" w:val="single" w:color="D9DCE1"/>
            </w:tcBorders>
          </w:tcPr>
          <w:p>
            <w:r>
              <w:rPr>
                <w:rFonts w:ascii="Aptos" w:hAnsi="Aptos" w:eastAsia="Aptos"/>
                <w:b/>
                <w:color w:val="FFFFFF"/>
                <w:sz w:val="14"/>
              </w:rPr>
              <w:t>Uso</w:t>
            </w:r>
          </w:p>
        </w:tc>
        <w:tc>
          <w:tcPr>
            <w:tcW w:type="dxa" w:w="2267"/>
            <w:shd w:fill="4B2E83"/>
            <w:tcMar>
              <w:top w:w="80" w:type="dxa"/>
              <w:start w:w="80" w:type="dxa"/>
              <w:bottom w:w="80" w:type="dxa"/>
              <w:end w:w="80" w:type="dxa"/>
            </w:tcMar>
            <w:tcBorders>
              <w:top w:sz="4" w:val="single" w:color="D9DCE1"/>
              <w:left w:sz="4" w:val="single" w:color="D9DCE1"/>
              <w:bottom w:sz="4" w:val="single" w:color="D9DCE1"/>
              <w:right w:sz="4" w:val="single" w:color="D9DCE1"/>
            </w:tcBorders>
          </w:tcPr>
          <w:p>
            <w:r>
              <w:rPr>
                <w:rFonts w:ascii="Aptos" w:hAnsi="Aptos" w:eastAsia="Aptos"/>
                <w:b/>
                <w:color w:val="FFFFFF"/>
                <w:sz w:val="14"/>
              </w:rPr>
              <w:t>Acceso</w:t>
            </w:r>
          </w:p>
        </w:tc>
      </w:tr>
      <w:tr>
        <w:tc>
          <w:tcPr>
            <w:tcW w:type="dxa" w:w="1020"/>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[T-01]</w:t>
            </w:r>
          </w:p>
        </w:tc>
        <w:tc>
          <w:tcPr>
            <w:tcW w:type="dxa" w:w="6009"/>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Transcripción Rehavid, 02:10:14–02:10:48. Fuente primaria aportada por el usuario.</w:t>
            </w:r>
          </w:p>
        </w:tc>
        <w:tc>
          <w:tcPr>
            <w:tcW w:type="dxa" w:w="5385"/>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Deuda, DSCR, restricción, capacidad y liquidez.</w:t>
            </w:r>
          </w:p>
        </w:tc>
        <w:tc>
          <w:tcPr>
            <w:tcW w:type="dxa" w:w="2267"/>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Insumo interno</w:t>
            </w:r>
          </w:p>
        </w:tc>
      </w:tr>
      <w:tr>
        <w:tc>
          <w:tcPr>
            <w:tcW w:type="dxa" w:w="1020"/>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[T-02]</w:t>
            </w:r>
          </w:p>
        </w:tc>
        <w:tc>
          <w:tcPr>
            <w:tcW w:type="dxa" w:w="6009"/>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Transcripción Rehavid, 02:11:06–02:11:36. Fuente primaria aportada por el usuario.</w:t>
            </w:r>
          </w:p>
        </w:tc>
        <w:tc>
          <w:tcPr>
            <w:tcW w:type="dxa" w:w="5385"/>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Práctica, backtesting, auditoría y curiosidad.</w:t>
            </w:r>
          </w:p>
        </w:tc>
        <w:tc>
          <w:tcPr>
            <w:tcW w:type="dxa" w:w="2267"/>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Insumo interno</w:t>
            </w:r>
          </w:p>
        </w:tc>
      </w:tr>
      <w:tr>
        <w:tc>
          <w:tcPr>
            <w:tcW w:type="dxa" w:w="1020"/>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[T-03]</w:t>
            </w:r>
          </w:p>
        </w:tc>
        <w:tc>
          <w:tcPr>
            <w:tcW w:type="dxa" w:w="6009"/>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Transcripción Rehavid, 02:12:14–02:13:20. Fuente primaria aportada por el usuario.</w:t>
            </w:r>
          </w:p>
        </w:tc>
        <w:tc>
          <w:tcPr>
            <w:tcW w:type="dxa" w:w="5385"/>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Estrategia, lectura, riesgo calculado y entorno.</w:t>
            </w:r>
          </w:p>
        </w:tc>
        <w:tc>
          <w:tcPr>
            <w:tcW w:type="dxa" w:w="2267"/>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Insumo interno</w:t>
            </w:r>
          </w:p>
        </w:tc>
      </w:tr>
      <w:tr>
        <w:tc>
          <w:tcPr>
            <w:tcW w:type="dxa" w:w="1020"/>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[R-03]</w:t>
            </w:r>
          </w:p>
        </w:tc>
        <w:tc>
          <w:tcPr>
            <w:tcW w:type="dxa" w:w="6009"/>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Requisito Rehavid: evaluación adaptativa y aprobación. Instrucción directa.</w:t>
            </w:r>
          </w:p>
        </w:tc>
        <w:tc>
          <w:tcPr>
            <w:tcW w:type="dxa" w:w="5385"/>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Umbral del 80 %, corrección y repregunta.</w:t>
            </w:r>
          </w:p>
        </w:tc>
        <w:tc>
          <w:tcPr>
            <w:tcW w:type="dxa" w:w="2267"/>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Insumo interno</w:t>
            </w:r>
          </w:p>
        </w:tc>
      </w:tr>
      <w:tr>
        <w:tc>
          <w:tcPr>
            <w:tcW w:type="dxa" w:w="1020"/>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[R-04]</w:t>
            </w:r>
          </w:p>
        </w:tc>
        <w:tc>
          <w:tcPr>
            <w:tcW w:type="dxa" w:w="6009"/>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Requisito Rehavid: certificado. Instrucción directa.</w:t>
            </w:r>
          </w:p>
        </w:tc>
        <w:tc>
          <w:tcPr>
            <w:tcW w:type="dxa" w:w="5385"/>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Nombre, cargo y resultados.</w:t>
            </w:r>
          </w:p>
        </w:tc>
        <w:tc>
          <w:tcPr>
            <w:tcW w:type="dxa" w:w="2267"/>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Insumo interno</w:t>
            </w:r>
          </w:p>
        </w:tc>
      </w:tr>
      <w:tr>
        <w:tc>
          <w:tcPr>
            <w:tcW w:type="dxa" w:w="1020"/>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[R-05]</w:t>
            </w:r>
          </w:p>
        </w:tc>
        <w:tc>
          <w:tcPr>
            <w:tcW w:type="dxa" w:w="6009"/>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Requisito Rehavid: Risk Simulator. Instrucción directa.</w:t>
            </w:r>
          </w:p>
        </w:tc>
        <w:tc>
          <w:tcPr>
            <w:tcW w:type="dxa" w:w="5385"/>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Uso del complemento de Excel.</w:t>
            </w:r>
          </w:p>
        </w:tc>
        <w:tc>
          <w:tcPr>
            <w:tcW w:type="dxa" w:w="2267"/>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Insumo interno</w:t>
            </w:r>
          </w:p>
        </w:tc>
      </w:tr>
      <w:tr>
        <w:tc>
          <w:tcPr>
            <w:tcW w:type="dxa" w:w="1020"/>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[F-01]</w:t>
            </w:r>
          </w:p>
        </w:tc>
        <w:tc>
          <w:tcPr>
            <w:tcW w:type="dxa" w:w="6009"/>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World Bank. Modernization and restructuring of the road sector — Implementation Status &amp; Results Report. Banco Mundial, 2019.</w:t>
            </w:r>
          </w:p>
        </w:tc>
        <w:tc>
          <w:tcPr>
            <w:tcW w:type="dxa" w:w="5385"/>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CFADS, servicio de deuda y DSCR.</w:t>
            </w:r>
          </w:p>
        </w:tc>
        <w:tc>
          <w:tcPr>
            <w:tcW w:type="dxa" w:w="2267"/>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hyperlink r:id="rId11">
              <w:r>
                <w:rPr>
                  <w:color w:val="4B2E83"/>
                  <w:u w:val="single"/>
                  <w:rFonts w:ascii="Aptos" w:hAnsi="Aptos"/>
                </w:rPr>
                <w:t>Abrir fuente</w:t>
              </w:r>
            </w:hyperlink>
          </w:p>
        </w:tc>
      </w:tr>
      <w:tr>
        <w:tc>
          <w:tcPr>
            <w:tcW w:type="dxa" w:w="1020"/>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[RS-01]</w:t>
            </w:r>
          </w:p>
        </w:tc>
        <w:tc>
          <w:tcPr>
            <w:tcW w:type="dxa" w:w="6009"/>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Risk Simulator — official product page. Real Options Valuation.</w:t>
            </w:r>
          </w:p>
        </w:tc>
        <w:tc>
          <w:tcPr>
            <w:tcW w:type="dxa" w:w="5385"/>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Simulación, pronóstico, análisis estadístico y optimización en Excel.</w:t>
            </w:r>
          </w:p>
        </w:tc>
        <w:tc>
          <w:tcPr>
            <w:tcW w:type="dxa" w:w="2267"/>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hyperlink r:id="rId12">
              <w:r>
                <w:rPr>
                  <w:color w:val="4B2E83"/>
                  <w:u w:val="single"/>
                  <w:rFonts w:ascii="Aptos" w:hAnsi="Aptos"/>
                </w:rPr>
                <w:t>Abrir fuente</w:t>
              </w:r>
            </w:hyperlink>
          </w:p>
        </w:tc>
      </w:tr>
      <w:tr>
        <w:tc>
          <w:tcPr>
            <w:tcW w:type="dxa" w:w="1020"/>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[RS-02]</w:t>
            </w:r>
          </w:p>
        </w:tc>
        <w:tc>
          <w:tcPr>
            <w:tcW w:type="dxa" w:w="6009"/>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ROV Software Development Kit (SDK-OEM). Real Options Valuation.</w:t>
            </w:r>
          </w:p>
        </w:tc>
        <w:tc>
          <w:tcPr>
            <w:tcW w:type="dxa" w:w="5385"/>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Opciones de integración en software propietario.</w:t>
            </w:r>
          </w:p>
        </w:tc>
        <w:tc>
          <w:tcPr>
            <w:tcW w:type="dxa" w:w="2267"/>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hyperlink r:id="rId13">
              <w:r>
                <w:rPr>
                  <w:color w:val="4B2E83"/>
                  <w:u w:val="single"/>
                  <w:rFonts w:ascii="Aptos" w:hAnsi="Aptos"/>
                </w:rPr>
                <w:t>Abrir fuente</w:t>
              </w:r>
            </w:hyperlink>
          </w:p>
        </w:tc>
      </w:tr>
      <w:tr>
        <w:tc>
          <w:tcPr>
            <w:tcW w:type="dxa" w:w="1020"/>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[MC-01]</w:t>
            </w:r>
          </w:p>
        </w:tc>
        <w:tc>
          <w:tcPr>
            <w:tcW w:type="dxa" w:w="6009"/>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Monte Carlo Tool, version 1.2. NIST, actualización 11 de junio de 2025.</w:t>
            </w:r>
          </w:p>
        </w:tc>
        <w:tc>
          <w:tcPr>
            <w:tcW w:type="dxa" w:w="5385"/>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Variables, distribuciones, iteraciones y muestreo.</w:t>
            </w:r>
          </w:p>
        </w:tc>
        <w:tc>
          <w:tcPr>
            <w:tcW w:type="dxa" w:w="2267"/>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hyperlink r:id="rId14">
              <w:r>
                <w:rPr>
                  <w:color w:val="4B2E83"/>
                  <w:u w:val="single"/>
                  <w:rFonts w:ascii="Aptos" w:hAnsi="Aptos"/>
                </w:rPr>
                <w:t>Abrir fuente</w:t>
              </w:r>
            </w:hyperlink>
          </w:p>
        </w:tc>
      </w:tr>
      <w:tr>
        <w:tc>
          <w:tcPr>
            <w:tcW w:type="dxa" w:w="1020"/>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[MQ-01]</w:t>
            </w:r>
          </w:p>
        </w:tc>
        <w:tc>
          <w:tcPr>
            <w:tcW w:type="dxa" w:w="6009"/>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Twenty principles for good spreadsheet practice — 2024 edition. ICAEW.</w:t>
            </w:r>
          </w:p>
        </w:tc>
        <w:tc>
          <w:tcPr>
            <w:tcW w:type="dxa" w:w="5385"/>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Metodología, competencia, pruebas, monitoreo y revisión por pares.</w:t>
            </w:r>
          </w:p>
        </w:tc>
        <w:tc>
          <w:tcPr>
            <w:tcW w:type="dxa" w:w="2267"/>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hyperlink r:id="rId15">
              <w:r>
                <w:rPr>
                  <w:color w:val="4B2E83"/>
                  <w:u w:val="single"/>
                  <w:rFonts w:ascii="Aptos" w:hAnsi="Aptos"/>
                </w:rPr>
                <w:t>Abrir fuente</w:t>
              </w:r>
            </w:hyperlink>
          </w:p>
        </w:tc>
      </w:tr>
      <w:tr>
        <w:tc>
          <w:tcPr>
            <w:tcW w:type="dxa" w:w="1020"/>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[SEC-01]</w:t>
            </w:r>
          </w:p>
        </w:tc>
        <w:tc>
          <w:tcPr>
            <w:tcW w:type="dxa" w:w="6009"/>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Application Security Verification Standard, stable version 5.0.0. OWASP.</w:t>
            </w:r>
          </w:p>
        </w:tc>
        <w:tc>
          <w:tcPr>
            <w:tcW w:type="dxa" w:w="5385"/>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Base verificable para seguridad de la aplicación.</w:t>
            </w:r>
          </w:p>
        </w:tc>
        <w:tc>
          <w:tcPr>
            <w:tcW w:type="dxa" w:w="2267"/>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hyperlink r:id="rId16">
              <w:r>
                <w:rPr>
                  <w:color w:val="4B2E83"/>
                  <w:u w:val="single"/>
                  <w:rFonts w:ascii="Aptos" w:hAnsi="Aptos"/>
                </w:rPr>
                <w:t>Abrir fuente</w:t>
              </w:r>
            </w:hyperlink>
          </w:p>
        </w:tc>
      </w:tr>
      <w:tr>
        <w:tc>
          <w:tcPr>
            <w:tcW w:type="dxa" w:w="1020"/>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[COL-01]</w:t>
            </w:r>
          </w:p>
        </w:tc>
        <w:tc>
          <w:tcPr>
            <w:tcW w:type="dxa" w:w="6009"/>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Normatividad vigente de contabilidad e información financiera; Ley 1314 y DUR 2420. Ministerio de Comercio, Industria y Turismo.</w:t>
            </w:r>
          </w:p>
        </w:tc>
        <w:tc>
          <w:tcPr>
            <w:tcW w:type="dxa" w:w="5385"/>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Marco colombiano de información financiera.</w:t>
            </w:r>
          </w:p>
        </w:tc>
        <w:tc>
          <w:tcPr>
            <w:tcW w:type="dxa" w:w="2267"/>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hyperlink r:id="rId17">
              <w:r>
                <w:rPr>
                  <w:color w:val="4B2E83"/>
                  <w:u w:val="single"/>
                  <w:rFonts w:ascii="Aptos" w:hAnsi="Aptos"/>
                </w:rPr>
                <w:t>Abrir fuente</w:t>
              </w:r>
            </w:hyperlink>
          </w:p>
        </w:tc>
      </w:tr>
      <w:tr>
        <w:tc>
          <w:tcPr>
            <w:tcW w:type="dxa" w:w="1020"/>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[COL-02]</w:t>
            </w:r>
          </w:p>
        </w:tc>
        <w:tc>
          <w:tcPr>
            <w:tcW w:type="dxa" w:w="6009"/>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Ley 1581 de 2012. Función Pública / SUIN.</w:t>
            </w:r>
          </w:p>
        </w:tc>
        <w:tc>
          <w:tcPr>
            <w:tcW w:type="dxa" w:w="5385"/>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Régimen general de protección de datos personales.</w:t>
            </w:r>
          </w:p>
        </w:tc>
        <w:tc>
          <w:tcPr>
            <w:tcW w:type="dxa" w:w="2267"/>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hyperlink r:id="rId18">
              <w:r>
                <w:rPr>
                  <w:color w:val="4B2E83"/>
                  <w:u w:val="single"/>
                  <w:rFonts w:ascii="Aptos" w:hAnsi="Aptos"/>
                </w:rPr>
                <w:t>Abrir fuente</w:t>
              </w:r>
            </w:hyperlink>
          </w:p>
        </w:tc>
      </w:tr>
      <w:tr>
        <w:tc>
          <w:tcPr>
            <w:tcW w:type="dxa" w:w="1020"/>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[COL-03]</w:t>
            </w:r>
          </w:p>
        </w:tc>
        <w:tc>
          <w:tcPr>
            <w:tcW w:type="dxa" w:w="6009"/>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Decreto 1074 de 2015, reglamentación aplicable a protección de datos. Función Pública.</w:t>
            </w:r>
          </w:p>
        </w:tc>
        <w:tc>
          <w:tcPr>
            <w:tcW w:type="dxa" w:w="5385"/>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Obligaciones reglamentarias y responsabilidad del tratamiento.</w:t>
            </w:r>
          </w:p>
        </w:tc>
        <w:tc>
          <w:tcPr>
            <w:tcW w:type="dxa" w:w="2267"/>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hyperlink r:id="rId19">
              <w:r>
                <w:rPr>
                  <w:color w:val="4B2E83"/>
                  <w:u w:val="single"/>
                  <w:rFonts w:ascii="Aptos" w:hAnsi="Aptos"/>
                </w:rPr>
                <w:t>Abrir fuente</w:t>
              </w:r>
            </w:hyperlink>
          </w:p>
        </w:tc>
      </w:tr>
      <w:tr>
        <w:tc>
          <w:tcPr>
            <w:tcW w:type="dxa" w:w="1020"/>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[COL-04]</w:t>
            </w:r>
          </w:p>
        </w:tc>
        <w:tc>
          <w:tcPr>
            <w:tcW w:type="dxa" w:w="6009"/>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Ley 1266 de 2008 y modificaciones. SUIN-Juriscol.</w:t>
            </w:r>
          </w:p>
        </w:tc>
        <w:tc>
          <w:tcPr>
            <w:tcW w:type="dxa" w:w="5385"/>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Hábeas data financiero, crediticio, comercial y de servicios.</w:t>
            </w:r>
          </w:p>
        </w:tc>
        <w:tc>
          <w:tcPr>
            <w:tcW w:type="dxa" w:w="2267"/>
            <w:shd w:fill="FAFAFB"/>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hyperlink r:id="rId20">
              <w:r>
                <w:rPr>
                  <w:color w:val="4B2E83"/>
                  <w:u w:val="single"/>
                  <w:rFonts w:ascii="Aptos" w:hAnsi="Aptos"/>
                </w:rPr>
                <w:t>Abrir fuente</w:t>
              </w:r>
            </w:hyperlink>
          </w:p>
        </w:tc>
      </w:tr>
      <w:tr>
        <w:tc>
          <w:tcPr>
            <w:tcW w:type="dxa" w:w="1020"/>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[COL-05]</w:t>
            </w:r>
          </w:p>
        </w:tc>
        <w:tc>
          <w:tcPr>
            <w:tcW w:type="dxa" w:w="6009"/>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Ley 527 de 1999 y Decreto 2364 de 2012. SUIN-Juriscol.</w:t>
            </w:r>
          </w:p>
        </w:tc>
        <w:tc>
          <w:tcPr>
            <w:tcW w:type="dxa" w:w="5385"/>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r>
              <w:rPr>
                <w:rFonts w:ascii="Aptos" w:hAnsi="Aptos" w:eastAsia="Aptos"/>
                <w:sz w:val="14"/>
              </w:rPr>
              <w:t>Mensajes de datos y firma electrónica.</w:t>
            </w:r>
          </w:p>
        </w:tc>
        <w:tc>
          <w:tcPr>
            <w:tcW w:type="dxa" w:w="2267"/>
            <w:tcMar>
              <w:top w:w="70" w:type="dxa"/>
              <w:start w:w="80" w:type="dxa"/>
              <w:bottom w:w="70" w:type="dxa"/>
              <w:end w:w="80" w:type="dxa"/>
            </w:tcMar>
            <w:tcBorders>
              <w:top w:sz="4" w:val="single" w:color="D9DCE1"/>
              <w:left w:sz="4" w:val="single" w:color="D9DCE1"/>
              <w:bottom w:sz="4" w:val="single" w:color="D9DCE1"/>
              <w:right w:sz="4" w:val="single" w:color="D9DCE1"/>
            </w:tcBorders>
          </w:tcPr>
          <w:p>
            <w:pPr>
              <w:spacing w:before="0" w:after="0" w:line="240" w:lineRule="auto"/>
            </w:pPr>
            <w:hyperlink r:id="rId21">
              <w:r>
                <w:rPr>
                  <w:color w:val="4B2E83"/>
                  <w:u w:val="single"/>
                  <w:rFonts w:ascii="Aptos" w:hAnsi="Aptos"/>
                </w:rPr>
                <w:t>Abrir fuente</w:t>
              </w:r>
            </w:hyperlink>
          </w:p>
        </w:tc>
      </w:tr>
    </w:tbl>
    <w:p>
      <w:pPr>
        <w:sectPr>
          <w:pgSz w:w="16838" w:h="11906" w:orient="landscape"/>
          <w:pgMar w:top="850" w:right="794" w:bottom="850" w:left="794" w:header="397" w:footer="340" w:gutter="0"/>
          <w:cols w:space="720"/>
          <w:docGrid w:linePitch="360"/>
        </w:sectPr>
      </w:pPr>
    </w:p>
    <w:p>
      <w:pPr>
        <w:pStyle w:val="Heading1"/>
        <w:keepNext/>
        <w:spacing w:before="160" w:after="80"/>
      </w:pPr>
      <w:r>
        <w:rPr>
          <w:rFonts w:ascii="Aptos Display" w:hAnsi="Aptos Display" w:eastAsia="Aptos Display"/>
          <w:b/>
          <w:color w:val="4B2E83"/>
        </w:rPr>
        <w:t>Cierre</w:t>
      </w:r>
    </w:p>
    <w:p>
      <w:pPr>
        <w:keepNext w:val="0"/>
        <w:spacing w:before="0" w:after="100" w:line="259" w:lineRule="auto"/>
      </w:pPr>
      <w:r>
        <w:rPr>
          <w:rFonts w:ascii="Aptos" w:hAnsi="Aptos" w:eastAsia="Aptos"/>
        </w:rPr>
        <w:t>Este documento define una app fiel a las ideas identificables en la transcripción: modelar deuda, verificar cobertura y restricciones, proteger liquidez, practicar, auditar errores, contrastar proyecciones con resultados y tomar riesgos de manera calculada. Los requisitos de evaluación, certificación y Risk Simulator se integran porque fueron establecidos expresamente por Rehavid.</w:t>
      </w:r>
    </w:p>
    <w:tbl>
      <w:tblPr>
        <w:tblW w:type="auto" w:w="0"/>
        <w:jc w:val="center"/>
        <w:tblLayout w:type="autofit"/>
        <w:tblLook w:firstColumn="1" w:firstRow="1" w:lastColumn="0" w:lastRow="0" w:noHBand="0" w:noVBand="1" w:val="04A0"/>
      </w:tblPr>
      <w:tblGrid>
        <w:gridCol w:w="9922"/>
      </w:tblGrid>
      <w:tr>
        <w:trPr>
          <w:cantSplit/>
        </w:trPr>
        <w:tc>
          <w:tcPr>
            <w:tcW w:type="dxa" w:w="9922"/>
            <w:shd w:fill="EAF7EF"/>
            <w:tcBorders>
              <w:top w:sz="8" w:val="single" w:color="18794E"/>
              <w:left w:sz="22" w:val="single" w:color="18794E"/>
              <w:bottom w:sz="8" w:val="single" w:color="18794E"/>
              <w:right w:sz="8" w:val="single" w:color="18794E"/>
            </w:tcBorders>
            <w:tcMar>
              <w:top w:w="120" w:type="dxa"/>
              <w:start w:w="180" w:type="dxa"/>
              <w:bottom w:w="120" w:type="dxa"/>
              <w:end w:w="160" w:type="dxa"/>
            </w:tcMar>
          </w:tcPr>
          <w:p>
            <w:pPr>
              <w:spacing w:after="40"/>
            </w:pPr>
            <w:r>
              <w:rPr>
                <w:rFonts w:ascii="Aptos" w:hAnsi="Aptos" w:eastAsia="Aptos"/>
                <w:b/>
                <w:color w:val="18794E"/>
                <w:sz w:val="20"/>
              </w:rPr>
              <w:t>Criterio para pasar a diseño visual y desarrollo</w:t>
            </w:r>
          </w:p>
          <w:p>
            <w:pPr>
              <w:spacing w:before="0" w:after="0" w:line="247" w:lineRule="auto"/>
            </w:pPr>
            <w:r>
              <w:rPr>
                <w:rFonts w:ascii="Aptos" w:hAnsi="Aptos" w:eastAsia="Aptos"/>
                <w:color w:val="263238"/>
                <w:sz w:val="18"/>
              </w:rPr>
              <w:t>El equipo funcional debe validar las decisiones pendientes de la sección 12.4. Después de esa validación, el documento puede convertirse en backlog, prototipo navegable, arquitectura de solución, diseño de base de datos y plan de pruebas sin reinterpretar el propósito.</w:t>
            </w:r>
          </w:p>
        </w:tc>
      </w:tr>
    </w:tbl>
    <w:p>
      <w:pPr>
        <w:spacing w:after="0"/>
      </w:pPr>
    </w:p>
    <w:sectPr w:rsidR="00FC693F" w:rsidRPr="0006063C" w:rsidSect="00034616">
      <w:pgSz w:w="11906" w:h="16838"/>
      <w:pgMar w:top="1020" w:right="992" w:bottom="964" w:left="992" w:header="397"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4B2E83"/>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63238"/>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Display" w:hAnsi="Aptos Display"/>
      <w:b/>
      <w:bCs/>
      <w:color w:val="A735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4B2E8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ptos Display" w:hAnsi="Aptos Display"/>
      <w:b/>
      <w:i/>
      <w:iCs/>
      <w:color w:val="5F63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rPr>
      <w:rFonts w:ascii="Aptos" w:hAnsi="Apto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F636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hyperlink" Target="https://documents1.worldbank.org/curated/en/889501552687748703/pdf/Disclosable-Version-of-the-ISR-Modernization-and-restructuring-of-the-road-sector-P155842-Sequence-No-04.pdf" TargetMode="External"/><Relationship Id="rId12" Type="http://schemas.openxmlformats.org/officeDocument/2006/relationships/hyperlink" Target="https://www.realoptionsvaluation.com/risk-simulator/" TargetMode="External"/><Relationship Id="rId13" Type="http://schemas.openxmlformats.org/officeDocument/2006/relationships/hyperlink" Target="https://www.realoptionsvaluation.com/rov-software-development-kit/" TargetMode="External"/><Relationship Id="rId14" Type="http://schemas.openxmlformats.org/officeDocument/2006/relationships/hyperlink" Target="https://www.nist.gov/services-resources/software/monte-carlo-tool" TargetMode="External"/><Relationship Id="rId15" Type="http://schemas.openxmlformats.org/officeDocument/2006/relationships/hyperlink" Target="https://www.icaew.com/technical/technology/excel-community/20-principles-for-good-spreadsheet-practice-2024-edition" TargetMode="External"/><Relationship Id="rId16" Type="http://schemas.openxmlformats.org/officeDocument/2006/relationships/hyperlink" Target="https://owasp.org/www-project-application-security-verification-standard/" TargetMode="External"/><Relationship Id="rId17" Type="http://schemas.openxmlformats.org/officeDocument/2006/relationships/hyperlink" Target="https://www.mincit.gov.co/temas-interes/convergencias-niifs-y-nias/normatividad-vigente" TargetMode="External"/><Relationship Id="rId18" Type="http://schemas.openxmlformats.org/officeDocument/2006/relationships/hyperlink" Target="https://www.funcionpublica.gov.co/eva/gestornormativo/norma.php?i=49981" TargetMode="External"/><Relationship Id="rId19" Type="http://schemas.openxmlformats.org/officeDocument/2006/relationships/hyperlink" Target="https://www.funcionpublica.gov.co/eva/gestornormativo/norma.php?i=76608" TargetMode="External"/><Relationship Id="rId20" Type="http://schemas.openxmlformats.org/officeDocument/2006/relationships/hyperlink" Target="https://www.suin-juriscol.gov.co/viewDocument.asp?id=1676616" TargetMode="External"/><Relationship Id="rId21" Type="http://schemas.openxmlformats.org/officeDocument/2006/relationships/hyperlink" Target="https://www.suin-juriscol.gov.co/viewDocument.asp?id=1662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maestro para app de modulación financiera</dc:title>
  <dc:subject>Formación, operación y especificación funcional basada en transcripción Rehavid</dc:subject>
  <dc:creator>Rehavid S.A.S.</dc:creator>
  <cp:keywords>modelación financiera, deuda, DSCR, liquidez, Risk Simulator, formación adaptativa, certificado</cp:keywords>
  <dc:description>Versión base construida a partir del segmento de transcripción suministrado por Rehavid.</dc:description>
  <cp:lastModifiedBy>Rehavid S.A.S.</cp:lastModifiedBy>
  <cp:revision>1</cp:revision>
  <dcterms:created xsi:type="dcterms:W3CDTF">2026-08-03T00:00:00Z</dcterms:created>
  <dcterms:modified xsi:type="dcterms:W3CDTF">2026-08-03T00:00:00Z</dcterms:modified>
  <cp:category/>
</cp:coreProperties>
</file>