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4458" w14:textId="646773A9" w:rsidR="00A01C6E" w:rsidRPr="00A01C6E" w:rsidRDefault="00A01C6E" w:rsidP="00A01C6E">
      <w:pPr>
        <w:jc w:val="center"/>
        <w:rPr>
          <w:b/>
          <w:bCs/>
          <w:sz w:val="32"/>
          <w:szCs w:val="32"/>
        </w:rPr>
      </w:pPr>
      <w:r w:rsidRPr="00A01C6E">
        <w:rPr>
          <w:b/>
          <w:bCs/>
          <w:sz w:val="32"/>
          <w:szCs w:val="32"/>
        </w:rPr>
        <w:t>Proyecto R para las Finanzas</w:t>
      </w:r>
    </w:p>
    <w:p w14:paraId="37AE166F" w14:textId="6D9A59ED" w:rsidR="00A01C6E" w:rsidRDefault="00A01C6E" w:rsidP="00A01C6E">
      <w:pPr>
        <w:jc w:val="center"/>
      </w:pPr>
      <w:r>
        <w:t xml:space="preserve">Ariel Silva Echeverría - </w:t>
      </w:r>
      <w:hyperlink r:id="rId5" w:history="1">
        <w:r w:rsidRPr="00BF5B81">
          <w:rPr>
            <w:rStyle w:val="Hipervnculo"/>
          </w:rPr>
          <w:t>Ariel.silvaecheverría@gmail.com</w:t>
        </w:r>
      </w:hyperlink>
    </w:p>
    <w:p w14:paraId="2934C042" w14:textId="77777777" w:rsidR="00A01C6E" w:rsidRDefault="00A01C6E" w:rsidP="00A01C6E">
      <w:pPr>
        <w:jc w:val="center"/>
      </w:pPr>
    </w:p>
    <w:p w14:paraId="0BEE6682" w14:textId="521EF51C" w:rsidR="007F6106" w:rsidRPr="007C1383" w:rsidRDefault="00D84998" w:rsidP="00723BE8">
      <w:pPr>
        <w:pStyle w:val="Prrafodelista"/>
        <w:numPr>
          <w:ilvl w:val="0"/>
          <w:numId w:val="1"/>
        </w:numPr>
        <w:rPr>
          <w:b/>
          <w:bCs/>
        </w:rPr>
      </w:pPr>
      <w:r w:rsidRPr="007C1383">
        <w:rPr>
          <w:b/>
          <w:bCs/>
        </w:rPr>
        <w:t>Problema:</w:t>
      </w:r>
    </w:p>
    <w:p w14:paraId="66697697" w14:textId="57D89633" w:rsidR="00450892" w:rsidRDefault="00450892" w:rsidP="007C1383">
      <w:pPr>
        <w:pStyle w:val="Prrafodelista"/>
        <w:jc w:val="both"/>
      </w:pPr>
      <w:r>
        <w:t>Como inversionista individual, la construcción y gestión de un portafolio de inversiones suele realizarse sin una metodología cuantitativa clara para evaluar el riesgo conjunto de los activos, lo que dificulta aprovechar los beneficios de la diversificación.</w:t>
      </w:r>
    </w:p>
    <w:p w14:paraId="189C3BA7" w14:textId="29F51C3B" w:rsidR="008A696C" w:rsidRDefault="00450892" w:rsidP="007C1383">
      <w:pPr>
        <w:pStyle w:val="Prrafodelista"/>
        <w:jc w:val="both"/>
      </w:pPr>
      <w:r>
        <w:t>En la práctica, muchas decisiones de asignación de activos se toman de manera estática o basada en percepciones subjetivas</w:t>
      </w:r>
      <w:r w:rsidR="004E5FC1">
        <w:t xml:space="preserve"> y/o emocionales</w:t>
      </w:r>
      <w:r>
        <w:t>, sin considerar adecuadamente la relación entre los retornos y la correlación entre los activos que componen el portafolio</w:t>
      </w:r>
      <w:r w:rsidR="008A696C">
        <w:t>.</w:t>
      </w:r>
    </w:p>
    <w:p w14:paraId="0689BF7F" w14:textId="68CEAD4A" w:rsidR="008A696C" w:rsidRDefault="008A696C" w:rsidP="00450892">
      <w:pPr>
        <w:pStyle w:val="Prrafodelista"/>
        <w:jc w:val="both"/>
      </w:pPr>
      <w:r w:rsidRPr="008A696C">
        <w:t>La ausencia de una herramienta que permita analizar de forma sistemática los retornos, la volatilidad y la relación entre activos (correlación y covarianza) dificulta la toma de decisiones informadas respecto al balance y rebalanceo del portafolio, aumentando la exposición a riesgo no deseado y a decisiones influenciadas por el sesgo emocional.</w:t>
      </w:r>
    </w:p>
    <w:p w14:paraId="3AE1CC26" w14:textId="77777777" w:rsidR="007C1383" w:rsidRDefault="007C1383" w:rsidP="00450892">
      <w:pPr>
        <w:pStyle w:val="Prrafodelista"/>
        <w:jc w:val="both"/>
      </w:pPr>
    </w:p>
    <w:p w14:paraId="1613094B" w14:textId="5FF66E32" w:rsidR="00A01C6E" w:rsidRPr="007C1383" w:rsidRDefault="00723BE8" w:rsidP="00723BE8">
      <w:pPr>
        <w:pStyle w:val="Prrafodelista"/>
        <w:numPr>
          <w:ilvl w:val="0"/>
          <w:numId w:val="1"/>
        </w:numPr>
        <w:rPr>
          <w:b/>
          <w:bCs/>
        </w:rPr>
      </w:pPr>
      <w:r w:rsidRPr="007C1383">
        <w:rPr>
          <w:b/>
          <w:bCs/>
        </w:rPr>
        <w:t>Descripción de la solución:</w:t>
      </w:r>
    </w:p>
    <w:p w14:paraId="680E3D83" w14:textId="56F234F1" w:rsidR="00723BE8" w:rsidRPr="007C1383" w:rsidRDefault="00723BE8" w:rsidP="00723BE8">
      <w:pPr>
        <w:pStyle w:val="Prrafodelista"/>
        <w:numPr>
          <w:ilvl w:val="1"/>
          <w:numId w:val="1"/>
        </w:numPr>
        <w:rPr>
          <w:b/>
          <w:bCs/>
        </w:rPr>
      </w:pPr>
      <w:r w:rsidRPr="007C1383">
        <w:rPr>
          <w:b/>
          <w:bCs/>
        </w:rPr>
        <w:t>qué soluciona:</w:t>
      </w:r>
    </w:p>
    <w:p w14:paraId="3C9E76D9" w14:textId="2AFC2B2E" w:rsidR="00573D78" w:rsidRDefault="00573D78" w:rsidP="00D013D1">
      <w:pPr>
        <w:pStyle w:val="Prrafodelista"/>
        <w:ind w:left="1440"/>
        <w:jc w:val="both"/>
      </w:pPr>
      <w:r>
        <w:t>La solución propuesta aborda la problemática asociada a la gestión ineficiente del riesgo en portafolios de inversión individuales, originada principalmente por la ausencia de una metodología cuantitativa estructurada para analizar la relación entre los activos que componen el portafolio.</w:t>
      </w:r>
    </w:p>
    <w:p w14:paraId="52E28967" w14:textId="3538275E" w:rsidR="00573D78" w:rsidRDefault="00573D78" w:rsidP="00D013D1">
      <w:pPr>
        <w:pStyle w:val="Prrafodelista"/>
        <w:ind w:left="1440"/>
        <w:jc w:val="both"/>
      </w:pPr>
      <w:r>
        <w:t xml:space="preserve">En </w:t>
      </w:r>
      <w:r w:rsidR="006F7CC3">
        <w:t>particular, quien suscribe</w:t>
      </w:r>
      <w:r>
        <w:t xml:space="preserve"> suele</w:t>
      </w:r>
      <w:r w:rsidR="006F7CC3">
        <w:t xml:space="preserve"> </w:t>
      </w:r>
      <w:r>
        <w:t>seleccionar activos basándose en criterios aislados (rentabilidad pasada, recomendaciones externas o percepciones subjetivas), sin considerar de manera integrada la volatilidad individual de los activos ni la correlación existente entre ellos. Esto puede derivar en portafolios con un perfil de riesgo superior al necesario y con una diversificación poco eficiente.</w:t>
      </w:r>
    </w:p>
    <w:p w14:paraId="5228146C" w14:textId="57BE0B69" w:rsidR="00573D78" w:rsidRDefault="00573D78" w:rsidP="009A3FD5">
      <w:pPr>
        <w:pStyle w:val="Prrafodelista"/>
        <w:ind w:left="1440"/>
        <w:jc w:val="both"/>
      </w:pPr>
      <w:r>
        <w:t>La solución busca entregar una herramienta que permita analizar de forma sistemática los retornos, el riesgo y la relación entre activos financieros, apoyando decisiones informadas de balance y rebalanceo del portafolio.</w:t>
      </w:r>
    </w:p>
    <w:p w14:paraId="49E7B16C" w14:textId="77777777" w:rsidR="007C1383" w:rsidRDefault="007C1383" w:rsidP="009A3FD5">
      <w:pPr>
        <w:pStyle w:val="Prrafodelista"/>
        <w:ind w:left="1440"/>
        <w:jc w:val="both"/>
      </w:pPr>
    </w:p>
    <w:p w14:paraId="460B209D" w14:textId="77777777" w:rsidR="005B2EF8" w:rsidRDefault="00723BE8" w:rsidP="003245DC">
      <w:pPr>
        <w:pStyle w:val="Prrafodelista"/>
        <w:numPr>
          <w:ilvl w:val="1"/>
          <w:numId w:val="1"/>
        </w:numPr>
        <w:rPr>
          <w:b/>
          <w:bCs/>
        </w:rPr>
      </w:pPr>
      <w:r w:rsidRPr="007C1383">
        <w:rPr>
          <w:b/>
          <w:bCs/>
        </w:rPr>
        <w:t xml:space="preserve">a quiénes impacta: </w:t>
      </w:r>
    </w:p>
    <w:p w14:paraId="7D546881" w14:textId="032BE55F" w:rsidR="009A3FD5" w:rsidRPr="003245DC" w:rsidRDefault="00723BE8" w:rsidP="005B2EF8">
      <w:pPr>
        <w:pStyle w:val="Prrafodelista"/>
        <w:ind w:left="1440"/>
        <w:rPr>
          <w:b/>
          <w:bCs/>
        </w:rPr>
      </w:pPr>
      <w:r w:rsidRPr="003245DC">
        <w:t>Preliminarmente al suscrito</w:t>
      </w:r>
      <w:r w:rsidR="00885F42">
        <w:t xml:space="preserve"> y/</w:t>
      </w:r>
      <w:proofErr w:type="spellStart"/>
      <w:r w:rsidR="00885F42">
        <w:t>o</w:t>
      </w:r>
      <w:proofErr w:type="spellEnd"/>
      <w:r w:rsidR="00885F42">
        <w:t xml:space="preserve"> </w:t>
      </w:r>
      <w:r w:rsidR="009A3FD5">
        <w:t>orientado a inversionistas individuales, particularmente aquellos que gestionan su propio portafolio de inversiones y que no cuentan con herramientas cuantitativas avanzadas para evaluar el riesgo conjunto de sus activos.</w:t>
      </w:r>
    </w:p>
    <w:p w14:paraId="5AAC869D" w14:textId="2A3A29E1" w:rsidR="009A3FD5" w:rsidRDefault="009A3FD5" w:rsidP="009A3FD5">
      <w:pPr>
        <w:pStyle w:val="Prrafodelista"/>
        <w:ind w:left="1440"/>
        <w:jc w:val="both"/>
      </w:pPr>
      <w:r>
        <w:t>De manera indirecta, la herramienta es replicable y escalable a contextos organizacionales, tales como pequeñas empresas de asesoría financiera o áreas de análisis que requieran metodologías transparentes y reproducibles para la gestión de portafolios.</w:t>
      </w:r>
    </w:p>
    <w:p w14:paraId="0788C7B4" w14:textId="77777777" w:rsidR="007C1383" w:rsidRDefault="007C1383" w:rsidP="009A3FD5">
      <w:pPr>
        <w:pStyle w:val="Prrafodelista"/>
        <w:ind w:left="1440"/>
        <w:jc w:val="both"/>
      </w:pPr>
    </w:p>
    <w:p w14:paraId="55100CB6" w14:textId="1E8C9FC6" w:rsidR="00723BE8" w:rsidRPr="007C1383" w:rsidRDefault="00723BE8" w:rsidP="00723BE8">
      <w:pPr>
        <w:pStyle w:val="Prrafodelista"/>
        <w:numPr>
          <w:ilvl w:val="1"/>
          <w:numId w:val="1"/>
        </w:numPr>
        <w:rPr>
          <w:b/>
          <w:bCs/>
        </w:rPr>
      </w:pPr>
      <w:r w:rsidRPr="007C1383">
        <w:rPr>
          <w:b/>
          <w:bCs/>
        </w:rPr>
        <w:t>cómo se espera solucionar el problema</w:t>
      </w:r>
    </w:p>
    <w:p w14:paraId="56FC7202" w14:textId="40A56F67" w:rsidR="00AF11A8" w:rsidRDefault="00AF11A8" w:rsidP="003512CC">
      <w:pPr>
        <w:pStyle w:val="Prrafodelista"/>
        <w:ind w:left="1440"/>
      </w:pPr>
      <w:r>
        <w:t>El problema se aborda mediante el desarrollo de una herramienta en R que permita:</w:t>
      </w:r>
    </w:p>
    <w:p w14:paraId="1BE7481E" w14:textId="68F92E2C" w:rsidR="00AF11A8" w:rsidRDefault="00AF11A8" w:rsidP="007C1383">
      <w:pPr>
        <w:pStyle w:val="Prrafodelista"/>
        <w:numPr>
          <w:ilvl w:val="0"/>
          <w:numId w:val="5"/>
        </w:numPr>
      </w:pPr>
      <w:r>
        <w:t>Analizar series históricas de precios de los activos que componen el portafolio.</w:t>
      </w:r>
    </w:p>
    <w:p w14:paraId="62E9D3FB" w14:textId="4C47EFEB" w:rsidR="00AF11A8" w:rsidRDefault="00AF11A8" w:rsidP="007C1383">
      <w:pPr>
        <w:pStyle w:val="Prrafodelista"/>
        <w:numPr>
          <w:ilvl w:val="0"/>
          <w:numId w:val="5"/>
        </w:numPr>
      </w:pPr>
      <w:r>
        <w:t>Calcular retornos históricos y medidas de riesgo individuales, tales como varianza y volatilidad</w:t>
      </w:r>
      <w:r w:rsidR="007C1383">
        <w:t>.</w:t>
      </w:r>
    </w:p>
    <w:p w14:paraId="31567EC2" w14:textId="4DEA2A2B" w:rsidR="00AF11A8" w:rsidRDefault="00AF11A8" w:rsidP="007C1383">
      <w:pPr>
        <w:pStyle w:val="Prrafodelista"/>
        <w:numPr>
          <w:ilvl w:val="0"/>
          <w:numId w:val="5"/>
        </w:numPr>
      </w:pPr>
      <w:r>
        <w:t>Evaluar la relación entre activos a través de matrices de correlación y covarianza.</w:t>
      </w:r>
    </w:p>
    <w:p w14:paraId="4ACC504C" w14:textId="74B5E198" w:rsidR="00AF11A8" w:rsidRDefault="00AF11A8" w:rsidP="007C1383">
      <w:pPr>
        <w:pStyle w:val="Prrafodelista"/>
        <w:numPr>
          <w:ilvl w:val="0"/>
          <w:numId w:val="5"/>
        </w:numPr>
      </w:pPr>
      <w:r>
        <w:t>Analizar cómo distintas combinaciones de pesos afectan el riesgo total del portafolio.</w:t>
      </w:r>
    </w:p>
    <w:p w14:paraId="1B315804" w14:textId="77777777" w:rsidR="00AF11A8" w:rsidRDefault="00AF11A8" w:rsidP="007C1383">
      <w:pPr>
        <w:pStyle w:val="Prrafodelista"/>
        <w:numPr>
          <w:ilvl w:val="0"/>
          <w:numId w:val="5"/>
        </w:numPr>
      </w:pPr>
      <w:r>
        <w:t>Entregar información orientativa que apoye decisiones de balance y rebalanceo, considerando distintos niveles de tolerancia al riesgo.</w:t>
      </w:r>
    </w:p>
    <w:p w14:paraId="4F0A5437" w14:textId="77777777" w:rsidR="00AF11A8" w:rsidRDefault="00AF11A8" w:rsidP="007C1383">
      <w:pPr>
        <w:pStyle w:val="Prrafodelista"/>
        <w:ind w:left="1440"/>
        <w:jc w:val="both"/>
      </w:pPr>
    </w:p>
    <w:p w14:paraId="6549B82F" w14:textId="5A4D95C0" w:rsidR="00AF11A8" w:rsidRDefault="00AF11A8" w:rsidP="007C1383">
      <w:pPr>
        <w:pStyle w:val="Prrafodelista"/>
        <w:ind w:left="1440"/>
        <w:jc w:val="both"/>
      </w:pPr>
      <w:r>
        <w:t>La herramienta se concibe como un sistema de apoyo a la toma de decisiones, sin pretender realizar predicciones determinísticas ni recomendaciones automáticas de compra o venta.</w:t>
      </w:r>
    </w:p>
    <w:p w14:paraId="331BD94F" w14:textId="13A7E9E5" w:rsidR="00723BE8" w:rsidRPr="007C1383" w:rsidRDefault="00723BE8" w:rsidP="00723BE8">
      <w:pPr>
        <w:pStyle w:val="Prrafodelista"/>
        <w:numPr>
          <w:ilvl w:val="1"/>
          <w:numId w:val="1"/>
        </w:numPr>
        <w:rPr>
          <w:b/>
          <w:bCs/>
        </w:rPr>
      </w:pPr>
      <w:r w:rsidRPr="007C1383">
        <w:rPr>
          <w:b/>
          <w:bCs/>
        </w:rPr>
        <w:t>periodicidad del desarrollo</w:t>
      </w:r>
    </w:p>
    <w:p w14:paraId="4F774550" w14:textId="0C973755" w:rsidR="00723BE8" w:rsidRPr="007C1383" w:rsidRDefault="00723BE8" w:rsidP="00723BE8">
      <w:pPr>
        <w:pStyle w:val="Prrafodelista"/>
        <w:numPr>
          <w:ilvl w:val="1"/>
          <w:numId w:val="1"/>
        </w:numPr>
        <w:rPr>
          <w:b/>
          <w:bCs/>
        </w:rPr>
      </w:pPr>
      <w:r w:rsidRPr="007C1383">
        <w:rPr>
          <w:b/>
          <w:bCs/>
        </w:rPr>
        <w:t xml:space="preserve">alcance </w:t>
      </w:r>
      <w:r w:rsidR="007C1383" w:rsidRPr="007C1383">
        <w:rPr>
          <w:b/>
          <w:bCs/>
        </w:rPr>
        <w:t>(consideraciones</w:t>
      </w:r>
      <w:r w:rsidRPr="007C1383">
        <w:rPr>
          <w:b/>
          <w:bCs/>
        </w:rPr>
        <w:t>)</w:t>
      </w:r>
    </w:p>
    <w:p w14:paraId="41CB18C7" w14:textId="77777777" w:rsidR="00F21539" w:rsidRPr="00F21539" w:rsidRDefault="00F21539" w:rsidP="00F21539">
      <w:pPr>
        <w:pStyle w:val="Prrafodelista"/>
        <w:ind w:left="1440"/>
      </w:pPr>
      <w:r w:rsidRPr="00F21539">
        <w:rPr>
          <w:b/>
          <w:bCs/>
        </w:rPr>
        <w:t>El proyecto considera:</w:t>
      </w:r>
    </w:p>
    <w:p w14:paraId="27825FDD" w14:textId="77777777" w:rsidR="00F21539" w:rsidRPr="00F21539" w:rsidRDefault="00F21539" w:rsidP="007C1383">
      <w:pPr>
        <w:pStyle w:val="Prrafodelista"/>
        <w:numPr>
          <w:ilvl w:val="0"/>
          <w:numId w:val="4"/>
        </w:numPr>
        <w:tabs>
          <w:tab w:val="clear" w:pos="720"/>
        </w:tabs>
        <w:ind w:left="2268"/>
      </w:pPr>
      <w:r w:rsidRPr="00F21539">
        <w:t>El uso de datos históricos de precios de activos financieros.</w:t>
      </w:r>
    </w:p>
    <w:p w14:paraId="4FA46565" w14:textId="77777777" w:rsidR="00F21539" w:rsidRPr="00F21539" w:rsidRDefault="00F21539" w:rsidP="007C1383">
      <w:pPr>
        <w:pStyle w:val="Prrafodelista"/>
        <w:numPr>
          <w:ilvl w:val="0"/>
          <w:numId w:val="4"/>
        </w:numPr>
        <w:tabs>
          <w:tab w:val="clear" w:pos="720"/>
        </w:tabs>
        <w:ind w:left="2268"/>
      </w:pPr>
      <w:r w:rsidRPr="00F21539">
        <w:t>El cálculo de retornos y medidas de riesgo individuales.</w:t>
      </w:r>
    </w:p>
    <w:p w14:paraId="70D2B1CC" w14:textId="77777777" w:rsidR="00F21539" w:rsidRPr="00F21539" w:rsidRDefault="00F21539" w:rsidP="007C1383">
      <w:pPr>
        <w:pStyle w:val="Prrafodelista"/>
        <w:numPr>
          <w:ilvl w:val="0"/>
          <w:numId w:val="4"/>
        </w:numPr>
        <w:tabs>
          <w:tab w:val="clear" w:pos="720"/>
        </w:tabs>
        <w:ind w:left="2268"/>
      </w:pPr>
      <w:r w:rsidRPr="00F21539">
        <w:t>El análisis de correlación y diversificación entre activos.</w:t>
      </w:r>
    </w:p>
    <w:p w14:paraId="5DFBE4B4" w14:textId="77777777" w:rsidR="00F21539" w:rsidRPr="00F21539" w:rsidRDefault="00F21539" w:rsidP="007C1383">
      <w:pPr>
        <w:pStyle w:val="Prrafodelista"/>
        <w:numPr>
          <w:ilvl w:val="0"/>
          <w:numId w:val="4"/>
        </w:numPr>
        <w:tabs>
          <w:tab w:val="clear" w:pos="720"/>
        </w:tabs>
        <w:ind w:left="2268"/>
      </w:pPr>
      <w:r w:rsidRPr="00F21539">
        <w:t>La evaluación de escenarios de balance y rebalanceo del portafolio.</w:t>
      </w:r>
    </w:p>
    <w:p w14:paraId="2381C880" w14:textId="77777777" w:rsidR="00F21539" w:rsidRPr="00F21539" w:rsidRDefault="00F21539" w:rsidP="007C1383">
      <w:pPr>
        <w:pStyle w:val="Prrafodelista"/>
        <w:numPr>
          <w:ilvl w:val="0"/>
          <w:numId w:val="4"/>
        </w:numPr>
        <w:tabs>
          <w:tab w:val="clear" w:pos="720"/>
        </w:tabs>
        <w:ind w:left="2268"/>
      </w:pPr>
      <w:r w:rsidRPr="00F21539">
        <w:t>La generación de resultados reproducibles mediante código en R.</w:t>
      </w:r>
    </w:p>
    <w:p w14:paraId="6F776D27" w14:textId="77777777" w:rsidR="00F21539" w:rsidRDefault="00F21539" w:rsidP="00F21539">
      <w:pPr>
        <w:pStyle w:val="Prrafodelista"/>
        <w:ind w:left="1440"/>
      </w:pPr>
    </w:p>
    <w:p w14:paraId="063E905E" w14:textId="05DF5866" w:rsidR="00723BE8" w:rsidRPr="007C1383" w:rsidRDefault="00723BE8" w:rsidP="00723BE8">
      <w:pPr>
        <w:pStyle w:val="Prrafodelista"/>
        <w:numPr>
          <w:ilvl w:val="0"/>
          <w:numId w:val="1"/>
        </w:numPr>
        <w:rPr>
          <w:b/>
          <w:bCs/>
        </w:rPr>
      </w:pPr>
      <w:r w:rsidRPr="007C1383">
        <w:rPr>
          <w:b/>
          <w:bCs/>
        </w:rPr>
        <w:t>Planificación del trabajo</w:t>
      </w:r>
    </w:p>
    <w:p w14:paraId="0D96751B" w14:textId="48420B42" w:rsidR="00723BE8" w:rsidRPr="007C1383" w:rsidRDefault="00723BE8" w:rsidP="00723BE8">
      <w:pPr>
        <w:pStyle w:val="Prrafodelista"/>
        <w:numPr>
          <w:ilvl w:val="1"/>
          <w:numId w:val="1"/>
        </w:numPr>
        <w:rPr>
          <w:b/>
          <w:bCs/>
        </w:rPr>
      </w:pPr>
      <w:r w:rsidRPr="00723BE8">
        <w:rPr>
          <w:b/>
          <w:bCs/>
        </w:rPr>
        <w:t xml:space="preserve">considere </w:t>
      </w:r>
      <w:r w:rsidRPr="007C1383">
        <w:rPr>
          <w:b/>
          <w:bCs/>
        </w:rPr>
        <w:t xml:space="preserve">el desarrollo de un </w:t>
      </w:r>
      <w:r w:rsidR="007C1383" w:rsidRPr="007C1383">
        <w:rPr>
          <w:b/>
          <w:bCs/>
        </w:rPr>
        <w:t>pequeño</w:t>
      </w:r>
      <w:r w:rsidRPr="007C1383">
        <w:rPr>
          <w:b/>
          <w:bCs/>
        </w:rPr>
        <w:t xml:space="preserve"> descriptor</w:t>
      </w:r>
    </w:p>
    <w:p w14:paraId="08F48D04" w14:textId="5303ECA5" w:rsidR="00677140" w:rsidRPr="00615DC4" w:rsidRDefault="00677140" w:rsidP="00615DC4">
      <w:pPr>
        <w:pStyle w:val="NormalWeb"/>
        <w:ind w:left="1843"/>
        <w:jc w:val="both"/>
        <w:rPr>
          <w:rFonts w:asciiTheme="minorHAnsi" w:hAnsiTheme="minorHAnsi"/>
        </w:rPr>
      </w:pPr>
      <w:r w:rsidRPr="00185999">
        <w:rPr>
          <w:rFonts w:asciiTheme="minorHAnsi" w:hAnsiTheme="minorHAnsi"/>
        </w:rPr>
        <w:t>El desarrollo del proyecto se estructurará en etapas progresivas, comenzando con la recopilación y limpieza de datos, seguido del análisis de retornos y riesgo, la evaluación de la relación entre activos y, finalmente, la integración de los resultados en una herramienta que apoye decisiones de rebalanceo del portafolio.</w:t>
      </w:r>
    </w:p>
    <w:p w14:paraId="5F2A8324" w14:textId="464A1EF4" w:rsidR="00723BE8" w:rsidRDefault="00723BE8" w:rsidP="00723BE8">
      <w:pPr>
        <w:pStyle w:val="Prrafodelista"/>
        <w:numPr>
          <w:ilvl w:val="1"/>
          <w:numId w:val="1"/>
        </w:numPr>
        <w:rPr>
          <w:b/>
          <w:bCs/>
        </w:rPr>
      </w:pPr>
      <w:r w:rsidRPr="007C1383">
        <w:rPr>
          <w:b/>
          <w:bCs/>
        </w:rPr>
        <w:t xml:space="preserve">considera el desarrollo de alguna herramienta para visualizar la planificación </w:t>
      </w:r>
      <w:r w:rsidR="00185999" w:rsidRPr="007C1383">
        <w:rPr>
          <w:b/>
          <w:bCs/>
        </w:rPr>
        <w:t>(carta</w:t>
      </w:r>
      <w:r w:rsidRPr="007C1383">
        <w:rPr>
          <w:b/>
          <w:bCs/>
        </w:rPr>
        <w:t xml:space="preserve"> </w:t>
      </w:r>
      <w:proofErr w:type="spellStart"/>
      <w:r w:rsidRPr="007C1383">
        <w:rPr>
          <w:b/>
          <w:bCs/>
        </w:rPr>
        <w:t>gannt</w:t>
      </w:r>
      <w:proofErr w:type="spellEnd"/>
      <w:r w:rsidRPr="007C1383">
        <w:rPr>
          <w:b/>
          <w:bCs/>
        </w:rPr>
        <w:t>)</w:t>
      </w:r>
    </w:p>
    <w:p w14:paraId="28C1CD06" w14:textId="77777777" w:rsidR="00282BA2" w:rsidRPr="00522AC6" w:rsidRDefault="00282BA2" w:rsidP="00522AC6">
      <w:pPr>
        <w:ind w:left="1080"/>
        <w:rPr>
          <w:b/>
          <w:bCs/>
        </w:rPr>
      </w:pPr>
    </w:p>
    <w:tbl>
      <w:tblPr>
        <w:tblpPr w:leftFromText="141" w:rightFromText="141" w:horzAnchor="margin" w:tblpXSpec="center" w:tblpY="349"/>
        <w:tblW w:w="10480" w:type="dxa"/>
        <w:tblCellMar>
          <w:left w:w="70" w:type="dxa"/>
          <w:right w:w="70" w:type="dxa"/>
        </w:tblCellMar>
        <w:tblLook w:val="04A0" w:firstRow="1" w:lastRow="0" w:firstColumn="1" w:lastColumn="0" w:noHBand="0" w:noVBand="1"/>
      </w:tblPr>
      <w:tblGrid>
        <w:gridCol w:w="2004"/>
        <w:gridCol w:w="969"/>
        <w:gridCol w:w="969"/>
        <w:gridCol w:w="969"/>
        <w:gridCol w:w="969"/>
        <w:gridCol w:w="1198"/>
        <w:gridCol w:w="992"/>
        <w:gridCol w:w="1134"/>
        <w:gridCol w:w="1276"/>
      </w:tblGrid>
      <w:tr w:rsidR="007B535F" w:rsidRPr="007B535F" w14:paraId="310A3795" w14:textId="77777777" w:rsidTr="007B535F">
        <w:trPr>
          <w:trHeight w:val="252"/>
        </w:trPr>
        <w:tc>
          <w:tcPr>
            <w:tcW w:w="2004" w:type="dxa"/>
            <w:tcBorders>
              <w:top w:val="single" w:sz="8" w:space="0" w:color="auto"/>
              <w:left w:val="single" w:sz="8" w:space="0" w:color="auto"/>
              <w:bottom w:val="single" w:sz="8" w:space="0" w:color="auto"/>
              <w:right w:val="single" w:sz="4" w:space="0" w:color="auto"/>
            </w:tcBorders>
            <w:shd w:val="clear" w:color="000000" w:fill="C0E6F5"/>
            <w:vAlign w:val="center"/>
            <w:hideMark/>
          </w:tcPr>
          <w:p w14:paraId="5317B48A"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lastRenderedPageBreak/>
              <w:t>Actividad</w:t>
            </w:r>
          </w:p>
        </w:tc>
        <w:tc>
          <w:tcPr>
            <w:tcW w:w="969" w:type="dxa"/>
            <w:tcBorders>
              <w:top w:val="single" w:sz="8" w:space="0" w:color="auto"/>
              <w:left w:val="nil"/>
              <w:bottom w:val="single" w:sz="8" w:space="0" w:color="auto"/>
              <w:right w:val="single" w:sz="4" w:space="0" w:color="auto"/>
            </w:tcBorders>
            <w:shd w:val="clear" w:color="000000" w:fill="C0E6F5"/>
            <w:vAlign w:val="center"/>
            <w:hideMark/>
          </w:tcPr>
          <w:p w14:paraId="4F7605C9"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13-ene</w:t>
            </w:r>
          </w:p>
        </w:tc>
        <w:tc>
          <w:tcPr>
            <w:tcW w:w="969" w:type="dxa"/>
            <w:tcBorders>
              <w:top w:val="single" w:sz="8" w:space="0" w:color="auto"/>
              <w:left w:val="nil"/>
              <w:bottom w:val="single" w:sz="8" w:space="0" w:color="auto"/>
              <w:right w:val="single" w:sz="4" w:space="0" w:color="auto"/>
            </w:tcBorders>
            <w:shd w:val="clear" w:color="000000" w:fill="44B3E1"/>
            <w:vAlign w:val="center"/>
            <w:hideMark/>
          </w:tcPr>
          <w:p w14:paraId="7DC8C489"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18-ene</w:t>
            </w:r>
          </w:p>
        </w:tc>
        <w:tc>
          <w:tcPr>
            <w:tcW w:w="969" w:type="dxa"/>
            <w:tcBorders>
              <w:top w:val="single" w:sz="8" w:space="0" w:color="auto"/>
              <w:left w:val="nil"/>
              <w:bottom w:val="single" w:sz="8" w:space="0" w:color="auto"/>
              <w:right w:val="single" w:sz="4" w:space="0" w:color="auto"/>
            </w:tcBorders>
            <w:shd w:val="clear" w:color="000000" w:fill="C0E6F5"/>
            <w:vAlign w:val="center"/>
            <w:hideMark/>
          </w:tcPr>
          <w:p w14:paraId="1A28B7C7"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19-ene</w:t>
            </w:r>
          </w:p>
        </w:tc>
        <w:tc>
          <w:tcPr>
            <w:tcW w:w="969" w:type="dxa"/>
            <w:tcBorders>
              <w:top w:val="single" w:sz="8" w:space="0" w:color="auto"/>
              <w:left w:val="nil"/>
              <w:bottom w:val="single" w:sz="8" w:space="0" w:color="auto"/>
              <w:right w:val="single" w:sz="4" w:space="0" w:color="auto"/>
            </w:tcBorders>
            <w:shd w:val="clear" w:color="000000" w:fill="C0E6F5"/>
            <w:vAlign w:val="center"/>
            <w:hideMark/>
          </w:tcPr>
          <w:p w14:paraId="271F1873"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22-ene</w:t>
            </w:r>
          </w:p>
        </w:tc>
        <w:tc>
          <w:tcPr>
            <w:tcW w:w="1198" w:type="dxa"/>
            <w:tcBorders>
              <w:top w:val="single" w:sz="8" w:space="0" w:color="auto"/>
              <w:left w:val="nil"/>
              <w:bottom w:val="single" w:sz="8" w:space="0" w:color="auto"/>
              <w:right w:val="single" w:sz="4" w:space="0" w:color="auto"/>
            </w:tcBorders>
            <w:shd w:val="clear" w:color="000000" w:fill="44B3E1"/>
            <w:vAlign w:val="center"/>
            <w:hideMark/>
          </w:tcPr>
          <w:p w14:paraId="6EF9AE5E"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25-ene</w:t>
            </w:r>
          </w:p>
        </w:tc>
        <w:tc>
          <w:tcPr>
            <w:tcW w:w="992" w:type="dxa"/>
            <w:tcBorders>
              <w:top w:val="single" w:sz="8" w:space="0" w:color="auto"/>
              <w:left w:val="nil"/>
              <w:bottom w:val="single" w:sz="8" w:space="0" w:color="auto"/>
              <w:right w:val="single" w:sz="4" w:space="0" w:color="auto"/>
            </w:tcBorders>
            <w:shd w:val="clear" w:color="000000" w:fill="C0E6F5"/>
            <w:vAlign w:val="center"/>
            <w:hideMark/>
          </w:tcPr>
          <w:p w14:paraId="7BA34DFF"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28-ene</w:t>
            </w:r>
          </w:p>
        </w:tc>
        <w:tc>
          <w:tcPr>
            <w:tcW w:w="1134" w:type="dxa"/>
            <w:tcBorders>
              <w:top w:val="single" w:sz="8" w:space="0" w:color="auto"/>
              <w:left w:val="nil"/>
              <w:bottom w:val="single" w:sz="8" w:space="0" w:color="auto"/>
              <w:right w:val="single" w:sz="4" w:space="0" w:color="auto"/>
            </w:tcBorders>
            <w:shd w:val="clear" w:color="000000" w:fill="C0E6F5"/>
            <w:vAlign w:val="center"/>
            <w:hideMark/>
          </w:tcPr>
          <w:p w14:paraId="42F42799"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31-ene</w:t>
            </w:r>
          </w:p>
        </w:tc>
        <w:tc>
          <w:tcPr>
            <w:tcW w:w="1276" w:type="dxa"/>
            <w:tcBorders>
              <w:top w:val="single" w:sz="8" w:space="0" w:color="auto"/>
              <w:left w:val="nil"/>
              <w:bottom w:val="single" w:sz="8" w:space="0" w:color="auto"/>
              <w:right w:val="single" w:sz="8" w:space="0" w:color="auto"/>
            </w:tcBorders>
            <w:shd w:val="clear" w:color="000000" w:fill="44B3E1"/>
            <w:vAlign w:val="center"/>
            <w:hideMark/>
          </w:tcPr>
          <w:p w14:paraId="2B9FEB14" w14:textId="77777777" w:rsidR="007B535F" w:rsidRPr="007B535F" w:rsidRDefault="007B535F" w:rsidP="007B535F">
            <w:pPr>
              <w:spacing w:after="0" w:line="240" w:lineRule="auto"/>
              <w:jc w:val="center"/>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01-feb</w:t>
            </w:r>
          </w:p>
        </w:tc>
      </w:tr>
      <w:tr w:rsidR="007B535F" w:rsidRPr="007B535F" w14:paraId="4DD5D9B7" w14:textId="77777777" w:rsidTr="007B535F">
        <w:trPr>
          <w:trHeight w:val="319"/>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70031662"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Definición del problema</w:t>
            </w:r>
          </w:p>
        </w:tc>
        <w:tc>
          <w:tcPr>
            <w:tcW w:w="969" w:type="dxa"/>
            <w:tcBorders>
              <w:top w:val="nil"/>
              <w:left w:val="nil"/>
              <w:bottom w:val="single" w:sz="4" w:space="0" w:color="auto"/>
              <w:right w:val="single" w:sz="4" w:space="0" w:color="auto"/>
            </w:tcBorders>
            <w:shd w:val="clear" w:color="000000" w:fill="4EA72E"/>
            <w:vAlign w:val="center"/>
            <w:hideMark/>
          </w:tcPr>
          <w:p w14:paraId="417EA3D7"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shd w:val="clear" w:color="000000" w:fill="4EA72E"/>
            <w:vAlign w:val="center"/>
            <w:hideMark/>
          </w:tcPr>
          <w:p w14:paraId="32603ADC"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30BED5E7"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2420B97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vAlign w:val="center"/>
            <w:hideMark/>
          </w:tcPr>
          <w:p w14:paraId="1676D236"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vAlign w:val="center"/>
            <w:hideMark/>
          </w:tcPr>
          <w:p w14:paraId="676B10E5"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vAlign w:val="center"/>
            <w:hideMark/>
          </w:tcPr>
          <w:p w14:paraId="117412A3"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vAlign w:val="center"/>
            <w:hideMark/>
          </w:tcPr>
          <w:p w14:paraId="2CFBAAD8"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4FEE1E75" w14:textId="77777777" w:rsidTr="007B535F">
        <w:trPr>
          <w:trHeight w:val="243"/>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200E12A1"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Recolección de datos</w:t>
            </w:r>
          </w:p>
        </w:tc>
        <w:tc>
          <w:tcPr>
            <w:tcW w:w="969" w:type="dxa"/>
            <w:tcBorders>
              <w:top w:val="nil"/>
              <w:left w:val="nil"/>
              <w:bottom w:val="single" w:sz="4" w:space="0" w:color="auto"/>
              <w:right w:val="single" w:sz="4" w:space="0" w:color="auto"/>
            </w:tcBorders>
            <w:vAlign w:val="center"/>
            <w:hideMark/>
          </w:tcPr>
          <w:p w14:paraId="56ED7976"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6F598EF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shd w:val="clear" w:color="000000" w:fill="4EA72E"/>
            <w:vAlign w:val="center"/>
            <w:hideMark/>
          </w:tcPr>
          <w:p w14:paraId="59CD7CAE"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3B3503D7"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vAlign w:val="center"/>
            <w:hideMark/>
          </w:tcPr>
          <w:p w14:paraId="7BE126C5"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vAlign w:val="center"/>
            <w:hideMark/>
          </w:tcPr>
          <w:p w14:paraId="07994157"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vAlign w:val="center"/>
            <w:hideMark/>
          </w:tcPr>
          <w:p w14:paraId="1D6C5E21"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vAlign w:val="center"/>
            <w:hideMark/>
          </w:tcPr>
          <w:p w14:paraId="6163E251"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02F3B587" w14:textId="77777777" w:rsidTr="007B535F">
        <w:trPr>
          <w:trHeight w:val="243"/>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7D1350F5"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Limpieza de datos</w:t>
            </w:r>
          </w:p>
        </w:tc>
        <w:tc>
          <w:tcPr>
            <w:tcW w:w="969" w:type="dxa"/>
            <w:tcBorders>
              <w:top w:val="nil"/>
              <w:left w:val="nil"/>
              <w:bottom w:val="single" w:sz="4" w:space="0" w:color="auto"/>
              <w:right w:val="single" w:sz="4" w:space="0" w:color="auto"/>
            </w:tcBorders>
            <w:vAlign w:val="center"/>
            <w:hideMark/>
          </w:tcPr>
          <w:p w14:paraId="6915BAC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01AAE379"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13E54C83"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shd w:val="clear" w:color="000000" w:fill="4EA72E"/>
            <w:vAlign w:val="center"/>
            <w:hideMark/>
          </w:tcPr>
          <w:p w14:paraId="5EB4EFDE"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vAlign w:val="center"/>
            <w:hideMark/>
          </w:tcPr>
          <w:p w14:paraId="5E6303EB"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vAlign w:val="center"/>
            <w:hideMark/>
          </w:tcPr>
          <w:p w14:paraId="179A3A45"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vAlign w:val="center"/>
            <w:hideMark/>
          </w:tcPr>
          <w:p w14:paraId="12BA322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vAlign w:val="center"/>
            <w:hideMark/>
          </w:tcPr>
          <w:p w14:paraId="0C21ACED"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1957E4C2" w14:textId="77777777" w:rsidTr="007B535F">
        <w:trPr>
          <w:trHeight w:val="243"/>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5A879CB6"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Cálculo retornos y riesgo</w:t>
            </w:r>
          </w:p>
        </w:tc>
        <w:tc>
          <w:tcPr>
            <w:tcW w:w="969" w:type="dxa"/>
            <w:tcBorders>
              <w:top w:val="nil"/>
              <w:left w:val="nil"/>
              <w:bottom w:val="single" w:sz="4" w:space="0" w:color="auto"/>
              <w:right w:val="single" w:sz="4" w:space="0" w:color="auto"/>
            </w:tcBorders>
            <w:vAlign w:val="center"/>
            <w:hideMark/>
          </w:tcPr>
          <w:p w14:paraId="1F93D37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0523D1C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4A32669A"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shd w:val="clear" w:color="000000" w:fill="4EA72E"/>
            <w:vAlign w:val="center"/>
            <w:hideMark/>
          </w:tcPr>
          <w:p w14:paraId="0A96F019"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shd w:val="clear" w:color="000000" w:fill="4EA72E"/>
            <w:vAlign w:val="center"/>
            <w:hideMark/>
          </w:tcPr>
          <w:p w14:paraId="5B85B3DD"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shd w:val="clear" w:color="000000" w:fill="4EA72E"/>
            <w:vAlign w:val="center"/>
            <w:hideMark/>
          </w:tcPr>
          <w:p w14:paraId="33521BBF"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vAlign w:val="center"/>
            <w:hideMark/>
          </w:tcPr>
          <w:p w14:paraId="6FFF4EE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vAlign w:val="center"/>
            <w:hideMark/>
          </w:tcPr>
          <w:p w14:paraId="30827F3C"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63D84AE6" w14:textId="77777777" w:rsidTr="007B535F">
        <w:trPr>
          <w:trHeight w:val="243"/>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5BEFB6A6"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Análisis correlación</w:t>
            </w:r>
          </w:p>
        </w:tc>
        <w:tc>
          <w:tcPr>
            <w:tcW w:w="969" w:type="dxa"/>
            <w:tcBorders>
              <w:top w:val="nil"/>
              <w:left w:val="nil"/>
              <w:bottom w:val="single" w:sz="4" w:space="0" w:color="auto"/>
              <w:right w:val="single" w:sz="4" w:space="0" w:color="auto"/>
            </w:tcBorders>
            <w:vAlign w:val="center"/>
            <w:hideMark/>
          </w:tcPr>
          <w:p w14:paraId="163EE5C9"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0601FD9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1569DB07"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1904613B"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vAlign w:val="center"/>
            <w:hideMark/>
          </w:tcPr>
          <w:p w14:paraId="5812C51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shd w:val="clear" w:color="000000" w:fill="4EA72E"/>
            <w:vAlign w:val="center"/>
            <w:hideMark/>
          </w:tcPr>
          <w:p w14:paraId="631ECC3B"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shd w:val="clear" w:color="000000" w:fill="4EA72E"/>
            <w:vAlign w:val="center"/>
            <w:hideMark/>
          </w:tcPr>
          <w:p w14:paraId="2F8DCFF9"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vAlign w:val="center"/>
            <w:hideMark/>
          </w:tcPr>
          <w:p w14:paraId="6E704371"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02504F93" w14:textId="77777777" w:rsidTr="007B535F">
        <w:trPr>
          <w:trHeight w:val="243"/>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7BBE3557"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Rebalanceo portafolio</w:t>
            </w:r>
          </w:p>
        </w:tc>
        <w:tc>
          <w:tcPr>
            <w:tcW w:w="969" w:type="dxa"/>
            <w:tcBorders>
              <w:top w:val="nil"/>
              <w:left w:val="nil"/>
              <w:bottom w:val="single" w:sz="4" w:space="0" w:color="auto"/>
              <w:right w:val="single" w:sz="4" w:space="0" w:color="auto"/>
            </w:tcBorders>
            <w:vAlign w:val="center"/>
            <w:hideMark/>
          </w:tcPr>
          <w:p w14:paraId="4B11380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6E9E395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470A49D8"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70BFC6E5"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vAlign w:val="center"/>
            <w:hideMark/>
          </w:tcPr>
          <w:p w14:paraId="083E40D2"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shd w:val="clear" w:color="000000" w:fill="4EA72E"/>
            <w:vAlign w:val="center"/>
            <w:hideMark/>
          </w:tcPr>
          <w:p w14:paraId="5749750E"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shd w:val="clear" w:color="000000" w:fill="4EA72E"/>
            <w:vAlign w:val="center"/>
            <w:hideMark/>
          </w:tcPr>
          <w:p w14:paraId="381C7FD7"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shd w:val="clear" w:color="000000" w:fill="4EA72E"/>
            <w:vAlign w:val="center"/>
            <w:hideMark/>
          </w:tcPr>
          <w:p w14:paraId="38612835"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5E142FC8" w14:textId="77777777" w:rsidTr="007B535F">
        <w:trPr>
          <w:trHeight w:val="243"/>
        </w:trPr>
        <w:tc>
          <w:tcPr>
            <w:tcW w:w="2004" w:type="dxa"/>
            <w:tcBorders>
              <w:top w:val="nil"/>
              <w:left w:val="single" w:sz="8" w:space="0" w:color="auto"/>
              <w:bottom w:val="single" w:sz="4" w:space="0" w:color="auto"/>
              <w:right w:val="single" w:sz="8" w:space="0" w:color="auto"/>
            </w:tcBorders>
            <w:shd w:val="clear" w:color="000000" w:fill="C0E6F5"/>
            <w:vAlign w:val="center"/>
            <w:hideMark/>
          </w:tcPr>
          <w:p w14:paraId="5E097778"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Documentación final</w:t>
            </w:r>
          </w:p>
        </w:tc>
        <w:tc>
          <w:tcPr>
            <w:tcW w:w="969" w:type="dxa"/>
            <w:tcBorders>
              <w:top w:val="nil"/>
              <w:left w:val="nil"/>
              <w:bottom w:val="single" w:sz="4" w:space="0" w:color="auto"/>
              <w:right w:val="single" w:sz="4" w:space="0" w:color="auto"/>
            </w:tcBorders>
            <w:vAlign w:val="center"/>
            <w:hideMark/>
          </w:tcPr>
          <w:p w14:paraId="2C3911DC"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246EF88B"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5041BB3F"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4" w:space="0" w:color="auto"/>
              <w:right w:val="single" w:sz="4" w:space="0" w:color="auto"/>
            </w:tcBorders>
            <w:vAlign w:val="center"/>
            <w:hideMark/>
          </w:tcPr>
          <w:p w14:paraId="04B9360F"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4" w:space="0" w:color="auto"/>
              <w:right w:val="single" w:sz="4" w:space="0" w:color="auto"/>
            </w:tcBorders>
            <w:vAlign w:val="center"/>
            <w:hideMark/>
          </w:tcPr>
          <w:p w14:paraId="505B8C9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4" w:space="0" w:color="auto"/>
              <w:right w:val="single" w:sz="4" w:space="0" w:color="auto"/>
            </w:tcBorders>
            <w:vAlign w:val="center"/>
            <w:hideMark/>
          </w:tcPr>
          <w:p w14:paraId="632CED45"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4" w:space="0" w:color="auto"/>
              <w:right w:val="single" w:sz="4" w:space="0" w:color="auto"/>
            </w:tcBorders>
            <w:shd w:val="clear" w:color="000000" w:fill="4EA72E"/>
            <w:vAlign w:val="center"/>
            <w:hideMark/>
          </w:tcPr>
          <w:p w14:paraId="4D97524C"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4" w:space="0" w:color="auto"/>
              <w:right w:val="single" w:sz="8" w:space="0" w:color="auto"/>
            </w:tcBorders>
            <w:shd w:val="clear" w:color="000000" w:fill="4EA72E"/>
            <w:vAlign w:val="center"/>
            <w:hideMark/>
          </w:tcPr>
          <w:p w14:paraId="413D0C78"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r w:rsidR="007B535F" w:rsidRPr="007B535F" w14:paraId="7256483A" w14:textId="77777777" w:rsidTr="007B535F">
        <w:trPr>
          <w:trHeight w:val="252"/>
        </w:trPr>
        <w:tc>
          <w:tcPr>
            <w:tcW w:w="2004" w:type="dxa"/>
            <w:tcBorders>
              <w:top w:val="nil"/>
              <w:left w:val="single" w:sz="8" w:space="0" w:color="auto"/>
              <w:bottom w:val="single" w:sz="8" w:space="0" w:color="auto"/>
              <w:right w:val="single" w:sz="8" w:space="0" w:color="auto"/>
            </w:tcBorders>
            <w:shd w:val="clear" w:color="000000" w:fill="C0E6F5"/>
            <w:vAlign w:val="center"/>
            <w:hideMark/>
          </w:tcPr>
          <w:p w14:paraId="477A03D7" w14:textId="77777777" w:rsidR="007B535F" w:rsidRPr="007B535F" w:rsidRDefault="007B535F" w:rsidP="007B535F">
            <w:pPr>
              <w:spacing w:after="0" w:line="240" w:lineRule="auto"/>
              <w:rPr>
                <w:rFonts w:ascii="Aptos Narrow" w:eastAsia="Times New Roman" w:hAnsi="Aptos Narrow" w:cs="Times New Roman"/>
                <w:b/>
                <w:bCs/>
                <w:color w:val="000000"/>
                <w:kern w:val="0"/>
                <w:lang w:eastAsia="es-CL"/>
                <w14:ligatures w14:val="none"/>
              </w:rPr>
            </w:pPr>
            <w:r w:rsidRPr="007B535F">
              <w:rPr>
                <w:rFonts w:ascii="Aptos Narrow" w:eastAsia="Times New Roman" w:hAnsi="Aptos Narrow" w:cs="Times New Roman"/>
                <w:b/>
                <w:bCs/>
                <w:color w:val="000000"/>
                <w:kern w:val="0"/>
                <w:lang w:eastAsia="es-CL"/>
                <w14:ligatures w14:val="none"/>
              </w:rPr>
              <w:t>Entrega final</w:t>
            </w:r>
          </w:p>
        </w:tc>
        <w:tc>
          <w:tcPr>
            <w:tcW w:w="969" w:type="dxa"/>
            <w:tcBorders>
              <w:top w:val="nil"/>
              <w:left w:val="nil"/>
              <w:bottom w:val="single" w:sz="8" w:space="0" w:color="auto"/>
              <w:right w:val="single" w:sz="4" w:space="0" w:color="auto"/>
            </w:tcBorders>
            <w:vAlign w:val="center"/>
            <w:hideMark/>
          </w:tcPr>
          <w:p w14:paraId="2EF2366F"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8" w:space="0" w:color="auto"/>
              <w:right w:val="single" w:sz="4" w:space="0" w:color="auto"/>
            </w:tcBorders>
            <w:vAlign w:val="center"/>
            <w:hideMark/>
          </w:tcPr>
          <w:p w14:paraId="1D1F064F"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8" w:space="0" w:color="auto"/>
              <w:right w:val="single" w:sz="4" w:space="0" w:color="auto"/>
            </w:tcBorders>
            <w:vAlign w:val="center"/>
            <w:hideMark/>
          </w:tcPr>
          <w:p w14:paraId="4A41D133"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69" w:type="dxa"/>
            <w:tcBorders>
              <w:top w:val="nil"/>
              <w:left w:val="nil"/>
              <w:bottom w:val="single" w:sz="8" w:space="0" w:color="auto"/>
              <w:right w:val="single" w:sz="4" w:space="0" w:color="auto"/>
            </w:tcBorders>
            <w:vAlign w:val="center"/>
            <w:hideMark/>
          </w:tcPr>
          <w:p w14:paraId="5A037CD3"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98" w:type="dxa"/>
            <w:tcBorders>
              <w:top w:val="nil"/>
              <w:left w:val="nil"/>
              <w:bottom w:val="single" w:sz="8" w:space="0" w:color="auto"/>
              <w:right w:val="single" w:sz="4" w:space="0" w:color="auto"/>
            </w:tcBorders>
            <w:vAlign w:val="center"/>
            <w:hideMark/>
          </w:tcPr>
          <w:p w14:paraId="52D888B0"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992" w:type="dxa"/>
            <w:tcBorders>
              <w:top w:val="nil"/>
              <w:left w:val="nil"/>
              <w:bottom w:val="single" w:sz="8" w:space="0" w:color="auto"/>
              <w:right w:val="single" w:sz="4" w:space="0" w:color="auto"/>
            </w:tcBorders>
            <w:vAlign w:val="center"/>
            <w:hideMark/>
          </w:tcPr>
          <w:p w14:paraId="5800A034"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134" w:type="dxa"/>
            <w:tcBorders>
              <w:top w:val="nil"/>
              <w:left w:val="nil"/>
              <w:bottom w:val="single" w:sz="8" w:space="0" w:color="auto"/>
              <w:right w:val="single" w:sz="4" w:space="0" w:color="auto"/>
            </w:tcBorders>
            <w:vAlign w:val="center"/>
            <w:hideMark/>
          </w:tcPr>
          <w:p w14:paraId="2B0EC3AF"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c>
          <w:tcPr>
            <w:tcW w:w="1276" w:type="dxa"/>
            <w:tcBorders>
              <w:top w:val="nil"/>
              <w:left w:val="nil"/>
              <w:bottom w:val="single" w:sz="8" w:space="0" w:color="auto"/>
              <w:right w:val="single" w:sz="8" w:space="0" w:color="auto"/>
            </w:tcBorders>
            <w:shd w:val="clear" w:color="000000" w:fill="4EA72E"/>
            <w:vAlign w:val="center"/>
            <w:hideMark/>
          </w:tcPr>
          <w:p w14:paraId="7075CD6A" w14:textId="77777777" w:rsidR="007B535F" w:rsidRPr="007B535F" w:rsidRDefault="007B535F" w:rsidP="007B535F">
            <w:pPr>
              <w:spacing w:after="0" w:line="240" w:lineRule="auto"/>
              <w:rPr>
                <w:rFonts w:ascii="Aptos Narrow" w:eastAsia="Times New Roman" w:hAnsi="Aptos Narrow" w:cs="Times New Roman"/>
                <w:color w:val="000000"/>
                <w:kern w:val="0"/>
                <w:lang w:eastAsia="es-CL"/>
                <w14:ligatures w14:val="none"/>
              </w:rPr>
            </w:pPr>
            <w:r w:rsidRPr="007B535F">
              <w:rPr>
                <w:rFonts w:ascii="Aptos Narrow" w:eastAsia="Times New Roman" w:hAnsi="Aptos Narrow" w:cs="Times New Roman"/>
                <w:color w:val="000000"/>
                <w:kern w:val="0"/>
                <w:lang w:eastAsia="es-CL"/>
                <w14:ligatures w14:val="none"/>
              </w:rPr>
              <w:t> </w:t>
            </w:r>
          </w:p>
        </w:tc>
      </w:tr>
    </w:tbl>
    <w:p w14:paraId="1A4CC79E" w14:textId="77777777" w:rsidR="00723BE8" w:rsidRDefault="00723BE8" w:rsidP="00522AC6"/>
    <w:p w14:paraId="5AF824E4" w14:textId="1AA6E1E6" w:rsidR="00723BE8" w:rsidRDefault="00D84998" w:rsidP="00723BE8">
      <w:pPr>
        <w:pStyle w:val="Prrafodelista"/>
        <w:ind w:left="1440"/>
      </w:pPr>
      <w:r>
        <w:t xml:space="preserve"> </w:t>
      </w:r>
    </w:p>
    <w:sectPr w:rsidR="00723B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70A8"/>
    <w:multiLevelType w:val="multilevel"/>
    <w:tmpl w:val="3F1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32C07"/>
    <w:multiLevelType w:val="hybridMultilevel"/>
    <w:tmpl w:val="031233C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2CD0F66"/>
    <w:multiLevelType w:val="multilevel"/>
    <w:tmpl w:val="D6D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A4276"/>
    <w:multiLevelType w:val="hybridMultilevel"/>
    <w:tmpl w:val="D62CE4D8"/>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4" w15:restartNumberingAfterBreak="0">
    <w:nsid w:val="69A478E7"/>
    <w:multiLevelType w:val="hybridMultilevel"/>
    <w:tmpl w:val="08342B5A"/>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956792350">
    <w:abstractNumId w:val="1"/>
  </w:num>
  <w:num w:numId="2" w16cid:durableId="1278097821">
    <w:abstractNumId w:val="4"/>
  </w:num>
  <w:num w:numId="3" w16cid:durableId="1984313407">
    <w:abstractNumId w:val="2"/>
  </w:num>
  <w:num w:numId="4" w16cid:durableId="254675826">
    <w:abstractNumId w:val="0"/>
  </w:num>
  <w:num w:numId="5" w16cid:durableId="411585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6E"/>
    <w:rsid w:val="00046485"/>
    <w:rsid w:val="00053278"/>
    <w:rsid w:val="000661E1"/>
    <w:rsid w:val="000965E5"/>
    <w:rsid w:val="000A33CD"/>
    <w:rsid w:val="000E722A"/>
    <w:rsid w:val="00151515"/>
    <w:rsid w:val="001532B4"/>
    <w:rsid w:val="00185999"/>
    <w:rsid w:val="001C4047"/>
    <w:rsid w:val="0026457C"/>
    <w:rsid w:val="00282BA2"/>
    <w:rsid w:val="003245DC"/>
    <w:rsid w:val="00347EDA"/>
    <w:rsid w:val="003512CC"/>
    <w:rsid w:val="003E45ED"/>
    <w:rsid w:val="00450892"/>
    <w:rsid w:val="004E5FC1"/>
    <w:rsid w:val="00507578"/>
    <w:rsid w:val="00522AC6"/>
    <w:rsid w:val="00536A83"/>
    <w:rsid w:val="00573D78"/>
    <w:rsid w:val="005B2EF8"/>
    <w:rsid w:val="005E0107"/>
    <w:rsid w:val="005F4607"/>
    <w:rsid w:val="00615DC4"/>
    <w:rsid w:val="00677140"/>
    <w:rsid w:val="006F0937"/>
    <w:rsid w:val="006F7CC3"/>
    <w:rsid w:val="00723BE8"/>
    <w:rsid w:val="007244F1"/>
    <w:rsid w:val="007B535F"/>
    <w:rsid w:val="007C1383"/>
    <w:rsid w:val="007F4AF1"/>
    <w:rsid w:val="007F6106"/>
    <w:rsid w:val="00803918"/>
    <w:rsid w:val="00885F42"/>
    <w:rsid w:val="008A696C"/>
    <w:rsid w:val="0092015E"/>
    <w:rsid w:val="009A3FD5"/>
    <w:rsid w:val="009F7715"/>
    <w:rsid w:val="00A01C6E"/>
    <w:rsid w:val="00AF04C9"/>
    <w:rsid w:val="00AF11A8"/>
    <w:rsid w:val="00B6732E"/>
    <w:rsid w:val="00BD5D3F"/>
    <w:rsid w:val="00BE6F04"/>
    <w:rsid w:val="00C974B7"/>
    <w:rsid w:val="00D013D1"/>
    <w:rsid w:val="00D34124"/>
    <w:rsid w:val="00D84998"/>
    <w:rsid w:val="00E02AF6"/>
    <w:rsid w:val="00F21539"/>
    <w:rsid w:val="00F84E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E33F"/>
  <w15:chartTrackingRefBased/>
  <w15:docId w15:val="{B08ACDCE-000F-4B56-BDA2-167146AB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AF1"/>
  </w:style>
  <w:style w:type="paragraph" w:styleId="Ttulo1">
    <w:name w:val="heading 1"/>
    <w:basedOn w:val="Normal"/>
    <w:next w:val="Normal"/>
    <w:link w:val="Ttulo1Car"/>
    <w:uiPriority w:val="9"/>
    <w:qFormat/>
    <w:rsid w:val="00A01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01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1C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1C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1C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1C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1C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1C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1C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1C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01C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1C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1C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1C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1C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1C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1C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1C6E"/>
    <w:rPr>
      <w:rFonts w:eastAsiaTheme="majorEastAsia" w:cstheme="majorBidi"/>
      <w:color w:val="272727" w:themeColor="text1" w:themeTint="D8"/>
    </w:rPr>
  </w:style>
  <w:style w:type="paragraph" w:styleId="Ttulo">
    <w:name w:val="Title"/>
    <w:basedOn w:val="Normal"/>
    <w:next w:val="Normal"/>
    <w:link w:val="TtuloCar"/>
    <w:uiPriority w:val="10"/>
    <w:qFormat/>
    <w:rsid w:val="00A01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1C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1C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1C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1C6E"/>
    <w:pPr>
      <w:spacing w:before="160"/>
      <w:jc w:val="center"/>
    </w:pPr>
    <w:rPr>
      <w:i/>
      <w:iCs/>
      <w:color w:val="404040" w:themeColor="text1" w:themeTint="BF"/>
    </w:rPr>
  </w:style>
  <w:style w:type="character" w:customStyle="1" w:styleId="CitaCar">
    <w:name w:val="Cita Car"/>
    <w:basedOn w:val="Fuentedeprrafopredeter"/>
    <w:link w:val="Cita"/>
    <w:uiPriority w:val="29"/>
    <w:rsid w:val="00A01C6E"/>
    <w:rPr>
      <w:i/>
      <w:iCs/>
      <w:color w:val="404040" w:themeColor="text1" w:themeTint="BF"/>
    </w:rPr>
  </w:style>
  <w:style w:type="paragraph" w:styleId="Prrafodelista">
    <w:name w:val="List Paragraph"/>
    <w:basedOn w:val="Normal"/>
    <w:uiPriority w:val="34"/>
    <w:qFormat/>
    <w:rsid w:val="00A01C6E"/>
    <w:pPr>
      <w:ind w:left="720"/>
      <w:contextualSpacing/>
    </w:pPr>
  </w:style>
  <w:style w:type="character" w:styleId="nfasisintenso">
    <w:name w:val="Intense Emphasis"/>
    <w:basedOn w:val="Fuentedeprrafopredeter"/>
    <w:uiPriority w:val="21"/>
    <w:qFormat/>
    <w:rsid w:val="00A01C6E"/>
    <w:rPr>
      <w:i/>
      <w:iCs/>
      <w:color w:val="0F4761" w:themeColor="accent1" w:themeShade="BF"/>
    </w:rPr>
  </w:style>
  <w:style w:type="paragraph" w:styleId="Citadestacada">
    <w:name w:val="Intense Quote"/>
    <w:basedOn w:val="Normal"/>
    <w:next w:val="Normal"/>
    <w:link w:val="CitadestacadaCar"/>
    <w:uiPriority w:val="30"/>
    <w:qFormat/>
    <w:rsid w:val="00A01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1C6E"/>
    <w:rPr>
      <w:i/>
      <w:iCs/>
      <w:color w:val="0F4761" w:themeColor="accent1" w:themeShade="BF"/>
    </w:rPr>
  </w:style>
  <w:style w:type="character" w:styleId="Referenciaintensa">
    <w:name w:val="Intense Reference"/>
    <w:basedOn w:val="Fuentedeprrafopredeter"/>
    <w:uiPriority w:val="32"/>
    <w:qFormat/>
    <w:rsid w:val="00A01C6E"/>
    <w:rPr>
      <w:b/>
      <w:bCs/>
      <w:smallCaps/>
      <w:color w:val="0F4761" w:themeColor="accent1" w:themeShade="BF"/>
      <w:spacing w:val="5"/>
    </w:rPr>
  </w:style>
  <w:style w:type="character" w:styleId="Hipervnculo">
    <w:name w:val="Hyperlink"/>
    <w:basedOn w:val="Fuentedeprrafopredeter"/>
    <w:uiPriority w:val="99"/>
    <w:unhideWhenUsed/>
    <w:rsid w:val="00A01C6E"/>
    <w:rPr>
      <w:color w:val="467886" w:themeColor="hyperlink"/>
      <w:u w:val="single"/>
    </w:rPr>
  </w:style>
  <w:style w:type="character" w:styleId="Mencinsinresolver">
    <w:name w:val="Unresolved Mention"/>
    <w:basedOn w:val="Fuentedeprrafopredeter"/>
    <w:uiPriority w:val="99"/>
    <w:semiHidden/>
    <w:unhideWhenUsed/>
    <w:rsid w:val="00A01C6E"/>
    <w:rPr>
      <w:color w:val="605E5C"/>
      <w:shd w:val="clear" w:color="auto" w:fill="E1DFDD"/>
    </w:rPr>
  </w:style>
  <w:style w:type="paragraph" w:styleId="NormalWeb">
    <w:name w:val="Normal (Web)"/>
    <w:basedOn w:val="Normal"/>
    <w:uiPriority w:val="99"/>
    <w:unhideWhenUsed/>
    <w:rsid w:val="00AF04C9"/>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Textoennegrita">
    <w:name w:val="Strong"/>
    <w:basedOn w:val="Fuentedeprrafopredeter"/>
    <w:uiPriority w:val="22"/>
    <w:qFormat/>
    <w:rsid w:val="00AF11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iel.silvaecheverr&#237;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4824</TotalTime>
  <Pages>3</Pages>
  <Words>698</Words>
  <Characters>3844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Silva</dc:creator>
  <cp:keywords/>
  <dc:description/>
  <cp:lastModifiedBy>Ariel Silva</cp:lastModifiedBy>
  <cp:revision>48</cp:revision>
  <dcterms:created xsi:type="dcterms:W3CDTF">2026-01-15T14:55:00Z</dcterms:created>
  <dcterms:modified xsi:type="dcterms:W3CDTF">2026-01-18T23:50:00Z</dcterms:modified>
</cp:coreProperties>
</file>