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Times New Roman" w:hAnsi="Times New Roman"/>
          <w:b/>
          <w:sz w:val="28"/>
        </w:rPr>
        <w:t>AXIOM-Mobile: Measuring Minimal Training Data Requirements</w:t>
        <w:br/>
        <w:t>for On-Device Domain Reasoning Under Mobile Constraints</w:t>
      </w:r>
    </w:p>
    <w:p>
      <w:pPr>
        <w:spacing w:after="40"/>
        <w:jc w:val="center"/>
      </w:pPr>
      <w:r>
        <w:rPr>
          <w:rFonts w:ascii="Times New Roman" w:hAnsi="Times New Roman"/>
          <w:sz w:val="24"/>
        </w:rPr>
        <w:t>Annie Boltwood, Mahim Chaudhary, Ariel Tyson</w:t>
      </w:r>
    </w:p>
    <w:p>
      <w:pPr>
        <w:spacing w:after="320"/>
        <w:jc w:val="center"/>
      </w:pPr>
      <w:r>
        <w:rPr>
          <w:rFonts w:ascii="Times New Roman" w:hAnsi="Times New Roman"/>
          <w:i/>
          <w:sz w:val="22"/>
        </w:rPr>
        <w:t>Simon Fraser University, School of Computing Science</w:t>
      </w:r>
    </w:p>
    <w:p>
      <w:pPr>
        <w:spacing w:after="240" w:line="240" w:lineRule="exact"/>
        <w:ind w:left="720" w:right="720"/>
        <w:jc w:val="both"/>
      </w:pPr>
      <w:r>
        <w:rPr>
          <w:rFonts w:ascii="Times New Roman" w:hAnsi="Times New Roman"/>
          <w:b/>
          <w:i/>
          <w:sz w:val="20"/>
        </w:rPr>
        <w:t>Abstract—</w:t>
      </w:r>
      <w:r>
        <w:rPr>
          <w:rFonts w:ascii="Times New Roman" w:hAnsi="Times New Roman"/>
          <w:sz w:val="20"/>
        </w:rPr>
        <w:t>We present AXIOM-Mobile, an integrated system and experimental framework for measuring the minimal training set size (k*) required for effective visual question answering on mobile devices under strict quality, latency, energy, and memory constraints. We report results across two experimental regimes: v0, comprising 52 examples over 24 answer classes yielding 10% test exact match (EM), and v1, comprising 452 examples over 128 answer classes yielding 27.5% test EM. Physical-device profiling on an iPhone 15 Pro Max (A17 Pro) achieves p50 latency of 14.0–14.5 ms, which is 28× below the 400 ms threshold. While the 70% EM quality target remains unmet, dataset scaling is confirmed as the primary lever for improvement. We employ an honest status tracking system that transparently reports metric shortfalls alongside infrastructure achievements.</w:t>
      </w:r>
    </w:p>
    <w:p>
      <w:pPr>
        <w:spacing w:before="240" w:after="80"/>
      </w:pPr>
      <w:r>
        <w:rPr>
          <w:rFonts w:ascii="Times New Roman" w:hAnsi="Times New Roman"/>
          <w:b/>
          <w:sz w:val="24"/>
        </w:rPr>
        <w:t>1  Introduction</w:t>
      </w:r>
    </w:p>
    <w:p>
      <w:pPr>
        <w:spacing w:after="120" w:before="0" w:line="240" w:lineRule="exact"/>
        <w:jc w:val="both"/>
      </w:pPr>
      <w:r>
        <w:rPr>
          <w:rFonts w:ascii="Times New Roman" w:hAnsi="Times New Roman"/>
          <w:sz w:val="20"/>
        </w:rPr>
        <w:t>Mobile devices have become the primary computing platform for billions of users worldwide, yet deploying machine learning models that perform domain-specific reasoning on-device remains a fundamental challenge. The tension is clear: achieving high-quality predictions typically demands large training datasets and expressive model architectures, while practical mobile deployment requires small, fast models that operate within strict resource budgets. This tension is particularly acute for visual question answering (VQA) tasks, where models must jointly reason over image content and natural language queries to produce correct responses.</w:t>
      </w:r>
    </w:p>
    <w:p>
      <w:pPr>
        <w:spacing w:after="120" w:before="0" w:line="240" w:lineRule="exact"/>
        <w:jc w:val="both"/>
      </w:pPr>
      <w:r>
        <w:rPr>
          <w:rFonts w:ascii="Times New Roman" w:hAnsi="Times New Roman"/>
          <w:sz w:val="20"/>
        </w:rPr>
        <w:t>In this paper, we investigate a precise formulation of this tension through the following research question: What is k*—the minimal training set size at which an on-device VQA model achieves effective domain reasoning under mobile constraints? We define "effective" through six measurable thresholds that span quality and efficiency: exact match accuracy EM ≥ 70%, median inference latency p50 ≤ 400 ms, 95th-percentile latency p95 ≤ 600 ms, energy consumption &lt; 5% battery per hour, peak memory usage &lt; 500 MB, and model binary size &lt; 100 MB. These thresholds are grounded in user-experience research and mobile platform guidelines, ensuring that our definition of effectiveness is both rigorous and practically relevant.</w:t>
      </w:r>
    </w:p>
    <w:p>
      <w:pPr>
        <w:spacing w:after="120" w:before="0" w:line="240" w:lineRule="exact"/>
        <w:jc w:val="both"/>
      </w:pPr>
      <w:r>
        <w:rPr>
          <w:rFonts w:ascii="Times New Roman" w:hAnsi="Times New Roman"/>
          <w:sz w:val="20"/>
        </w:rPr>
        <w:t>To address this question, we make five contributions. First, we develop an end-to-end iOS and Python testbed with real Core ML inference on physical hardware, enabling reproducible benchmarking that reflects actual deployment conditions. Second, we implement and compare three data selection strategies—random, uncertainty-based, and diversity-based—with bootstrap confidence intervals to quantify differences under limited data regimes. Third, we build a statistical analysis pipeline that incorporates an honest status vocabulary, transparently reporting when metrics are met, unmet, or unavailable. Fourth, we construct a scaled dataset (v2) that achieves a 2.75× improvement in test exact match over the initial dataset. Fifth, we perform physical-device latency profiling demonstrating 14 ms median inference—28× below the quality-of-service threshold. Our work builds upon foundations in active learning and core-set methods [1][2], visual question answering [3], and neural scaling laws [4].</w:t>
      </w:r>
    </w:p>
    <w:p>
      <w:pPr>
        <w:spacing w:before="240" w:after="80"/>
      </w:pPr>
      <w:r>
        <w:rPr>
          <w:rFonts w:ascii="Times New Roman" w:hAnsi="Times New Roman"/>
          <w:b/>
          <w:sz w:val="24"/>
        </w:rPr>
        <w:t>2  Related Work</w:t>
      </w:r>
    </w:p>
    <w:p>
      <w:pPr>
        <w:spacing w:after="120" w:before="0" w:line="240" w:lineRule="exact"/>
        <w:jc w:val="both"/>
      </w:pPr>
      <w:r>
        <w:rPr>
          <w:rFonts w:ascii="Times New Roman" w:hAnsi="Times New Roman"/>
          <w:sz w:val="20"/>
        </w:rPr>
        <w:t>Data-efficient learning has been extensively studied through the lens of active learning and core-set selection. Sener and Savarese [1] formulate active learning as a core-set selection problem, seeking to choose a subset of training examples that approximates the full dataset's geometric structure. Ash et al. [2] extend this direction by combining uncertainty and diversity through gradient embeddings, achieving strong performance with limited labeled data. Settles [8] provides a comprehensive survey of active learning strategies. Our work applies these principles to mobile VQA, where device constraints impose requirements beyond accuracy alone—latency, energy, and memory budgets must simultaneously be satisfied.</w:t>
      </w:r>
    </w:p>
    <w:p>
      <w:pPr>
        <w:spacing w:after="120" w:before="0" w:line="240" w:lineRule="exact"/>
        <w:jc w:val="both"/>
      </w:pPr>
      <w:r>
        <w:rPr>
          <w:rFonts w:ascii="Times New Roman" w:hAnsi="Times New Roman"/>
          <w:sz w:val="20"/>
        </w:rPr>
        <w:t>On-device machine learning has gained considerable attention with frameworks such as Core ML [5] and TensorFlow Lite enabling neural network inference on mobile hardware. However, most published benchmarks report only top-line accuracy or measure performance on desktop GPUs, leaving a gap in understanding real-world mobile behavior. Ignatov et al. [6] address this partially through their AI Benchmark suite, which profiles deep learning operations on smartphone processors. Howard et al. [9] develop MobileNetV3, demonstrating that architecture search can yield efficient models for mobile platforms. We follow the philosophy of profiling on target hardware, extending it to VQA workloads with per-inference latency distributions rather than aggregate throughput.</w:t>
      </w:r>
    </w:p>
    <w:p>
      <w:pPr>
        <w:spacing w:after="120" w:before="0" w:line="240" w:lineRule="exact"/>
        <w:jc w:val="both"/>
      </w:pPr>
      <w:r>
        <w:rPr>
          <w:rFonts w:ascii="Times New Roman" w:hAnsi="Times New Roman"/>
          <w:sz w:val="20"/>
        </w:rPr>
        <w:t>Visual question answering, introduced by Antol et al. [3] through the VQA dataset, has catalyzed significant progress in multimodal reasoning. Recent work on visual instruction tuning [10] has pushed VQA capabilities substantially forward, though these approaches assume server-side inference with large pretrained backbones. Mobile VQA on domain-specific content—such as app screenshots—remains underexplored. Our setting differs from standard VQA in that questions target functional UI elements rather than natural scenes, and models must operate within strict mobile resource envelopes.</w:t>
      </w:r>
    </w:p>
    <w:p>
      <w:pPr>
        <w:spacing w:after="120" w:before="0" w:line="240" w:lineRule="exact"/>
        <w:jc w:val="both"/>
      </w:pPr>
      <w:r>
        <w:rPr>
          <w:rFonts w:ascii="Times New Roman" w:hAnsi="Times New Roman"/>
          <w:sz w:val="20"/>
        </w:rPr>
        <w:t>Scaling laws for neural networks, established by Hestness et al. [7] and Kaplan et al. [4], describe power-law relationships between dataset size, model size, compute budget, and performance. These laws have proven remarkably consistent across language and vision domains. We attempt to fit power-law models to our learning curves but report honestly when the data is too sparse—with only six budget levels and three seeds, our fits yield low R² values that do not support reliable extrapolation.</w:t>
      </w:r>
    </w:p>
    <w:p>
      <w:pPr>
        <w:spacing w:before="240" w:after="80"/>
      </w:pPr>
      <w:r>
        <w:rPr>
          <w:rFonts w:ascii="Times New Roman" w:hAnsi="Times New Roman"/>
          <w:b/>
          <w:sz w:val="24"/>
        </w:rPr>
        <w:t>3  System Overview</w:t>
      </w:r>
    </w:p>
    <w:p>
      <w:pPr>
        <w:spacing w:after="120" w:before="0" w:line="240" w:lineRule="exact"/>
        <w:jc w:val="both"/>
      </w:pPr>
      <w:r>
        <w:rPr>
          <w:rFonts w:ascii="Times New Roman" w:hAnsi="Times New Roman"/>
          <w:sz w:val="20"/>
        </w:rPr>
        <w:t>AXIOM-Mobile consists of two tightly integrated components: an iOS/macOS application for on-device inference and benchmarking, and a Python pipeline for dataset management, model training, and statistical analysis. Together, these components form a closed-loop system in which models are trained in Python, exported to Core ML format, deployed to the iOS application, profiled on physical hardware, and the resulting metrics are ingested back into the analysis pipeline.</w:t>
      </w:r>
    </w:p>
    <w:p>
      <w:pPr>
        <w:spacing w:before="240" w:after="80"/>
      </w:pPr>
      <w:r>
        <w:rPr>
          <w:rFonts w:ascii="Times New Roman" w:hAnsi="Times New Roman"/>
          <w:b/>
          <w:sz w:val="22"/>
        </w:rPr>
        <w:t>3.1  iOS/macOS Application</w:t>
      </w:r>
    </w:p>
    <w:p>
      <w:pPr>
        <w:spacing w:after="120" w:before="0" w:line="240" w:lineRule="exact"/>
        <w:jc w:val="both"/>
      </w:pPr>
      <w:r>
        <w:rPr>
          <w:rFonts w:ascii="Times New Roman" w:hAnsi="Times New Roman"/>
          <w:sz w:val="20"/>
        </w:rPr>
        <w:t>The application is built with SwiftUI and targets iOS 17+ and macOS 14+. Its core functionality centers on a testbed interface that supports screenshot import, free-form question input, and model selection through a dedicated picker. Inference is performed through CoreMLInferenceService, which loads Core ML model packages and executes predictions using the Neural Engine or GPU as determined by the system scheduler. Each model is accompanied by a metadata sidecar file that specifies input dimensions, normalization parameters, vocabulary mappings, and confidence thresholds, enabling the application to configure itself automatically for each model variant.</w:t>
      </w:r>
    </w:p>
    <w:p>
      <w:pPr>
        <w:spacing w:after="120" w:before="0" w:line="240" w:lineRule="exact"/>
        <w:jc w:val="both"/>
      </w:pPr>
      <w:r>
        <w:rPr>
          <w:rFonts w:ascii="Times New Roman" w:hAnsi="Times New Roman"/>
          <w:sz w:val="20"/>
        </w:rPr>
        <w:t>The application supports a benchmark mode that executes between 1 and 50 inference iterations on a given input, recording per-iteration latency in milliseconds. An auto-benchmark mode extends this by cycling through a BenchmarkInputProvider that supplies deterministic input pairs, ensuring reproducibility across profiling sessions. Results are exported as CSV files with accompanying metadata, facilitating direct ingestion by the Python analysis pipeline.</w:t>
      </w:r>
    </w:p>
    <w:p>
      <w:pPr>
        <w:spacing w:before="240" w:after="80"/>
      </w:pPr>
      <w:r>
        <w:rPr>
          <w:rFonts w:ascii="Times New Roman" w:hAnsi="Times New Roman"/>
          <w:b/>
          <w:sz w:val="22"/>
        </w:rPr>
        <w:t>3.2  Python Pipeline</w:t>
      </w:r>
    </w:p>
    <w:p>
      <w:pPr>
        <w:spacing w:after="120" w:before="0" w:line="240" w:lineRule="exact"/>
        <w:jc w:val="both"/>
      </w:pPr>
      <w:r>
        <w:rPr>
          <w:rFonts w:ascii="Times New Roman" w:hAnsi="Times New Roman"/>
          <w:sz w:val="20"/>
        </w:rPr>
        <w:t>The Python pipeline manages the complete experimental workflow. Dataset management operates on JSONL manifests that associate screenshot paths, questions, and ground-truth answers with split assignments (pool, validation, test). A model harness provides a unified interface for training, prediction, and Core ML export, with an accuracy gate that verifies the exported model suffers no more than a 3% exact match drop relative to the PyTorch source. Three selection strategies—random, uncertainty, and diversity—implement different approaches to choosing training examples from the pool under a given budget constraint.</w:t>
      </w:r>
    </w:p>
    <w:p>
      <w:pPr>
        <w:spacing w:after="120" w:before="0" w:line="240" w:lineRule="exact"/>
        <w:jc w:val="both"/>
      </w:pPr>
      <w:r>
        <w:rPr>
          <w:rFonts w:ascii="Times New Roman" w:hAnsi="Times New Roman"/>
          <w:sz w:val="20"/>
        </w:rPr>
        <w:t>The statistical analysis module computes bootstrap confidence intervals for all performance metrics, performs paired comparisons between strategies at each budget level, attempts power-law fits to learning curves, and constructs Pareto views that jointly consider quality and efficiency metrics. A device-profile ingestion module parses CSV exports from the iOS application, computes latency percentiles, and evaluates each session against the six effectiveness thresholds.</w:t>
      </w:r>
    </w:p>
    <w:p>
      <w:pPr>
        <w:spacing w:before="240" w:after="80"/>
      </w:pPr>
      <w:r>
        <w:rPr>
          <w:rFonts w:ascii="Times New Roman" w:hAnsi="Times New Roman"/>
          <w:b/>
          <w:sz w:val="24"/>
        </w:rPr>
        <w:t>4  Dataset</w:t>
      </w:r>
    </w:p>
    <w:p>
      <w:pPr>
        <w:spacing w:before="240" w:after="80"/>
      </w:pPr>
      <w:r>
        <w:rPr>
          <w:rFonts w:ascii="Times New Roman" w:hAnsi="Times New Roman"/>
          <w:b/>
          <w:sz w:val="22"/>
        </w:rPr>
        <w:t>4.1  Dataset v1</w:t>
      </w:r>
    </w:p>
    <w:p>
      <w:pPr>
        <w:spacing w:after="120" w:before="0" w:line="240" w:lineRule="exact"/>
        <w:jc w:val="both"/>
      </w:pPr>
      <w:r>
        <w:rPr>
          <w:rFonts w:ascii="Times New Roman" w:hAnsi="Times New Roman"/>
          <w:sz w:val="20"/>
        </w:rPr>
        <w:t>The initial dataset (v1) comprises 52 screenshot-question-answer triples drawn from real iOS applications. Screenshots capture diverse UI states including home screens, settings panels, notification centers, and in-app interfaces. Questions target factual properties of the displayed content, such as "What time is shown?" or "How many unread notifications are visible?" The dataset is partitioned into a pool of 37 examples for training, 5 for validation, and 10 for testing. Answer normalization yields 24 distinct classes. This dataset supports all learning curve experiments reported in Section 7.</w:t>
      </w:r>
    </w:p>
    <w:p>
      <w:pPr>
        <w:spacing w:before="240" w:after="80"/>
      </w:pPr>
      <w:r>
        <w:rPr>
          <w:rFonts w:ascii="Times New Roman" w:hAnsi="Times New Roman"/>
          <w:b/>
          <w:sz w:val="22"/>
        </w:rPr>
        <w:t>4.2  Dataset v2</w:t>
      </w:r>
    </w:p>
    <w:p>
      <w:pPr>
        <w:spacing w:after="120" w:before="0" w:line="240" w:lineRule="exact"/>
        <w:jc w:val="both"/>
      </w:pPr>
      <w:r>
        <w:rPr>
          <w:rFonts w:ascii="Times New Roman" w:hAnsi="Times New Roman"/>
          <w:sz w:val="20"/>
        </w:rPr>
        <w:t>To investigate the effect of dataset scale on model quality, we construct an expanded dataset (v2) containing 452 examples derived from 152 screenshots—52 manually captured and 100 auto-generated through programmatic screen composition. Answer normalization produces 128 distinct classes, a 5.3× increase over v1. The dataset is split into a pool of 382 examples, 30 for validation, and 40 for testing—representing an 8.7× increase in pool size. This expanded dataset enables training of the v1 model variant and provides preliminary evidence for the role of dataset scale in improving quality.</w:t>
      </w:r>
    </w:p>
    <w:p>
      <w:pPr>
        <w:spacing w:before="240" w:after="80"/>
      </w:pPr>
      <w:r>
        <w:rPr>
          <w:rFonts w:ascii="Times New Roman" w:hAnsi="Times New Roman"/>
          <w:b/>
          <w:sz w:val="22"/>
        </w:rPr>
        <w:t>4.3  Limitations</w:t>
      </w:r>
    </w:p>
    <w:p>
      <w:pPr>
        <w:spacing w:after="120" w:before="0" w:line="240" w:lineRule="exact"/>
        <w:jc w:val="both"/>
      </w:pPr>
      <w:r>
        <w:rPr>
          <w:rFonts w:ascii="Times New Roman" w:hAnsi="Times New Roman"/>
          <w:sz w:val="20"/>
        </w:rPr>
        <w:t>Several limitations constrain the conclusions that can be drawn from these datasets. Both versions remain below the 500-example target that we originally projected for reliable scaling analysis. All annotations are produced by a single annotator; a dual-annotator protocol with Cohen's kappa inter-rater reliability is planned but not yet implemented. Of the 152 screenshots in v2, 100 are auto-generated rather than captured from genuine device usage, which may introduce distributional differences. Finally, no selection-strategy sweep has been conducted on dataset v2, meaning that scaling-law fits and strategy comparisons are available only for the smaller v1 dataset.</w:t>
      </w:r>
    </w:p>
    <w:p>
      <w:pPr>
        <w:spacing w:before="240" w:after="80"/>
      </w:pPr>
      <w:r>
        <w:rPr>
          <w:rFonts w:ascii="Times New Roman" w:hAnsi="Times New Roman"/>
          <w:b/>
          <w:sz w:val="24"/>
        </w:rPr>
        <w:t>5  Models</w:t>
      </w:r>
    </w:p>
    <w:p>
      <w:pPr>
        <w:spacing w:before="240" w:after="80"/>
      </w:pPr>
      <w:r>
        <w:rPr>
          <w:rFonts w:ascii="Times New Roman" w:hAnsi="Times New Roman"/>
          <w:b/>
          <w:sz w:val="22"/>
        </w:rPr>
        <w:t>5.1  Heuristic Baseline (question_lookup_v0)</w:t>
      </w:r>
    </w:p>
    <w:p>
      <w:pPr>
        <w:spacing w:after="120" w:before="0" w:line="240" w:lineRule="exact"/>
        <w:jc w:val="both"/>
      </w:pPr>
      <w:r>
        <w:rPr>
          <w:rFonts w:ascii="Times New Roman" w:hAnsi="Times New Roman"/>
          <w:sz w:val="20"/>
        </w:rPr>
        <w:t>As a lower bound on performance, we implement a zero-dependency heuristic baseline that memorizes the most common answer for each normalized question string observed in the training pool. This model requires no gradient-based optimization and produces deterministic outputs. On the training pool it achieves 72.97% exact match, reflecting pure memorization. On the held-out test set it achieves 10% exact match, demonstrating that question-level memorization does not generalize to unseen screenshots. This baseline establishes the floor against which learned models must improve.</w:t>
      </w:r>
    </w:p>
    <w:p>
      <w:pPr>
        <w:spacing w:before="240" w:after="80"/>
      </w:pPr>
      <w:r>
        <w:rPr>
          <w:rFonts w:ascii="Times New Roman" w:hAnsi="Times New Roman"/>
          <w:b/>
          <w:sz w:val="22"/>
        </w:rPr>
        <w:t>5.2  Trainable Baseline (tiny_multimodal_v0)</w:t>
      </w:r>
    </w:p>
    <w:p>
      <w:pPr>
        <w:spacing w:after="120" w:before="0" w:line="240" w:lineRule="exact"/>
        <w:jc w:val="both"/>
      </w:pPr>
      <w:r>
        <w:rPr>
          <w:rFonts w:ascii="Times New Roman" w:hAnsi="Times New Roman"/>
          <w:sz w:val="20"/>
        </w:rPr>
        <w:t>The trainable baseline is a compact multimodal architecture with approximately 40,000 parameters. The image encoder is a three-layer convolutional neural network that processes 128×128 RGB inputs and produces a 64-dimensional feature vector. The text encoder uses character-level embeddings over an ASCII vocabulary of 128 tokens, with mean pooling yielding a 64-dimensional representation. Image and text features are concatenated into a 128-dimensional joint representation, which is passed through a linear classification head with 24 output classes. The model achieves 16.22% pool EM and 10% test EM on dataset v1. When exported to Core ML, the model package is 96 KB, well within the 100 MB size threshold.</w:t>
      </w:r>
    </w:p>
    <w:p>
      <w:pPr>
        <w:spacing w:before="240" w:after="80"/>
      </w:pPr>
      <w:r>
        <w:rPr>
          <w:rFonts w:ascii="Times New Roman" w:hAnsi="Times New Roman"/>
          <w:b/>
          <w:sz w:val="22"/>
        </w:rPr>
        <w:t>5.3  Retrained Model (tiny_multimodal_v1)</w:t>
      </w:r>
    </w:p>
    <w:p>
      <w:pPr>
        <w:spacing w:after="120" w:before="0" w:line="240" w:lineRule="exact"/>
        <w:jc w:val="both"/>
      </w:pPr>
      <w:r>
        <w:rPr>
          <w:rFonts w:ascii="Times New Roman" w:hAnsi="Times New Roman"/>
          <w:sz w:val="20"/>
        </w:rPr>
        <w:t>The v1 model retains the same architectural template as v0 but is retrained on dataset v2 with an expanded output head of 128 classes, resulting in approximately 47,000 parameters. Training employs class-weighted cross-entropy loss with inverse-frequency weighting capped at 10× to prevent extreme gradients from rare classes, and runs for 40 epochs. The model achieves 30.9% pool EM, 26.7% validation EM, and 27.5% test EM, representing a 2.75× improvement in test accuracy over the v0 baseline. The Core ML export passes the accuracy gate with 0% drop, and a calibrated confidence threshold of 0.45 is selected based on validation-set analysis. Table 1 summarizes the comparison between the two model versions.</w:t>
      </w:r>
    </w:p>
    <w:tbl>
      <w:tblPr>
        <w:tblW w:type="auto" w:w="0"/>
        <w:jc w:val="center"/>
        <w:tblLook w:firstColumn="1" w:firstRow="1" w:lastColumn="0" w:lastRow="0" w:noHBand="0" w:noVBand="1" w:val="04A0"/>
      </w:tblPr>
      <w:tblGrid>
        <w:gridCol w:w="3120"/>
        <w:gridCol w:w="3120"/>
        <w:gridCol w:w="3120"/>
      </w:tblGrid>
      <w:tr>
        <w:tc>
          <w:tcPr>
            <w:tcW w:type="dxa" w:w="3120"/>
            <w:shd w:fill="D9D9D9"/>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Metric</w:t>
            </w:r>
          </w:p>
        </w:tc>
        <w:tc>
          <w:tcPr>
            <w:tcW w:type="dxa" w:w="3120"/>
            <w:shd w:fill="D9D9D9"/>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v0 (dataset v1)</w:t>
            </w:r>
          </w:p>
        </w:tc>
        <w:tc>
          <w:tcPr>
            <w:tcW w:type="dxa" w:w="3120"/>
            <w:shd w:fill="D9D9D9"/>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v1 (dataset v2)</w:t>
            </w:r>
          </w:p>
        </w:tc>
      </w:tr>
      <w:tr>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Pool EM</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16.22%</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30.9%</w:t>
            </w:r>
          </w:p>
        </w:tc>
      </w:tr>
      <w:tr>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Val EM</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0.00%</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26.7%</w:t>
            </w:r>
          </w:p>
        </w:tc>
      </w:tr>
      <w:tr>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Test EM</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10.00%</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27.5%</w:t>
            </w:r>
          </w:p>
        </w:tc>
      </w:tr>
      <w:tr>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Parameters</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~40K</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~47K</w:t>
            </w:r>
          </w:p>
        </w:tc>
      </w:tr>
      <w:tr>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Output Classes</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24</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128</w:t>
            </w:r>
          </w:p>
        </w:tc>
      </w:tr>
    </w:tbl>
    <w:p>
      <w:pPr>
        <w:spacing w:before="80" w:after="200"/>
        <w:jc w:val="center"/>
      </w:pPr>
      <w:r>
        <w:rPr>
          <w:rFonts w:ascii="Times New Roman" w:hAnsi="Times New Roman"/>
          <w:b/>
          <w:i/>
          <w:sz w:val="18"/>
        </w:rPr>
        <w:t xml:space="preserve">Table 1: </w:t>
      </w:r>
      <w:r>
        <w:rPr>
          <w:rFonts w:ascii="Times New Roman" w:hAnsi="Times New Roman"/>
          <w:i/>
          <w:sz w:val="18"/>
        </w:rPr>
        <w:t>Model comparison between tiny_multimodal v0 and v1.</w:t>
      </w:r>
    </w:p>
    <w:p>
      <w:pPr>
        <w:spacing w:before="240" w:after="80"/>
      </w:pPr>
      <w:r>
        <w:rPr>
          <w:rFonts w:ascii="Times New Roman" w:hAnsi="Times New Roman"/>
          <w:b/>
          <w:sz w:val="24"/>
        </w:rPr>
        <w:t>6  Selection Strategies and Sweep Design</w:t>
      </w:r>
    </w:p>
    <w:p>
      <w:pPr>
        <w:spacing w:after="120" w:before="0" w:line="240" w:lineRule="exact"/>
        <w:jc w:val="both"/>
      </w:pPr>
      <w:r>
        <w:rPr>
          <w:rFonts w:ascii="Times New Roman" w:hAnsi="Times New Roman"/>
          <w:sz w:val="20"/>
        </w:rPr>
        <w:t>We implement three data selection strategies to investigate how the choice of training examples affects learning efficiency under budget constraints. The random strategy samples uniformly from the unlabeled pool without replacement. The uncertainty strategy selects examples for which the current model exhibits the highest predictive entropy, prioritizing inputs where the model is least confident. The diversity strategy employs k-center greedy selection in feature space, choosing examples that maximize the minimum distance to already-selected points and thereby encouraging broad coverage of the input distribution. A fourth strategy based on knowledge-graph guidance was planned but is blocked pending construction of a suitable domain ontology.</w:t>
      </w:r>
    </w:p>
    <w:p>
      <w:pPr>
        <w:spacing w:after="120" w:before="0" w:line="240" w:lineRule="exact"/>
        <w:jc w:val="both"/>
      </w:pPr>
      <w:r>
        <w:rPr>
          <w:rFonts w:ascii="Times New Roman" w:hAnsi="Times New Roman"/>
          <w:sz w:val="20"/>
        </w:rPr>
        <w:t>The experimental sweep is defined as a grid over three strategies, six budget levels (5, 10, 15, 20, 25, and 37 examples), and three random seeds, yielding 54 total runs. Each run trains a fresh model instance on the selected subset, evaluates on the held-out test set, and records exact match accuracy. An important caveat applies: all sweep experiments are conducted exclusively on dataset v1, meaning that results reflect the 52-example regime and may not extrapolate to the larger v2 dataset.</w:t>
      </w:r>
    </w:p>
    <w:p>
      <w:pPr>
        <w:spacing w:before="240" w:after="80"/>
      </w:pPr>
      <w:r>
        <w:rPr>
          <w:rFonts w:ascii="Times New Roman" w:hAnsi="Times New Roman"/>
          <w:b/>
          <w:sz w:val="24"/>
        </w:rPr>
        <w:t>7  Experiments</w:t>
      </w:r>
    </w:p>
    <w:p>
      <w:pPr>
        <w:spacing w:before="240" w:after="80"/>
      </w:pPr>
      <w:r>
        <w:rPr>
          <w:rFonts w:ascii="Times New Roman" w:hAnsi="Times New Roman"/>
          <w:b/>
          <w:sz w:val="22"/>
        </w:rPr>
        <w:t>7.1  Learning Curves</w:t>
      </w:r>
    </w:p>
    <w:p>
      <w:pPr>
        <w:spacing w:after="120" w:before="0" w:line="240" w:lineRule="exact"/>
        <w:jc w:val="both"/>
      </w:pPr>
      <w:r>
        <w:rPr>
          <w:rFonts w:ascii="Times New Roman" w:hAnsi="Times New Roman"/>
          <w:sz w:val="20"/>
        </w:rPr>
        <w:t>Table 2 reports test exact match accuracy across budget levels for each selection strategy, averaged over three seeds. The results reveal a strikingly flat landscape: no strategy achieves above 13.3% at any budget, and all converge to 10% at the maximum budget of 37 (the full pool). This pattern indicates that the v0 model architecture, with only 40K parameters and no pretrained backbone, lacks sufficient capacity to learn robust visual features from the available data.</w:t>
      </w:r>
    </w:p>
    <w:tbl>
      <w:tblPr>
        <w:tblW w:type="auto" w:w="0"/>
        <w:jc w:val="center"/>
        <w:tblLook w:firstColumn="1" w:firstRow="1" w:lastColumn="0" w:lastRow="0" w:noHBand="0" w:noVBand="1" w:val="04A0"/>
      </w:tblPr>
      <w:tblGrid>
        <w:gridCol w:w="2340"/>
        <w:gridCol w:w="2340"/>
        <w:gridCol w:w="2340"/>
        <w:gridCol w:w="2340"/>
      </w:tblGrid>
      <w:tr>
        <w:tc>
          <w:tcPr>
            <w:tcW w:type="dxa" w:w="2340"/>
            <w:shd w:fill="D9D9D9"/>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Budget</w:t>
            </w:r>
          </w:p>
        </w:tc>
        <w:tc>
          <w:tcPr>
            <w:tcW w:type="dxa" w:w="2340"/>
            <w:shd w:fill="D9D9D9"/>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Random</w:t>
            </w:r>
          </w:p>
        </w:tc>
        <w:tc>
          <w:tcPr>
            <w:tcW w:type="dxa" w:w="2340"/>
            <w:shd w:fill="D9D9D9"/>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Diversity</w:t>
            </w:r>
          </w:p>
        </w:tc>
        <w:tc>
          <w:tcPr>
            <w:tcW w:type="dxa" w:w="2340"/>
            <w:shd w:fill="D9D9D9"/>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Uncertainty</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5</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0.100</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0.067</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0.000</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10</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0.033</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0.067</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0.000</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15</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0.067</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0.133</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0.000</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20</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0.067</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0.133</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0.000</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25</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0.067</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0.067</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0.000</w:t>
            </w:r>
          </w:p>
        </w:tc>
      </w:tr>
      <w:tr>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37</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0.100</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0.100</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0.100</w:t>
            </w:r>
          </w:p>
        </w:tc>
      </w:tr>
    </w:tbl>
    <w:p>
      <w:pPr>
        <w:spacing w:before="80" w:after="200"/>
        <w:jc w:val="center"/>
      </w:pPr>
      <w:r>
        <w:rPr>
          <w:rFonts w:ascii="Times New Roman" w:hAnsi="Times New Roman"/>
          <w:b/>
          <w:i/>
          <w:sz w:val="18"/>
        </w:rPr>
        <w:t xml:space="preserve">Table 2: </w:t>
      </w:r>
      <w:r>
        <w:rPr>
          <w:rFonts w:ascii="Times New Roman" w:hAnsi="Times New Roman"/>
          <w:i/>
          <w:sz w:val="18"/>
        </w:rPr>
        <w:t>Test exact match by budget and selection strategy (dataset v1, 3 seeds).</w:t>
      </w:r>
    </w:p>
    <w:p>
      <w:pPr>
        <w:spacing w:after="120" w:before="0" w:line="240" w:lineRule="exact"/>
        <w:jc w:val="both"/>
      </w:pPr>
      <w:r>
        <w:rPr>
          <w:rFonts w:ascii="Times New Roman" w:hAnsi="Times New Roman"/>
          <w:sz w:val="20"/>
        </w:rPr>
        <w:t>We attempt power-law fits of the form EM = a · k^b to each strategy's learning curve. The diversity strategy yields R² = 0.17, the random strategy R² = 0.02, and the uncertainty strategy produces a degenerate fit due to zero accuracy at all budgets below 37. These R² values are too low to support extrapolation or to draw conclusions about scaling behavior. We attribute this to the combination of an under-parameterized model and an insufficient number of budget levels and seeds.</w:t>
      </w:r>
    </w:p>
    <w:p>
      <w:pPr>
        <w:spacing w:before="240" w:after="80"/>
      </w:pPr>
      <w:r>
        <w:rPr>
          <w:rFonts w:ascii="Times New Roman" w:hAnsi="Times New Roman"/>
          <w:b/>
          <w:sz w:val="22"/>
        </w:rPr>
        <w:t>7.2  Strategy Comparisons</w:t>
      </w:r>
    </w:p>
    <w:p>
      <w:pPr>
        <w:spacing w:after="120" w:before="0" w:line="240" w:lineRule="exact"/>
        <w:jc w:val="both"/>
      </w:pPr>
      <w:r>
        <w:rPr>
          <w:rFonts w:ascii="Times New Roman" w:hAnsi="Times New Roman"/>
          <w:sz w:val="20"/>
        </w:rPr>
        <w:t>To test whether any strategy significantly outperforms the others, we conduct paired bootstrap comparisons at budget level 37 (full pool). All pairwise differences in test exact match are 0.000 with 95% confidence intervals of [0.000, 0.000]. This result is unsurprising given that all strategies select the entire pool at budget 37, yielding identical training sets. At lower budgets, the small number of seeds (three) renders bootstrap confidence intervals unreliable, as the resampling distribution lacks sufficient support. We conclude that meaningful strategy comparison requires either substantially more seeds or a larger pool that permits differentiation at maximum budget.</w:t>
      </w:r>
    </w:p>
    <w:p>
      <w:pPr>
        <w:spacing w:before="240" w:after="80"/>
      </w:pPr>
      <w:r>
        <w:rPr>
          <w:rFonts w:ascii="Times New Roman" w:hAnsi="Times New Roman"/>
          <w:b/>
          <w:sz w:val="22"/>
        </w:rPr>
        <w:t>7.3  On-Device Latency</w:t>
      </w:r>
    </w:p>
    <w:p>
      <w:pPr>
        <w:spacing w:after="120" w:before="0" w:line="240" w:lineRule="exact"/>
        <w:jc w:val="both"/>
      </w:pPr>
      <w:r>
        <w:rPr>
          <w:rFonts w:ascii="Times New Roman" w:hAnsi="Times New Roman"/>
          <w:sz w:val="20"/>
        </w:rPr>
        <w:t>We profile both model versions on an iPhone 15 Pro Max equipped with the Apple A17 Pro chip. Table 3 reports latency statistics across three profiling sessions. Session 1 measures v0 under cold-start conditions, Session 2 measures v0 with the thermal profiling instrument attached (warm start), and Session 3 measures v1 under standard conditions. Across all sessions, median latency ranges from 14.0 to 14.5 ms, with 95th-percentile latency between 22.0 and 26.2 ms. These values represent a 28× margin below the 400 ms p50 threshold and a 23–27× margin below the 600 ms p95 threshold.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D9D9D9"/>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Session</w:t>
            </w:r>
          </w:p>
        </w:tc>
        <w:tc>
          <w:tcPr>
            <w:tcW w:type="dxa" w:w="1337"/>
            <w:shd w:fill="D9D9D9"/>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Model</w:t>
            </w:r>
          </w:p>
        </w:tc>
        <w:tc>
          <w:tcPr>
            <w:tcW w:type="dxa" w:w="1337"/>
            <w:shd w:fill="D9D9D9"/>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Condition</w:t>
            </w:r>
          </w:p>
        </w:tc>
        <w:tc>
          <w:tcPr>
            <w:tcW w:type="dxa" w:w="1337"/>
            <w:shd w:fill="D9D9D9"/>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p50 (ms)</w:t>
            </w:r>
          </w:p>
        </w:tc>
        <w:tc>
          <w:tcPr>
            <w:tcW w:type="dxa" w:w="1337"/>
            <w:shd w:fill="D9D9D9"/>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p95 (ms)</w:t>
            </w:r>
          </w:p>
        </w:tc>
        <w:tc>
          <w:tcPr>
            <w:tcW w:type="dxa" w:w="1337"/>
            <w:shd w:fill="D9D9D9"/>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Mean (ms)</w:t>
            </w:r>
          </w:p>
        </w:tc>
        <w:tc>
          <w:tcPr>
            <w:tcW w:type="dxa" w:w="1337"/>
            <w:shd w:fill="D9D9D9"/>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Threshold</w:t>
            </w:r>
          </w:p>
        </w:tc>
      </w:tr>
      <w:tr>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1</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v0</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Cold start</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14.0</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26.2</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18.0</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PASS</w:t>
            </w:r>
          </w:p>
        </w:tc>
      </w:tr>
      <w:tr>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2</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v0</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Warm, TP attached</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14.5</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22.0</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16.8</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PASS</w:t>
            </w:r>
          </w:p>
        </w:tc>
      </w:tr>
      <w:tr>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3</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v1</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Standard</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14.5</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24.6</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21.3</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PASS</w:t>
            </w:r>
          </w:p>
        </w:tc>
      </w:tr>
    </w:tbl>
    <w:p>
      <w:pPr>
        <w:spacing w:before="80" w:after="200"/>
        <w:jc w:val="center"/>
      </w:pPr>
      <w:r>
        <w:rPr>
          <w:rFonts w:ascii="Times New Roman" w:hAnsi="Times New Roman"/>
          <w:b/>
          <w:i/>
          <w:sz w:val="18"/>
        </w:rPr>
        <w:t xml:space="preserve">Table 3: </w:t>
      </w:r>
      <w:r>
        <w:rPr>
          <w:rFonts w:ascii="Times New Roman" w:hAnsi="Times New Roman"/>
          <w:i/>
          <w:sz w:val="18"/>
        </w:rPr>
        <w:t>Physical-device inference latency on iPhone 15 Pro Max (A17 Pro).</w:t>
      </w:r>
    </w:p>
    <w:p>
      <w:pPr>
        <w:spacing w:after="120" w:before="0" w:line="240" w:lineRule="exact"/>
        <w:jc w:val="both"/>
      </w:pPr>
      <w:r>
        <w:rPr>
          <w:rFonts w:ascii="Times New Roman" w:hAnsi="Times New Roman"/>
          <w:sz w:val="20"/>
        </w:rPr>
        <w:t>A noteworthy finding is that physical-device inference is approximately 7× faster than simulator-based measurement, underscoring the importance of on-device profiling. The transition from v0 to v1—which increases the output head from 24 to 128 classes and adds approximately 7,000 parameters—increases median latency by only 0.5 ms, demonstrating that the architectural scaling has negligible impact on inference speed at this model size.</w:t>
      </w:r>
    </w:p>
    <w:p>
      <w:pPr>
        <w:spacing w:before="240" w:after="80"/>
      </w:pPr>
      <w:r>
        <w:rPr>
          <w:rFonts w:ascii="Times New Roman" w:hAnsi="Times New Roman"/>
          <w:b/>
          <w:sz w:val="22"/>
        </w:rPr>
        <w:t>7.4  Pareto View</w:t>
      </w:r>
    </w:p>
    <w:p>
      <w:pPr>
        <w:spacing w:after="120" w:before="0" w:line="240" w:lineRule="exact"/>
        <w:jc w:val="both"/>
      </w:pPr>
      <w:r>
        <w:rPr>
          <w:rFonts w:ascii="Times New Roman" w:hAnsi="Times New Roman"/>
          <w:sz w:val="20"/>
        </w:rPr>
        <w:t>Table 4 presents a Pareto analysis of quality versus efficiency across all model variants. The tiny_multimodal_v1 model strictly dominates both v0 variants: it achieves higher test EM (27.5% vs. 10%) with effectively identical latency (14.5 vs. 14.0 ms) and model size (0.5 MB). The heuristic baseline, while achieving the same test EM as v0, has no meaningful latency measurement since it performs string lookup rather than neural inference.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D9D9D9"/>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Model</w:t>
            </w:r>
          </w:p>
        </w:tc>
        <w:tc>
          <w:tcPr>
            <w:tcW w:type="dxa" w:w="1872"/>
            <w:shd w:fill="D9D9D9"/>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Dataset</w:t>
            </w:r>
          </w:p>
        </w:tc>
        <w:tc>
          <w:tcPr>
            <w:tcW w:type="dxa" w:w="1872"/>
            <w:shd w:fill="D9D9D9"/>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Test EM</w:t>
            </w:r>
          </w:p>
        </w:tc>
        <w:tc>
          <w:tcPr>
            <w:tcW w:type="dxa" w:w="1872"/>
            <w:shd w:fill="D9D9D9"/>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Latency p50</w:t>
            </w:r>
          </w:p>
        </w:tc>
        <w:tc>
          <w:tcPr>
            <w:tcW w:type="dxa" w:w="1872"/>
            <w:shd w:fill="D9D9D9"/>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Size</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question_lookup_v0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v1</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0.100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0.1 MB</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tiny_multimodal_v0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v1</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0.100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14.0 ms</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0.5 MB</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tiny_multimodal_v1</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v2</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0.275</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14.5 ms</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0.5 MB</w:t>
            </w:r>
          </w:p>
        </w:tc>
      </w:tr>
    </w:tbl>
    <w:p>
      <w:pPr>
        <w:spacing w:before="80" w:after="200"/>
        <w:jc w:val="center"/>
      </w:pPr>
      <w:r>
        <w:rPr>
          <w:rFonts w:ascii="Times New Roman" w:hAnsi="Times New Roman"/>
          <w:b/>
          <w:i/>
          <w:sz w:val="18"/>
        </w:rPr>
        <w:t xml:space="preserve">Table 4: </w:t>
      </w:r>
      <w:r>
        <w:rPr>
          <w:rFonts w:ascii="Times New Roman" w:hAnsi="Times New Roman"/>
          <w:i/>
          <w:sz w:val="18"/>
        </w:rPr>
        <w:t>Pareto view of quality versus efficiency.</w:t>
      </w:r>
    </w:p>
    <w:p>
      <w:pPr>
        <w:spacing w:before="240" w:after="80"/>
      </w:pPr>
      <w:r>
        <w:rPr>
          <w:rFonts w:ascii="Times New Roman" w:hAnsi="Times New Roman"/>
          <w:b/>
          <w:sz w:val="22"/>
        </w:rPr>
        <w:t>7.5  Effectiveness Scorecard</w:t>
      </w:r>
    </w:p>
    <w:p>
      <w:pPr>
        <w:spacing w:after="120" w:before="0" w:line="240" w:lineRule="exact"/>
        <w:jc w:val="both"/>
      </w:pPr>
      <w:r>
        <w:rPr>
          <w:rFonts w:ascii="Times New Roman" w:hAnsi="Times New Roman"/>
          <w:sz w:val="20"/>
        </w:rPr>
        <w:t>Table 5 evaluates both model versions against the six effectiveness thresholds defined in Section 1. Three of six thresholds are met by both versions: latency p50, latency p95, and model size. The quality threshold (EM ≥ 70%) remains unmet, with v1 achieving 27.5%—a substantial improvement over v0's 10% but still 42.5 percentage points short. Energy and memory metrics are marked as UNAVAILABLE because the current profiling infrastructure does not yet capture battery drain or peak memory allocation. Completing these measurements is a priority for future work.</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D9D9D9"/>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Metric</w:t>
            </w:r>
          </w:p>
        </w:tc>
        <w:tc>
          <w:tcPr>
            <w:tcW w:type="dxa" w:w="1872"/>
            <w:shd w:fill="D9D9D9"/>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Threshold</w:t>
            </w:r>
          </w:p>
        </w:tc>
        <w:tc>
          <w:tcPr>
            <w:tcW w:type="dxa" w:w="1872"/>
            <w:shd w:fill="D9D9D9"/>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v0</w:t>
            </w:r>
          </w:p>
        </w:tc>
        <w:tc>
          <w:tcPr>
            <w:tcW w:type="dxa" w:w="1872"/>
            <w:shd w:fill="D9D9D9"/>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v1</w:t>
            </w:r>
          </w:p>
        </w:tc>
        <w:tc>
          <w:tcPr>
            <w:tcW w:type="dxa" w:w="1872"/>
            <w:shd w:fill="D9D9D9"/>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sz w:val="18"/>
              </w:rPr>
              <w:t>Status</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EM</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≥70%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10%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27.5%</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FAIL</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Latency p50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≤400 ms</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14.0 ms</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14.5 ms</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PASS</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Latency p95</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≤600 ms</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26.2 ms</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24.6 ms</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PASS</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Energy</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&lt;5%/hr</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UNAVAILABLE</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Memory</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&lt;500 MB</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UNAVAILABLE</w:t>
            </w:r>
          </w:p>
        </w:tc>
      </w:tr>
      <w:tr>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Size</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&lt;100 MB</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96 KB</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0.5 MB</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sz w:val="18"/>
              </w:rPr>
              <w:t>PASS</w:t>
            </w:r>
          </w:p>
        </w:tc>
      </w:tr>
    </w:tbl>
    <w:p>
      <w:pPr>
        <w:spacing w:before="80" w:after="200"/>
        <w:jc w:val="center"/>
      </w:pPr>
      <w:r>
        <w:rPr>
          <w:rFonts w:ascii="Times New Roman" w:hAnsi="Times New Roman"/>
          <w:b/>
          <w:i/>
          <w:sz w:val="18"/>
        </w:rPr>
        <w:t xml:space="preserve">Table 5: </w:t>
      </w:r>
      <w:r>
        <w:rPr>
          <w:rFonts w:ascii="Times New Roman" w:hAnsi="Times New Roman"/>
          <w:i/>
          <w:sz w:val="18"/>
        </w:rPr>
        <w:t>Effectiveness scorecard against six deployment thresholds.</w:t>
      </w:r>
    </w:p>
    <w:p>
      <w:pPr>
        <w:spacing w:before="240" w:after="80"/>
      </w:pPr>
      <w:r>
        <w:rPr>
          <w:rFonts w:ascii="Times New Roman" w:hAnsi="Times New Roman"/>
          <w:b/>
          <w:sz w:val="24"/>
        </w:rPr>
        <w:t>8  Discussion</w:t>
      </w:r>
    </w:p>
    <w:p>
      <w:pPr>
        <w:spacing w:after="120" w:before="0" w:line="240" w:lineRule="exact"/>
        <w:jc w:val="both"/>
      </w:pPr>
      <w:r>
        <w:rPr>
          <w:rFonts w:ascii="Times New Roman" w:hAnsi="Times New Roman"/>
          <w:sz w:val="20"/>
        </w:rPr>
        <w:t>The primary contribution of AXIOM-Mobile at its current stage is infrastructure validation accompanied by preliminary scaling evidence, rather than a definitive answer to the research question. We have demonstrated five concrete achievements: (1) an end-to-end reproducible pipeline spanning dataset creation, model training, Core ML export, on-device inference, and statistical analysis; (2) an honest status tracking system that transparently reports which metrics are met, unmet, or unavailable rather than selectively presenting favorable results; (3) a statistical framework with bootstrap confidence intervals, paired comparisons, and power-law fitting; (4) physical-device latency profiling that reveals a 28× margin below quality-of-service thresholds; and (5) preliminary scaling evidence showing that increasing the dataset from 52 to 452 examples improves test EM from 10% to 27.5%.</w:t>
      </w:r>
    </w:p>
    <w:p>
      <w:pPr>
        <w:spacing w:after="120" w:before="0" w:line="240" w:lineRule="exact"/>
        <w:jc w:val="both"/>
      </w:pPr>
      <w:r>
        <w:rPr>
          <w:rFonts w:ascii="Times New Roman" w:hAnsi="Times New Roman"/>
          <w:sz w:val="20"/>
        </w:rPr>
        <w:t>The key insight emerging from our experiments is that dataset scale—not model architecture—is the binding constraint for tiny models operating on domain-specific VQA tasks. The v0-to-v1 transition changes only the training data and output head dimension while preserving the core architecture, yet test EM improves by 2.75×. Conversely, the choice of selection strategy has no detectable effect in the v0 regime, suggesting that at very small pool sizes the variance introduced by data ordering dominates any systematic advantage of intelligent selection.</w:t>
      </w:r>
    </w:p>
    <w:p>
      <w:pPr>
        <w:spacing w:after="120" w:before="0" w:line="240" w:lineRule="exact"/>
        <w:jc w:val="both"/>
      </w:pPr>
      <w:r>
        <w:rPr>
          <w:rFonts w:ascii="Times New Roman" w:hAnsi="Times New Roman"/>
          <w:sz w:val="20"/>
        </w:rPr>
        <w:t>An encouraging secondary finding is the negligible latency cost of scaling from 24 to 128 output classes. The 0.5 ms increase in median latency (14.0 to 14.5 ms) indicates that the classification head contributes minimally to total inference time, and that future increases in vocabulary size are unlikely to compromise latency targets.</w:t>
      </w:r>
    </w:p>
    <w:p>
      <w:pPr>
        <w:spacing w:after="120" w:before="0" w:line="240" w:lineRule="exact"/>
        <w:jc w:val="both"/>
      </w:pPr>
      <w:r>
        <w:rPr>
          <w:rFonts w:ascii="Times New Roman" w:hAnsi="Times New Roman"/>
          <w:sz w:val="20"/>
        </w:rPr>
        <w:t>The path forward is clear along several dimensions. First, conducting the full selection-strategy sweep on dataset v2 will reveal whether intelligent selection becomes beneficial at larger pool sizes. Second, introducing a stronger model backbone—such as a LoRA-adapted vision-language model—may unlock substantially higher accuracy while remaining within mobile resource budgets. Third, instrumenting energy and memory traces will complete the effectiveness scorecard. Fourth, increasing the number of seeds from three to at least ten will provide the statistical power needed for reliable strategy comparisons and scaling-law estimation.</w:t>
      </w:r>
    </w:p>
    <w:p>
      <w:pPr>
        <w:spacing w:before="240" w:after="80"/>
      </w:pPr>
      <w:r>
        <w:rPr>
          <w:rFonts w:ascii="Times New Roman" w:hAnsi="Times New Roman"/>
          <w:b/>
          <w:sz w:val="24"/>
        </w:rPr>
        <w:t>9  Limitations and Threats to Validity</w:t>
      </w:r>
    </w:p>
    <w:p>
      <w:pPr>
        <w:spacing w:after="120" w:before="0" w:line="240" w:lineRule="exact"/>
        <w:jc w:val="both"/>
      </w:pPr>
      <w:r>
        <w:rPr>
          <w:rFonts w:ascii="Times New Roman" w:hAnsi="Times New Roman"/>
          <w:sz w:val="20"/>
        </w:rPr>
        <w:t>We identify several significant limitations that constrain the strength of our conclusions. The most prominent is the quality gap: the best model achieves 27.5% test EM against a 70% target, leaving substantial room for improvement. No selection-strategy sweep has been conducted on dataset v2, meaning that our learning curves and strategy comparisons reflect only the 52-example regime. The model architecture, at 47K parameters with no pretrained backbone, is likely too small to learn robust visual features for the task—evidenced by the flat learning curves in the v0 regime.</w:t>
      </w:r>
    </w:p>
    <w:p>
      <w:pPr>
        <w:spacing w:after="120" w:before="0" w:line="240" w:lineRule="exact"/>
        <w:jc w:val="both"/>
      </w:pPr>
      <w:r>
        <w:rPr>
          <w:rFonts w:ascii="Times New Roman" w:hAnsi="Times New Roman"/>
          <w:sz w:val="20"/>
        </w:rPr>
        <w:t>Statistical validity is limited by the use of only three seeds per experimental condition. Bootstrap confidence intervals computed from three observations cannot capture the true sampling distribution, and our paired comparisons consequently lack statistical power. A single annotator produced all ground-truth labels, introducing potential systematic biases that would be detectable only through a dual-annotator protocol with inter-rater reliability metrics such as Cohen's kappa.</w:t>
      </w:r>
    </w:p>
    <w:p>
      <w:pPr>
        <w:spacing w:after="120" w:before="0" w:line="240" w:lineRule="exact"/>
        <w:jc w:val="both"/>
      </w:pPr>
      <w:r>
        <w:rPr>
          <w:rFonts w:ascii="Times New Roman" w:hAnsi="Times New Roman"/>
          <w:sz w:val="20"/>
        </w:rPr>
        <w:t>Several planned components remain unimplemented: the knowledge-graph-guided selection strategy, energy and memory profiling, ablation studies to isolate the contribution of each architectural component, cross-validation for more robust accuracy estimates, and comparison to production-grade vision-language models that would contextualize our results against the current state of the art.</w:t>
      </w:r>
    </w:p>
    <w:p>
      <w:pPr>
        <w:spacing w:before="240" w:after="80"/>
      </w:pPr>
      <w:r>
        <w:rPr>
          <w:rFonts w:ascii="Times New Roman" w:hAnsi="Times New Roman"/>
          <w:b/>
          <w:sz w:val="24"/>
        </w:rPr>
        <w:t>10  Conclusion</w:t>
      </w:r>
    </w:p>
    <w:p>
      <w:pPr>
        <w:spacing w:after="120" w:before="0" w:line="240" w:lineRule="exact"/>
        <w:jc w:val="both"/>
      </w:pPr>
      <w:r>
        <w:rPr>
          <w:rFonts w:ascii="Times New Roman" w:hAnsi="Times New Roman"/>
          <w:sz w:val="20"/>
        </w:rPr>
        <w:t>We have presented AXIOM-Mobile, a fully functional system comprising an iOS testbed and Python analysis pipeline for measuring minimal training data requirements for on-device domain reasoning. The system implements three data selection strategies (random, uncertainty, and diversity), supports reproducible benchmarking through deterministic input providers and CSV export, and performs honest statistical analysis that transparently reports both achievements and shortfalls.</w:t>
      </w:r>
    </w:p>
    <w:p>
      <w:pPr>
        <w:spacing w:after="120" w:before="0" w:line="240" w:lineRule="exact"/>
        <w:jc w:val="both"/>
      </w:pPr>
      <w:r>
        <w:rPr>
          <w:rFonts w:ascii="Times New Roman" w:hAnsi="Times New Roman"/>
          <w:sz w:val="20"/>
        </w:rPr>
        <w:t>Our experiments span two regimes: v0, with 52 training examples and 10% test exact match, and v1, with 452 examples and 27.5% test exact match. The 2.75× improvement confirms dataset scaling as the primary lever for quality improvement in the tiny-model regime. Physical-device profiling on an iPhone 15 Pro Max demonstrates 14.0–14.5 ms median inference latency, providing a 28× margin below the 400 ms quality-of-service threshold. Three of six effectiveness thresholds are met, with the quality target (EM ≥ 70%) remaining the principal outstanding challenge.</w:t>
      </w:r>
    </w:p>
    <w:p>
      <w:pPr>
        <w:spacing w:after="120" w:before="0" w:line="240" w:lineRule="exact"/>
        <w:jc w:val="both"/>
      </w:pPr>
      <w:r>
        <w:rPr>
          <w:rFonts w:ascii="Times New Roman" w:hAnsi="Times New Roman"/>
          <w:sz w:val="20"/>
        </w:rPr>
        <w:t>The research question—determining k*—remains open. Our results suggest that k* lies substantially above 452 examples for the current model architecture, and that either a larger dataset, a stronger model backbone, or both will be required to reach the 70% EM threshold. The infrastructure we have built is complete and ready to support these investigations. Future work will focus on conducting v2 sweeps, integrating a LoRA-adapted vision-language model, completing energy and memory profiling, and increasing experimental seeds to enable reliable statistical inference.</w:t>
      </w:r>
    </w:p>
    <w:p>
      <w:pPr>
        <w:spacing w:before="240" w:after="80"/>
      </w:pPr>
      <w:r>
        <w:rPr>
          <w:rFonts w:ascii="Times New Roman" w:hAnsi="Times New Roman"/>
          <w:b/>
          <w:sz w:val="24"/>
        </w:rPr>
        <w:t>Acknowledgments</w:t>
      </w:r>
    </w:p>
    <w:p>
      <w:pPr>
        <w:spacing w:after="120" w:before="0" w:line="240" w:lineRule="exact"/>
        <w:jc w:val="both"/>
      </w:pPr>
      <w:r>
        <w:rPr>
          <w:rFonts w:ascii="Times New Roman" w:hAnsi="Times New Roman"/>
          <w:sz w:val="20"/>
        </w:rPr>
        <w:t>This work was conducted as part of CMPT 416 at Simon Fraser University. We thank the course instructor for guidance on experimental methodology, honest reporting practices, and the importance of infrastructure validation in empirical machine learning research.</w:t>
      </w:r>
    </w:p>
    <w:p>
      <w:pPr>
        <w:spacing w:before="240" w:after="80"/>
      </w:pPr>
      <w:r>
        <w:rPr>
          <w:rFonts w:ascii="Times New Roman" w:hAnsi="Times New Roman"/>
          <w:b/>
          <w:sz w:val="24"/>
        </w:rPr>
        <w:t>References</w:t>
      </w:r>
    </w:p>
    <w:p>
      <w:pPr>
        <w:spacing w:after="60" w:before="0" w:line="220" w:lineRule="exact"/>
        <w:ind w:left="432" w:hanging="432"/>
        <w:jc w:val="both"/>
      </w:pPr>
      <w:r>
        <w:rPr>
          <w:rFonts w:ascii="Times New Roman" w:hAnsi="Times New Roman"/>
          <w:sz w:val="18"/>
        </w:rPr>
        <w:t>[1] Sener, O. and Savarese, S. "Active Learning for Convolutional Neural Networks: A Core-Set Approach." In Proceedings of the International Conference on Learning Representations (ICLR), 2018.</w:t>
      </w:r>
    </w:p>
    <w:p>
      <w:pPr>
        <w:spacing w:after="60" w:before="0" w:line="220" w:lineRule="exact"/>
        <w:ind w:left="432" w:hanging="432"/>
        <w:jc w:val="both"/>
      </w:pPr>
      <w:r>
        <w:rPr>
          <w:rFonts w:ascii="Times New Roman" w:hAnsi="Times New Roman"/>
          <w:sz w:val="18"/>
        </w:rPr>
        <w:t>[2] Ash, J.T., Zhang, C., Krishnamurthy, A., Langford, J., and Agarwal, A. "Deep Batch Active Learning by Diverse, Uncertain Gradient Lower Bounds." In Proceedings of the International Conference on Learning Representations (ICLR), 2020.</w:t>
      </w:r>
    </w:p>
    <w:p>
      <w:pPr>
        <w:spacing w:after="60" w:before="0" w:line="220" w:lineRule="exact"/>
        <w:ind w:left="432" w:hanging="432"/>
        <w:jc w:val="both"/>
      </w:pPr>
      <w:r>
        <w:rPr>
          <w:rFonts w:ascii="Times New Roman" w:hAnsi="Times New Roman"/>
          <w:sz w:val="18"/>
        </w:rPr>
        <w:t>[3] Antol, S., Agrawal, A., Lu, J., Mitchell, M., Batra, D., Zitnick, C.L., and Parikh, D. "VQA: Visual Question Answering." In Proceedings of the IEEE International Conference on Computer Vision (ICCV), 2015.</w:t>
      </w:r>
    </w:p>
    <w:p>
      <w:pPr>
        <w:spacing w:after="60" w:before="0" w:line="220" w:lineRule="exact"/>
        <w:ind w:left="432" w:hanging="432"/>
        <w:jc w:val="both"/>
      </w:pPr>
      <w:r>
        <w:rPr>
          <w:rFonts w:ascii="Times New Roman" w:hAnsi="Times New Roman"/>
          <w:sz w:val="18"/>
        </w:rPr>
        <w:t>[4] Kaplan, J., McCandlish, S., Henighan, T., Brown, T.B., Chess, B., Child, R., Gray, S., Radford, A., Wu, J., and Amodei, D. "Scaling Laws for Neural Language Models." arXiv preprint arXiv:2001.08361, 2020.</w:t>
      </w:r>
    </w:p>
    <w:p>
      <w:pPr>
        <w:spacing w:after="60" w:before="0" w:line="220" w:lineRule="exact"/>
        <w:ind w:left="432" w:hanging="432"/>
        <w:jc w:val="both"/>
      </w:pPr>
      <w:r>
        <w:rPr>
          <w:rFonts w:ascii="Times New Roman" w:hAnsi="Times New Roman"/>
          <w:sz w:val="18"/>
        </w:rPr>
        <w:t>[5] Apple. "Core ML Documentation." developer.apple.com/documentation/coreml, 2023.</w:t>
      </w:r>
    </w:p>
    <w:p>
      <w:pPr>
        <w:spacing w:after="60" w:before="0" w:line="220" w:lineRule="exact"/>
        <w:ind w:left="432" w:hanging="432"/>
        <w:jc w:val="both"/>
      </w:pPr>
      <w:r>
        <w:rPr>
          <w:rFonts w:ascii="Times New Roman" w:hAnsi="Times New Roman"/>
          <w:sz w:val="18"/>
        </w:rPr>
        <w:t>[6] Ignatov, A., Timofte, R., Chou, W., Wang, K., Wu, M., Hartley, T., and Van Gool, L. "AI Benchmark: All About Deep Learning on Smartphones." In ICCV Workshop on Advances in Mobile Application Development, 2019.</w:t>
      </w:r>
    </w:p>
    <w:p>
      <w:pPr>
        <w:spacing w:after="60" w:before="0" w:line="220" w:lineRule="exact"/>
        <w:ind w:left="432" w:hanging="432"/>
        <w:jc w:val="both"/>
      </w:pPr>
      <w:r>
        <w:rPr>
          <w:rFonts w:ascii="Times New Roman" w:hAnsi="Times New Roman"/>
          <w:sz w:val="18"/>
        </w:rPr>
        <w:t>[7] Hestness, J., Narang, S., Ardalani, N., Diamos, G., Jun, H., Kianinejad, H., Patwary, M., Yang, Y., and Zhou, Y. "Deep Learning Scaling is Predictable, Empirically." arXiv preprint arXiv:1712.00409, 2017.</w:t>
      </w:r>
    </w:p>
    <w:p>
      <w:pPr>
        <w:spacing w:after="60" w:before="0" w:line="220" w:lineRule="exact"/>
        <w:ind w:left="432" w:hanging="432"/>
        <w:jc w:val="both"/>
      </w:pPr>
      <w:r>
        <w:rPr>
          <w:rFonts w:ascii="Times New Roman" w:hAnsi="Times New Roman"/>
          <w:sz w:val="18"/>
        </w:rPr>
        <w:t>[8] Settles, B. "Active Learning Literature Survey." Computer Sciences Technical Report 1648, University of Wisconsin–Madison, 2009.</w:t>
      </w:r>
    </w:p>
    <w:p>
      <w:pPr>
        <w:spacing w:after="60" w:before="0" w:line="220" w:lineRule="exact"/>
        <w:ind w:left="432" w:hanging="432"/>
        <w:jc w:val="both"/>
      </w:pPr>
      <w:r>
        <w:rPr>
          <w:rFonts w:ascii="Times New Roman" w:hAnsi="Times New Roman"/>
          <w:sz w:val="18"/>
        </w:rPr>
        <w:t>[9] Howard, A., Sandler, M., Chu, G., Chen, L.C., Chen, B., Tan, M., Wang, W., Zhu, Y., Pang, R., Vasudevan, V., Le, Q.V., and Adam, H. "Searching for MobileNetV3." In Proceedings of the IEEE International Conference on Computer Vision (ICCV), 2019.</w:t>
      </w:r>
    </w:p>
    <w:p>
      <w:pPr>
        <w:spacing w:after="60" w:before="0" w:line="220" w:lineRule="exact"/>
        <w:ind w:left="432" w:hanging="432"/>
        <w:jc w:val="both"/>
      </w:pPr>
      <w:r>
        <w:rPr>
          <w:rFonts w:ascii="Times New Roman" w:hAnsi="Times New Roman"/>
          <w:sz w:val="18"/>
        </w:rPr>
        <w:t>[10] Liu, H., Li, C., Wu, Q., and Lee, Y.J. "Visual Instruction Tuning." In Advances in Neural Information Processing Systems (NeurIPS), 2023.</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exact"/>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