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1F3864"/>
          <w:sz w:val="84"/>
          <w:szCs w:val="84"/>
        </w:rPr>
        <w:t xml:space="preserve">MiRob</w:t>
      </w:r>
    </w:p>
    <w:p>
      <w:pPr>
        <w:spacing w:after="480"/>
      </w:pPr>
      <w:r>
        <w:rPr>
          <w:color w:val="2E75B6"/>
          <w:sz w:val="44"/>
          <w:szCs w:val="44"/>
        </w:rPr>
        <w:t xml:space="preserve">Repaso de la solución</w:t>
      </w:r>
    </w:p>
    <w:p>
      <w:pPr>
        <w:pBdr>
          <w:top w:val="single" w:color="1F3864" w:sz="12" w:space="12"/>
        </w:pBdr>
        <w:spacing w:after="120"/>
      </w:pPr>
      <w:r>
        <w:rPr>
          <w:color w:val="404040"/>
          <w:sz w:val="26"/>
          <w:szCs w:val="26"/>
        </w:rPr>
        <w:t xml:space="preserve">Qué construimos, cómo está armado, qué decisiones tomamos y qué falta.</w:t>
      </w:r>
    </w:p>
    <w:p>
      <w:pPr>
        <w:spacing w:after="60" w:before="1200"/>
      </w:pPr>
      <w:r>
        <w:rPr>
          <w:b/>
          <w:bCs/>
          <w:sz w:val="24"/>
          <w:szCs w:val="24"/>
        </w:rPr>
        <w:t xml:space="preserve">Autor:</w:t>
      </w:r>
      <w:r>
        <w:rPr>
          <w:sz w:val="24"/>
          <w:szCs w:val="24"/>
        </w:rPr>
        <w:t xml:space="preserve"> Ariel Zamora</w:t>
      </w:r>
    </w:p>
    <w:p>
      <w:pPr>
        <w:spacing w:after="60"/>
      </w:pPr>
      <w:r>
        <w:rPr>
          <w:b/>
          <w:bCs/>
          <w:sz w:val="24"/>
          <w:szCs w:val="24"/>
        </w:rPr>
        <w:t xml:space="preserve">Fecha:</w:t>
      </w:r>
      <w:r>
        <w:rPr>
          <w:sz w:val="24"/>
          <w:szCs w:val="24"/>
        </w:rPr>
        <w:t xml:space="preserve"> 23 de octubre de 2026</w:t>
      </w:r>
    </w:p>
    <w:p>
      <w:pPr>
        <w:spacing w:after="60"/>
      </w:pPr>
      <w:r>
        <w:rPr>
          <w:b/>
          <w:bCs/>
          <w:sz w:val="24"/>
          <w:szCs w:val="24"/>
        </w:rPr>
        <w:t xml:space="preserve">Repositorio:</w:t>
      </w:r>
      <w:r>
        <w:rPr>
          <w:sz w:val="24"/>
          <w:szCs w:val="24"/>
        </w:rPr>
        <w:t xml:space="preserve"> github.com/arielzamora/mirob</w:t>
      </w:r>
    </w:p>
    <w:p>
      <w:pPr>
        <w:spacing w:after="60"/>
      </w:pPr>
      <w:r>
        <w:rPr>
          <w:b/>
          <w:bCs/>
          <w:sz w:val="24"/>
          <w:szCs w:val="24"/>
        </w:rPr>
        <w:t xml:space="preserve">Estado:</w:t>
      </w:r>
      <w:r>
        <w:rPr>
          <w:sz w:val="24"/>
          <w:szCs w:val="24"/>
        </w:rPr>
        <w:t xml:space="preserve"> en producción para el tenant digital-zur (widget en digitalzur.com.ar)</w:t>
      </w:r>
    </w:p>
    <w:p>
      <w:pPr>
        <w:spacing w:before="1600"/>
      </w:pPr>
      <w:r>
        <w:rPr>
          <w:i/>
          <w:iCs/>
          <w:color w:val="595959"/>
          <w:sz w:val="20"/>
          <w:szCs w:val="20"/>
        </w:rPr>
        <w:t xml:space="preserve">Cómo leerlo: la sección 1 es el resumen; la 2 explica cómo funciona; la 3 cuenta el recorrido; la 4 y la 5 son los diagramas; la 6 resume las decisiones (ADR); la 7, la seguridad y los costos; la 8, cómo operarlo; la 9, lo que aprendimos de los problemas; y la 10, lo que falta.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line="276"/>
      </w:pPr>
      <w:r>
        <w:rPr>
          <w:b/>
          <w:bCs/>
        </w:rPr>
        <w:t xml:space="preserve">MiRob</w:t>
      </w:r>
      <w:r>
        <w:t xml:space="preserve"> es un asistente en forma de chat que responde preguntas </w:t>
      </w:r>
      <w:r>
        <w:rPr>
          <w:b/>
          <w:bCs/>
        </w:rPr>
        <w:t xml:space="preserve">solo con el contenido que se le carga</w:t>
      </w:r>
      <w:r>
        <w:t xml:space="preserve"> a cada cliente (cada cliente es un *tenant*). Si el contenido no tiene la respuesta, lo dice: ese es el principio rector, </w:t>
      </w:r>
      <w:r>
        <w:rPr>
          <w:b/>
          <w:bCs/>
        </w:rPr>
        <w:t xml:space="preserve">nunca inventar</w:t>
      </w:r>
      <w:r>
        <w:t xml:space="preserve">. Hoy atiende a Digital Zur desde un widget embebido en digitalzur.com.ar, y está preparado para responder por el perfil profesional de Ariel ante reclutadores.</w:t>
      </w:r>
    </w:p>
    <w:p>
      <w:pPr>
        <w:pStyle w:val="Heading3"/>
      </w:pPr>
      <w:r>
        <w:t xml:space="preserve">Cómo funciona, en cuatro líneas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tenant tiene su propio contenido (archivos de texto), su propio prompt y su propia configuración; un tenant nunca ve los datos de otro.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pregunta se busca primero </w:t>
      </w:r>
      <w:r>
        <w:rPr>
          <w:b/>
          <w:bCs/>
        </w:rPr>
        <w:t xml:space="preserve">localmente</w:t>
      </w:r>
      <w:r>
        <w:t xml:space="preserve"> (TF-IDF con coseno, sin costo). Si no se parece lo suficiente al contenido, se responde un mensaje fijo y </w:t>
      </w:r>
      <w:r>
        <w:rPr>
          <w:b/>
          <w:bCs/>
        </w:rPr>
        <w:t xml:space="preserve">no se gasta ni un token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se parece, se le pasan al modelo (gpt-5.4-nano en Azure AI Foundry) como máximo tres fragmentos para que redacte la respuesta, con un tope de 250 tokens de salida.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está protegido con límites por IP, un tope diario de tokens y una página de embebido que decide qué sitios pueden mostrar el chat.</w:t>
      </w:r>
    </w:p>
    <w:p>
      <w:pPr>
        <w:pStyle w:val="Heading3"/>
      </w:pPr>
      <w:r>
        <w:t xml:space="preserve">Dónde estamos hoy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 producción:</w:t>
      </w:r>
      <w:r>
        <w:t xml:space="preserve"> la API (Azure Container Apps), el front (Static Web Apps), el contenido de digital-zur (Azure Files) y el pipeline de CI/CD con GitHub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Verificado en vivo:</w:t>
      </w:r>
      <w:r>
        <w:t xml:space="preserve"> el widget en digitalzur.com.ar carga, y una pregunta real recibió una respuesta del modelo, sin errores en la consola.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cargar a propósito:</w:t>
      </w:r>
      <w:r>
        <w:t xml:space="preserve"> el contenido de ariel-zamora. Se decidió esperar a tener access keys para reclutadores antes de exponerlo, porque la API de chat es pública.</w:t>
      </w:r>
    </w:p>
    <w:p>
      <w:pPr>
        <w:pStyle w:val="Heading3"/>
      </w:pPr>
      <w:r>
        <w:t xml:space="preserve">Números clave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Tests automáticos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274 (todos pasan; ninguno usa red ni gasta tokens)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Decisiones documentadas (ADR)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9, algunas con enmiendas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Tenants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demo, digital-zur (con contenido), ariel-zamora (sin contenido) y chocolateria (reservado, deshabilitado)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Contenido de digital-zur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40 secciones de preguntas y respuestas; 27 de 27 preguntas de prueba traen la sección esperada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Costo por respuesta del modelo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Entre 400 y 700 tokens; las preguntas fuera de tema cuestan 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Latencia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1,4 s con el modelo caliente; hasta 6 a 12 s en la primera consulta tras un rato sin tráfico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Deploy completo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Unos 5 minutos desde el push (tests, imagen, infraestructura, front y smoke test)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Tope de gasto de IA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200.000 tokens por día en total; presupuesto de Azure de USD 10 por mes con alertas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Cómo funciona</w:t>
      </w:r>
    </w:p>
    <w:p>
      <w:pPr>
        <w:pStyle w:val="Heading2"/>
      </w:pPr>
      <w:r>
        <w:t xml:space="preserve">El camino de una pregunta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visitante escribe en el widget (máximo 350 caracteres). El front manda </w:t>
      </w:r>
      <w:r>
        <w:rPr>
          <w:b/>
          <w:bCs/>
        </w:rPr>
        <w:t xml:space="preserve">POST /api/v1/chat</w:t>
      </w:r>
      <w:r>
        <w:t xml:space="preserve"> con el tenant, el mensaje y el modo.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API aplica el límite de pedidos por IP y valida el tenant (404 si no existe o está deshabilitado, 422 si el formato es inválido).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Busca los tres fragmentos más parecidos </w:t>
      </w:r>
      <w:r>
        <w:rPr>
          <w:b/>
          <w:bCs/>
        </w:rPr>
        <w:t xml:space="preserve">solo en el índice de ese tenant</w:t>
      </w:r>
      <w:r>
        <w:t xml:space="preserve">. El índice se reconstruye solo si los archivos cambiaron (se revisa cada 30 segundos).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el mejor puntaje no llega al </w:t>
      </w:r>
      <w:r>
        <w:rPr>
          <w:b/>
          <w:bCs/>
        </w:rPr>
        <w:t xml:space="preserve">umbral del tenant</w:t>
      </w:r>
      <w:r>
        <w:t xml:space="preserve"> (0,10), responde un mensaje fijo y termina: 0 tokens.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lo supera, verifica el tope diario de tokens y el límite de llamadas al modelo por IP; arma el prompt (instrucciones del tenant, fragmentos entre etiquetas y los últimos 6 mensajes) y llama a Foundry.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Devuelve la respuesta con los fragmentos usados, los puntajes, los tokens y la latencia, y anota los tokens en el contador del día.</w:t>
      </w:r>
    </w:p>
    <w:p>
      <w:pPr>
        <w:pStyle w:val="Heading2"/>
      </w:pPr>
      <w:r>
        <w:t xml:space="preserve">Los tres modos de respuesta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5354"/>
        <w:gridCol w:w="2142"/>
      </w:tblGrid>
      <w:tr>
        <w:trPr>
          <w:cantSplit/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devuelve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raw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fragmento más parecido, tal cual. Sirve para auditar qué trajo la búsqueda y con qué puntaje. No corta por umbral: solo lo marca.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 tokens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humanized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mejor fragmento con una apertura conversacional, sin modelo de lenguaje.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 tokens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foundry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Respuesta redactada por el modelo a partir de hasta tres fragmentos; corta por umbral.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400 a 700 tokens</w:t>
            </w:r>
          </w:p>
        </w:tc>
      </w:tr>
    </w:tbl>
    <w:p>
      <w:pPr>
        <w:pStyle w:val="Heading2"/>
      </w:pPr>
      <w:r>
        <w:t xml:space="preserve">Qué se guarda y dónde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Configuración de cada tenant:</w:t>
      </w:r>
      <w:r>
        <w:t xml:space="preserve"> archivos tenant.json y prompt.md en el repositorio (sin datos personales).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Contenido de cada tenant:</w:t>
      </w:r>
      <w:r>
        <w:t xml:space="preserve"> archivos .md o .txt en Azure Files, fuera de git y fuera de la imagen. Cada tema es una sección con preguntas y respuestas; las preguntas llevan varias formulaciones porque la búsqueda es léxica.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Índices y contadores:</w:t>
      </w:r>
      <w:r>
        <w:t xml:space="preserve"> en memoria del proceso (por eso hay una sola réplica de la API).</w:t>
      </w:r>
    </w:p>
    <w:p>
      <w:r>
        <w:br w:type="page"/>
      </w:r>
    </w:p>
    <w:p>
      <w:pPr>
        <w:pStyle w:val="Heading1"/>
      </w:pPr>
      <w:r>
        <w:t xml:space="preserve">3. Qué hicimos, paso a paso</w:t>
      </w:r>
    </w:p>
    <w:p>
      <w:pPr>
        <w:spacing w:after="120" w:line="276"/>
      </w:pPr>
      <w:r>
        <w:t xml:space="preserve">El trabajo avanzó por bloques, cada uno con su aprobación antes de tocar archivos. Esta tabla resume el recorrido.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9"/>
        <w:gridCol w:w="4865"/>
        <w:gridCol w:w="2754"/>
      </w:tblGrid>
      <w:tr>
        <w:trPr>
          <w:cantSplit/>
          <w:tblHeader/>
        </w:trPr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4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se hizo</w:t>
            </w:r>
          </w:p>
        </w:tc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Punto de partida</w:t>
            </w:r>
          </w:p>
        </w:tc>
        <w:tc>
          <w:tcPr>
            <w:tcW w:type="dxa" w:w="4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Etapa 1: chat con retrieval TF-IDF y coseno a mano, API en FastAPI, pantallas de chat y de carga en React.</w:t>
            </w:r>
          </w:p>
        </w:tc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Base de código con tests exactos de top-1.</w:t>
            </w:r>
          </w:p>
        </w:tc>
      </w:tr>
      <w:tr>
        <w:trPr>
          <w:cantSplit/>
        </w:trPr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A. Multitenant</w:t>
            </w:r>
          </w:p>
        </w:tc>
        <w:tc>
          <w:tcPr>
            <w:tcW w:type="dxa" w:w="4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Validación del tenant_id, un índice por tenant, configuración propia (nombre, umbral, prompt, orígenes) y carga de contenido por tenant.</w:t>
            </w:r>
          </w:p>
        </w:tc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tenant nunca ve los datos de otro (con tests de aislamiento).</w:t>
            </w:r>
          </w:p>
        </w:tc>
      </w:tr>
      <w:tr>
        <w:trPr>
          <w:cantSplit/>
        </w:trPr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B. Contrato del chat</w:t>
            </w:r>
          </w:p>
        </w:tc>
        <w:tc>
          <w:tcPr>
            <w:tcW w:type="dxa" w:w="4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 /api/v1/chat con tenant_id, message (máx. 350), historial opcional y tres modos; reemplazó al /chat viejo.</w:t>
            </w:r>
          </w:p>
        </w:tc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Contrato estable y validado.</w:t>
            </w:r>
          </w:p>
        </w:tc>
      </w:tr>
      <w:tr>
        <w:trPr>
          <w:cantSplit/>
        </w:trPr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 y D. Foundry y costos</w:t>
            </w:r>
          </w:p>
        </w:tc>
        <w:tc>
          <w:tcPr>
            <w:tcW w:type="dxa" w:w="4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Cliente de Foundry con Entra ID, corte por umbral (0 tokens), máximo 3 fragmentos, 250 tokens de salida, prompt por tenant.</w:t>
            </w:r>
          </w:p>
        </w:tc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Pipeline probado con un generador falso y con el modelo real.</w:t>
            </w:r>
          </w:p>
        </w:tc>
      </w:tr>
      <w:tr>
        <w:trPr>
          <w:cantSplit/>
        </w:trPr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E. Front</w:t>
            </w:r>
          </w:p>
        </w:tc>
        <w:tc>
          <w:tcPr>
            <w:tcW w:type="dxa" w:w="4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Selector de tenant, switch de modo, fragmentos y puntajes visibles, vista pública embebible (?embed=1).</w:t>
            </w:r>
          </w:p>
        </w:tc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Pantalla de pruebas y widget.</w:t>
            </w:r>
          </w:p>
        </w:tc>
      </w:tr>
      <w:tr>
        <w:trPr>
          <w:cantSplit/>
        </w:trPr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F. Producción</w:t>
            </w:r>
          </w:p>
        </w:tc>
        <w:tc>
          <w:tcPr>
            <w:tcW w:type="dxa" w:w="4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CORS por entorno, página /embed con frame-ancestors por tenant, rate limit por IP, tope diario de tokens, ADR 0003 y 0004.</w:t>
            </w:r>
          </w:p>
        </w:tc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 lista para exponerse.</w:t>
            </w:r>
          </w:p>
        </w:tc>
      </w:tr>
      <w:tr>
        <w:trPr>
          <w:cantSplit/>
        </w:trPr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G. Modelos de razonamiento</w:t>
            </w:r>
          </w:p>
        </w:tc>
        <w:tc>
          <w:tcPr>
            <w:tcW w:type="dxa" w:w="4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gpt-4o-mini ya no se podía desplegar; se pasó a gpt-5.4-nano. Parámetros temperature y reasoning opcionales, mensaje propio si la respuesta viene vacía.</w:t>
            </w:r>
          </w:p>
        </w:tc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smoke test pasa al primer intento.</w:t>
            </w:r>
          </w:p>
        </w:tc>
      </w:tr>
      <w:tr>
        <w:trPr>
          <w:cantSplit/>
        </w:trPr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Azure paso a paso</w:t>
            </w:r>
          </w:p>
        </w:tc>
        <w:tc>
          <w:tcPr>
            <w:tcW w:type="dxa" w:w="4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Alerta de presupuesto, grupo rg-mirob, recurso y proyecto de Foundry, deployment, identidad de GitHub (OIDC) y configuración de GitHub.</w:t>
            </w:r>
          </w:p>
        </w:tc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Entorno listo, sin claves en el repositorio.</w:t>
            </w:r>
          </w:p>
        </w:tc>
      </w:tr>
      <w:tr>
        <w:trPr>
          <w:cantSplit/>
        </w:trPr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H1 a H3. Despliegue</w:t>
            </w:r>
          </w:p>
        </w:tc>
        <w:tc>
          <w:tcPr>
            <w:tcW w:type="dxa" w:w="4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/health, /admin/reindex, Dockerfile, Bicep (Container Apps, Azure Files, Static Web Apps, Log Analytics) y workflows de CI y deploy.</w:t>
            </w:r>
          </w:p>
        </w:tc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Cada push a main llega a producción solo si pasan los tests.</w:t>
            </w:r>
          </w:p>
        </w:tc>
      </w:tr>
      <w:tr>
        <w:trPr>
          <w:cantSplit/>
        </w:trPr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H5. Contenido de digital-zur</w:t>
            </w:r>
          </w:p>
        </w:tc>
        <w:tc>
          <w:tcPr>
            <w:tcW w:type="dxa" w:w="4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40 secciones armadas desde el sitio, sin inventar; stopwords en español en el TF-IDF; prompts más estrictos.</w:t>
            </w:r>
          </w:p>
        </w:tc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 preguntas fuera de tema ya no gastan tokens.</w:t>
            </w:r>
          </w:p>
        </w:tc>
      </w:tr>
      <w:tr>
        <w:trPr>
          <w:cantSplit/>
        </w:trPr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Widget en digitalzur.com.ar</w:t>
            </w:r>
          </w:p>
        </w:tc>
        <w:tc>
          <w:tcPr>
            <w:tcW w:type="dxa" w:w="4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Componente con robot, saludo y encabezado propio; corrección de frame-ancestors; opción header=0; texto plano en las respuestas.</w:t>
            </w:r>
          </w:p>
        </w:tc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Chat funcionando en el sitio real.</w:t>
            </w:r>
          </w:p>
        </w:tc>
      </w:tr>
      <w:tr>
        <w:trPr>
          <w:cantSplit/>
        </w:trPr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Sitio de Digital Zur</w:t>
            </w:r>
          </w:p>
        </w:tc>
        <w:tc>
          <w:tcPr>
            <w:tcW w:type="dxa" w:w="4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Badges de Microsoft normalizados al mismo tamaño y texto "Certificados por Microsoft" en el hero.</w:t>
            </w:r>
          </w:p>
        </w:tc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Publicado en Vercel.</w:t>
            </w:r>
          </w:p>
        </w:tc>
      </w:tr>
      <w:tr>
        <w:trPr>
          <w:cantSplit/>
        </w:trPr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4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 ADR, diagramas C4 y de flujo en Mermaid, y este documento.</w:t>
            </w:r>
          </w:p>
        </w:tc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Todo versionado en docs/.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4. Arquitectura (modelo C4)</w:t>
      </w:r>
    </w:p>
    <w:p>
      <w:pPr>
        <w:pStyle w:val="Heading2"/>
      </w:pPr>
      <w:r>
        <w:t xml:space="preserve">Nivel 1 — Contexto del sistema</w:t>
      </w:r>
    </w:p>
    <w:p>
      <w:pPr>
        <w:spacing w:after="120" w:line="276"/>
      </w:pPr>
      <w:r>
        <w:t xml:space="preserve">Quién usa MiRob y con qué sistemas externos se relaciona. Hoy el visitante llega por el sitio institucional; el reclutador y el operador son otros dos actores.</w:t>
      </w:r>
    </w:p>
    <w:p>
      <w:pPr>
        <w:spacing w:after="60" w:before="60"/>
        <w:jc w:val="center"/>
        <w:sectPr>
          <w:footerReference w:type="default" r:id="rId7"/>
          <w:pgSz w:w="16838" w:h="11906" w:orient="landscape"/>
          <w:pgMar w:top="850" w:right="850" w:bottom="850" w:left="850" w:header="708" w:footer="708" w:gutter="0"/>
          <w:pgNumType/>
          <w:docGrid w:linePitch="360"/>
        </w:sectPr>
      </w:pPr>
      <w:r>
        <w:drawing>
          <wp:inline distT="0" distB="0" distL="0" distR="0">
            <wp:extent cx="6096000" cy="4476750"/>
            <wp:effectExtent t="0" r="0" b="0" l="0"/>
            <wp:docPr id="1" name="c4-1-contexto.png" descr="c4-1-contexto.png" title="c4-1-contex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Nivel 2 — Contenedores</w:t>
      </w:r>
    </w:p>
    <w:p>
      <w:pPr>
        <w:spacing w:after="120" w:line="276"/>
      </w:pPr>
      <w:r>
        <w:t xml:space="preserve">Las piezas ejecutables: el widget, el front, la API, el contenido en Azure Files y los logs, más Foundry como sistema externo.</w:t>
      </w:r>
    </w:p>
    <w:p>
      <w:pPr>
        <w:spacing w:after="60" w:before="60"/>
        <w:jc w:val="center"/>
        <w:sectPr>
          <w:footerReference w:type="default" r:id="rId8"/>
          <w:pgSz w:w="16838" w:h="11906" w:orient="landscape"/>
          <w:pgMar w:top="850" w:right="850" w:bottom="850" w:left="850" w:header="708" w:footer="708" w:gutter="0"/>
          <w:pgNumType/>
          <w:docGrid w:linePitch="360"/>
        </w:sectPr>
      </w:pPr>
      <w:r>
        <w:drawing>
          <wp:inline distT="0" distB="0" distL="0" distR="0">
            <wp:extent cx="8458200" cy="5143500"/>
            <wp:effectExtent t="0" r="0" b="0" l="0"/>
            <wp:docPr id="2" name="c4-2-contenedores.png" descr="c4-2-contenedores.png" title="c4-2-contenedo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Nivel 3 — Componentes de la API</w:t>
      </w:r>
    </w:p>
    <w:p>
      <w:pPr>
        <w:spacing w:after="120" w:line="276"/>
      </w:pPr>
      <w:r>
        <w:t xml:space="preserve">Cómo está organizado el backend. Solo la carpeta foundry/ conoce el SDK de Azure; el resto depende de una interfaz.</w:t>
      </w:r>
    </w:p>
    <w:p>
      <w:pPr>
        <w:spacing w:after="60" w:before="60"/>
        <w:jc w:val="center"/>
        <w:sectPr>
          <w:footerReference w:type="default" r:id="rId9"/>
          <w:pgSz w:w="16838" w:h="11906" w:orient="landscape"/>
          <w:pgMar w:top="850" w:right="850" w:bottom="850" w:left="850" w:header="708" w:footer="708" w:gutter="0"/>
          <w:pgNumType/>
          <w:docGrid w:linePitch="360"/>
        </w:sectPr>
      </w:pPr>
      <w:r>
        <w:drawing>
          <wp:inline distT="0" distB="0" distL="0" distR="0">
            <wp:extent cx="9525000" cy="4210050"/>
            <wp:effectExtent t="0" r="0" b="0" l="0"/>
            <wp:docPr id="3" name="c4-3-componentes.png" descr="c4-3-componentes.png" title="c4-3-componen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Despliegue en Azure</w:t>
      </w:r>
    </w:p>
    <w:p>
      <w:pPr>
        <w:spacing w:after="120" w:line="276"/>
      </w:pPr>
      <w:r>
        <w:t xml:space="preserve">Dónde corre cada pieza, según infra/main.bicep. El recurso de Foundry se creó a mano y el Bicep solo lo referencia.</w:t>
      </w:r>
    </w:p>
    <w:p>
      <w:pPr>
        <w:spacing w:after="60" w:before="60"/>
        <w:jc w:val="center"/>
        <w:sectPr>
          <w:footerReference w:type="default" r:id="rId10"/>
          <w:pgSz w:w="16838" w:h="11906" w:orient="landscape"/>
          <w:pgMar w:top="850" w:right="850" w:bottom="850" w:left="850" w:header="708" w:footer="708" w:gutter="0"/>
          <w:pgNumType/>
          <w:docGrid w:linePitch="360"/>
        </w:sectPr>
      </w:pPr>
      <w:r>
        <w:drawing>
          <wp:inline distT="0" distB="0" distL="0" distR="0">
            <wp:extent cx="5676900" cy="5143500"/>
            <wp:effectExtent t="0" r="0" b="0" l="0"/>
            <wp:docPr id="4" name="c4-4-despliegue.png" descr="c4-4-despliegue.png" title="c4-4-desplieg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Flujos clave</w:t>
      </w:r>
    </w:p>
    <w:p>
      <w:pPr>
        <w:pStyle w:val="Heading2"/>
      </w:pPr>
      <w:r>
        <w:t xml:space="preserve">Flujo del chat (modo foundry)</w:t>
      </w:r>
    </w:p>
    <w:p>
      <w:pPr>
        <w:spacing w:after="120" w:line="276"/>
      </w:pPr>
      <w:r>
        <w:t xml:space="preserve">El camino de una pregunta y los puntos donde se corta para no gastar tokens.</w:t>
      </w:r>
    </w:p>
    <w:p>
      <w:pPr>
        <w:spacing w:after="60" w:before="60"/>
        <w:jc w:val="center"/>
        <w:sectPr>
          <w:footerReference w:type="default" r:id="rId11"/>
          <w:pgSz w:w="16838" w:h="11906" w:orient="landscape"/>
          <w:pgMar w:top="850" w:right="850" w:bottom="850" w:left="850" w:header="708" w:footer="708" w:gutter="0"/>
          <w:pgNumType/>
          <w:docGrid w:linePitch="360"/>
        </w:sectPr>
      </w:pPr>
      <w:r>
        <w:drawing>
          <wp:inline distT="0" distB="0" distL="0" distR="0">
            <wp:extent cx="9525000" cy="3981450"/>
            <wp:effectExtent t="0" r="0" b="0" l="0"/>
            <wp:docPr id="5" name="flujo-chat.png" descr="flujo-chat.png" title="flujo-ch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Flujo del widget embebido</w:t>
      </w:r>
    </w:p>
    <w:p>
      <w:pPr>
        <w:spacing w:after="120" w:line="276"/>
      </w:pPr>
      <w:r>
        <w:t xml:space="preserve">La cadena de tres sitios y quién valida cada salto. El navegador comprueba frame-ancestors contra toda la cadena, no solo contra el padre.</w:t>
      </w:r>
    </w:p>
    <w:p>
      <w:pPr>
        <w:spacing w:after="60" w:before="60"/>
        <w:jc w:val="center"/>
        <w:sectPr>
          <w:footerReference w:type="default" r:id="rId12"/>
          <w:pgSz w:w="16838" w:h="11906" w:orient="landscape"/>
          <w:pgMar w:top="850" w:right="850" w:bottom="850" w:left="850" w:header="708" w:footer="708" w:gutter="0"/>
          <w:pgNumType/>
          <w:docGrid w:linePitch="360"/>
        </w:sectPr>
      </w:pPr>
      <w:r>
        <w:drawing>
          <wp:inline distT="0" distB="0" distL="0" distR="0">
            <wp:extent cx="9525000" cy="3810000"/>
            <wp:effectExtent t="0" r="0" b="0" l="0"/>
            <wp:docPr id="6" name="flujo-embed.png" descr="flujo-embed.png" title="flujo-emb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Flujo de CI/CD</w:t>
      </w:r>
    </w:p>
    <w:p>
      <w:pPr>
        <w:spacing w:after="120" w:line="276"/>
      </w:pPr>
      <w:r>
        <w:t xml:space="preserve">De un push a producción. Si algún test falla, no se publica nada.</w:t>
      </w:r>
    </w:p>
    <w:p>
      <w:pPr>
        <w:spacing w:after="60" w:before="60"/>
        <w:jc w:val="center"/>
      </w:pPr>
      <w:r>
        <w:drawing>
          <wp:inline distT="0" distB="0" distL="0" distR="0">
            <wp:extent cx="3143250" cy="6886575"/>
            <wp:effectExtent t="0" r="0" b="0" l="0"/>
            <wp:docPr id="7" name="flujo-cicd.png" descr="flujo-cicd.png" title="flujo-ci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6. Decisiones de arquitectura (ADR)</w:t>
      </w:r>
    </w:p>
    <w:p>
      <w:pPr>
        <w:spacing w:after="120" w:line="276"/>
      </w:pPr>
      <w:r>
        <w:t xml:space="preserve">Cada decisión importante tiene su registro en docs/adr/, con el contexto, las opciones consideradas, la decisión y sus consecuencias.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783"/>
        <w:gridCol w:w="2891"/>
      </w:tblGrid>
      <w:tr>
        <w:trPr>
          <w:cantSplit/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0001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Retrieval léxico (TF-IDF con coseno a mano) como línea base, antes de embeddings.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Enmendado: stopwords en español.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0002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 key compartida y temporal para proteger el admin; falla cerrado si no está configurada.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Provisoria hasta la Parte 3.0.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0003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Multitenancy: un índice por tenant, validación del id y sitios permitidos por tenant.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Corregido: frame-ancestors y la cadena de iframes.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0004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Gobierno de costos: umbral, 3 fragmentos, 250 tokens, límites por IP y tope diario.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Enmendado: modelo y umbral 0,10.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0005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Hosting: Container Apps (0 a 1 réplica), Azure Files, Static Web Apps, GHCR.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Verificado en producción.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0006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CI/CD con GitHub Actions y OIDC, sin claves; los tests bloquean el deploy.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 dos lecciones del primer despliegue.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0007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Widget embebible: página /embed por tenant y cadena de iframes.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Probado en digitalzur.com.ar.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0008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Foundry sin claves (Entra ID), modelo gpt-5.4-nano y reglas del prompt.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Retiro del modelo: 21 de septiembre de 2027.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0009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Contenido en Azure Files, formato de preguntas y respuestas y reindexado automático.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contenido no está versionado.</w:t>
            </w:r>
          </w:p>
        </w:tc>
      </w:tr>
    </w:tbl>
    <w:p>
      <w:pPr>
        <w:pStyle w:val="Heading1"/>
      </w:pPr>
      <w:r>
        <w:t xml:space="preserve">7. Seguridad y control de costos</w:t>
      </w:r>
    </w:p>
    <w:p>
      <w:pPr>
        <w:spacing w:after="120" w:line="276"/>
      </w:pPr>
      <w:r>
        <w:t xml:space="preserve">Las defensas están en capas, de la más barata a la más cara. La mayoría funciona sin gastar un solo token.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5012"/>
        <w:gridCol w:w="2313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Entrada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Mensaje acotado y validado con Pydantic; historial acotado.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350 caracteres; 20 mensajes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Aislamiento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tenant_id validado por formato y por lista blanca; un índice por tenant.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 tenant por defecto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Umbral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Por debajo del umbral del tenant no se llama al modelo.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0,10 (se calibra por tenant)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Contexto mínimo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Solo fragmentos que superan el umbral, delimitados como datos y con las etiquetas sanitizadas.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 fragmentos; 6 mensajes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Salida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Modelo chico en pago por token, con tope de salida y tiempo máximo.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250 tokens; 30 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Rate limit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Por IP, en ventana deslizante; responde 429 con Retry-After.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 por minuto; 30 por hora al modelo; 10 por minuto al admin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Tope diario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Tokens del día, en total y opcionalmente por tenant.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200.000 por día (UTC)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Embebido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frame-ancestors por tenant en /embed; CSP estricta en el front.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 comodines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Identidad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 claves de Foundry: identidad administrada con el rol Foundry User solo sobre el proyecto.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Mínimo privilegio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Despliegue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OIDC sin secretos de Azure; permisos solo sobre rg-mirob; clave del admin en un secreto del environment.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Presupuesto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Alerta de presupuesto mensual (avisa; el corte lo hace el tope diario).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USD 10 por mes</w:t>
            </w:r>
          </w:p>
        </w:tc>
      </w:tr>
    </w:tbl>
    <w:p>
      <w:pPr>
        <w:pBdr>
          <w:left w:val="single" w:color="2E75B6" w:sz="18" w:space="8"/>
        </w:pBdr>
        <w:spacing w:after="160" w:before="80"/>
        <w:ind w:left="240"/>
      </w:pPr>
      <w:r>
        <w:rPr>
          <w:i/>
          <w:iCs/>
          <w:color w:val="404040"/>
        </w:rPr>
        <w:t xml:space="preserve">Límites conocidos: los contadores y el índice viven en memoria del proceso, así que con más de una réplica cada una contaría aparte (por eso el máximo es una); el tenant_id no es un secreto y la API de chat es pública; y frame-ancestors protege contra el embebido en navegadores, no contra llamadas directas a la API.</w:t>
      </w:r>
    </w:p>
    <w:p>
      <w:r>
        <w:br w:type="page"/>
      </w:r>
    </w:p>
    <w:p>
      <w:pPr>
        <w:pStyle w:val="Heading1"/>
      </w:pPr>
      <w:r>
        <w:t xml:space="preserve">8. Operación</w:t>
      </w:r>
    </w:p>
    <w:p>
      <w:pPr>
        <w:pStyle w:val="Heading2"/>
      </w:pPr>
      <w:r>
        <w:t xml:space="preserve">Direcciones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7496"/>
      </w:tblGrid>
      <w:tr>
        <w:trPr>
          <w:cantSplit/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Dirección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Sitio con el widget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https://www.digitalzur.com.ar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https://ca-mirob-api.agreeabledune-2d3e3244.eastus2.azurecontainerapps.io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Página de embebido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&lt;API&gt;/embed/digital-zur  (con ?header=0 para ocultar la barra interna)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Front de MiRob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https://orange-ground-03fd98b0f.6.azurestaticapps.net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Repositorio y Actions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https://github.com/arielzamora/mirob</w:t>
            </w:r>
          </w:p>
        </w:tc>
      </w:tr>
    </w:tbl>
    <w:p>
      <w:pPr>
        <w:pStyle w:val="Heading2"/>
      </w:pPr>
      <w:r>
        <w:t xml:space="preserve">Recursos en Azure (grupo rg-mirob, East US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4725"/>
        <w:gridCol w:w="2078"/>
      </w:tblGrid>
      <w:tr>
        <w:trPr>
          <w:cantSplit/>
          <w:tblHeader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4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se creó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mirob-foundry-arielz y proyecto mirob</w:t>
            </w:r>
          </w:p>
        </w:tc>
        <w:tc>
          <w:tcPr>
            <w:tcW w:type="dxa" w:w="4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Recurso de Foundry y su proyecto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mano (CLI)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Deployment mirob-chat</w:t>
            </w:r>
          </w:p>
        </w:tc>
        <w:tc>
          <w:tcPr>
            <w:tcW w:type="dxa" w:w="4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gpt-5.4-nano 2026-03-17, GlobalStandard, 10.000 tokens por minuto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mano (CLI)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ca-mirob-api / cae-mirob</w:t>
            </w:r>
          </w:p>
        </w:tc>
        <w:tc>
          <w:tcPr>
            <w:tcW w:type="dxa" w:w="4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API (0,25 vCPU, 0 a 1 réplica) y su entorno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Bicep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stmirob… y share mirob-data</w:t>
            </w:r>
          </w:p>
        </w:tc>
        <w:tc>
          <w:tcPr>
            <w:tcW w:type="dxa" w:w="4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Contenido de los tenants (5 GiB, LRS)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Bicep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swa-mirob</w:t>
            </w:r>
          </w:p>
        </w:tc>
        <w:tc>
          <w:tcPr>
            <w:tcW w:type="dxa" w:w="4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Front (plan Free)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Bicep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log-mirob</w:t>
            </w:r>
          </w:p>
        </w:tc>
        <w:tc>
          <w:tcPr>
            <w:tcW w:type="dxa" w:w="4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Logs, con tope de 0,1 GB por día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Bicep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Presupuesto mirob-mensual</w:t>
            </w:r>
          </w:p>
        </w:tc>
        <w:tc>
          <w:tcPr>
            <w:tcW w:type="dxa" w:w="4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Alerta de gasto mensual (USD 10)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Portal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mirob-github-deploy</w:t>
            </w:r>
          </w:p>
        </w:tc>
        <w:tc>
          <w:tcPr>
            <w:tcW w:type="dxa" w:w="4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registration con credencial federada para GitHub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</w:t>
            </w:r>
          </w:p>
        </w:tc>
      </w:tr>
    </w:tbl>
    <w:p>
      <w:pPr>
        <w:pStyle w:val="Heading2"/>
      </w:pPr>
      <w:r>
        <w:t xml:space="preserve">Variables de entorno de la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6"/>
        <w:gridCol w:w="6152"/>
      </w:tblGrid>
      <w:tr>
        <w:trPr>
          <w:cantSplit/>
          <w:tblHeader/>
        </w:trPr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FOUNDRY_ENDPOINT, FOUNDRY_CHAT_DEPLOYMENT</w:t>
            </w:r>
          </w:p>
        </w:tc>
        <w:tc>
          <w:tcPr>
            <w:tcW w:type="dxa" w:w="6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Proyecto y deployment del modelo.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FOUNDRY_REASONING_EFFORT, FOUNDRY_TEMPERATURE</w:t>
            </w:r>
          </w:p>
        </w:tc>
        <w:tc>
          <w:tcPr>
            <w:tcW w:type="dxa" w:w="6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Opcionales para modelos de razonamiento; no se envían si no se definen.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MIROB_ADMIN_API_KEY</w:t>
            </w:r>
          </w:p>
        </w:tc>
        <w:tc>
          <w:tcPr>
            <w:tcW w:type="dxa" w:w="6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Clave de /admin/*. Sin ella, el admin responde 503.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MIROB_CORS_ORIGINS, MIROB_FRONTEND_URL</w:t>
            </w:r>
          </w:p>
        </w:tc>
        <w:tc>
          <w:tcPr>
            <w:tcW w:type="dxa" w:w="6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Origen del front (CORS) y URL que usa /embed.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MIROB_TRUST_PROXY</w:t>
            </w:r>
          </w:p>
        </w:tc>
        <w:tc>
          <w:tcPr>
            <w:tcW w:type="dxa" w:w="6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 1, la IP del cliente sale del último valor de X-Forwarded-For (necesario detrás de Container Apps).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MIROB_RATE_CHAT_PER_MINUTE, MIROB_RATE_FOUNDRY_PER_HOUR, MIROB_RATE_ADMIN_PER_MINUTE</w:t>
            </w:r>
          </w:p>
        </w:tc>
        <w:tc>
          <w:tcPr>
            <w:tcW w:type="dxa" w:w="6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Límites por IP (20, 30 y 10 por defecto).</w:t>
            </w:r>
          </w:p>
        </w:tc>
      </w:tr>
      <w:tr>
        <w:trPr>
          <w:cantSplit/>
        </w:trPr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MIROB_DAILY_TOKEN_CAP</w:t>
            </w:r>
          </w:p>
        </w:tc>
        <w:tc>
          <w:tcPr>
            <w:tcW w:type="dxa" w:w="6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Tope diario de tokens (200.000 por defecto).</w:t>
            </w:r>
          </w:p>
        </w:tc>
      </w:tr>
    </w:tbl>
    <w:p>
      <w:pPr>
        <w:pStyle w:val="Heading2"/>
      </w:pPr>
      <w:r>
        <w:t xml:space="preserve">Tareas frecuentes</w:t>
      </w:r>
    </w:p>
    <w:p>
      <w:pPr>
        <w:pStyle w:val="Heading3"/>
      </w:pPr>
      <w:r>
        <w:t xml:space="preserve">Actualizar el contenido de un tenant</w:t>
      </w:r>
    </w:p>
    <w:p>
      <w:pPr>
        <w:spacing w:after="120" w:line="276"/>
      </w:pPr>
      <w:r>
        <w:t xml:space="preserve">Editá los archivos en backend/data/tenants/&lt;tenant&gt;/ y subilos al share. La API detecta el cambio en menos de un minuto (o forzalo con POST /admin/reindex).</w:t>
      </w:r>
    </w:p>
    <w:p>
      <w:pPr>
        <w:shd w:fill="F2F2F2" w:val="clear"/>
        <w:spacing w:after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az storage file upload-batch --account-name &lt;storage&gt; --account-key &lt;clave&gt; --destination mirob-data --destination-path digital-zur --source backend\data\tenants\digital-zur</w:t>
      </w:r>
    </w:p>
    <w:p>
      <w:pPr>
        <w:pStyle w:val="Heading3"/>
      </w:pPr>
      <w:r>
        <w:t xml:space="preserve">Desplegar un cambio</w:t>
      </w:r>
    </w:p>
    <w:p>
      <w:pPr>
        <w:spacing w:after="120" w:line="276"/>
      </w:pPr>
      <w:r>
        <w:t xml:space="preserve">Commit y push a main. El pipeline corre los tests y, si pasan, publica. Se sigue en la pestaña Actions del repositorio.</w:t>
      </w:r>
    </w:p>
    <w:p>
      <w:pPr>
        <w:pStyle w:val="Heading3"/>
      </w:pPr>
      <w:r>
        <w:t xml:space="preserve">Volver a una versión anterior</w:t>
      </w:r>
    </w:p>
    <w:p>
      <w:pPr>
        <w:spacing w:after="120" w:line="276"/>
      </w:pPr>
      <w:r>
        <w:t xml:space="preserve">En Actions, volvé a ejecutar un deploy anterior (cada imagen está etiquetada con el SHA del commit).</w:t>
      </w:r>
    </w:p>
    <w:p>
      <w:pPr>
        <w:pStyle w:val="Heading3"/>
      </w:pPr>
      <w:r>
        <w:t xml:space="preserve">Probar rápido que todo responde</w:t>
      </w:r>
    </w:p>
    <w:p>
      <w:pPr>
        <w:shd w:fill="F2F2F2" w:val="clear"/>
        <w:spacing w:after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curl &lt;API&gt;/health</w:t>
      </w:r>
    </w:p>
    <w:p>
      <w:pPr>
        <w:shd w:fill="F2F2F2" w:val="clear"/>
        <w:spacing w:after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curl -X POST &lt;API&gt;/api/v1/chat -H "Content-Type: application/json" -d "{\"tenant_id\":\"demo\",\"message\":\"Que idiomas hablas?\",\"mode\":\"raw\"}"</w:t>
      </w:r>
    </w:p>
    <w:p>
      <w:pPr>
        <w:pStyle w:val="Heading3"/>
      </w:pPr>
      <w:r>
        <w:t xml:space="preserve">Publicar el widget en otro sitio</w:t>
      </w:r>
    </w:p>
    <w:p>
      <w:pPr>
        <w:spacing w:after="120" w:line="276"/>
      </w:pPr>
      <w:r>
        <w:t xml:space="preserve">Cargá los dominios del sitio en origenes_permitidos del tenant (tenant.json), hacé push, y embebé &lt;API&gt;/embed/&lt;tenant&gt; en un iframe.</w:t>
      </w:r>
    </w:p>
    <w:p>
      <w:r>
        <w:br w:type="page"/>
      </w:r>
    </w:p>
    <w:p>
      <w:pPr>
        <w:pStyle w:val="Heading1"/>
      </w:pPr>
      <w:r>
        <w:t xml:space="preserve">9. Lo que aprendimos de los problemas</w:t>
      </w:r>
    </w:p>
    <w:p>
      <w:pPr>
        <w:spacing w:after="120" w:line="276"/>
      </w:pPr>
      <w:r>
        <w:t xml:space="preserve">Casi todo se descubrió al probar contra el sistema real. Estos son los problemas que cambiaron el diseño.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470"/>
        <w:gridCol w:w="3277"/>
      </w:tblGrid>
      <w:tr>
        <w:trPr>
          <w:cantSplit/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se hizo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umbral 0,65 pedido no servía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 TF-IDF las preguntas bien respondidas dan entre 0,15 y 0,80; 0,65 cortaría casi todo.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Umbral por tenant, hoy 0,10, calibrado con preguntas reales.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Preguntas fuera de tema gastaban tokens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 filtrar palabras vacías, "es", "la" o "cuál" daban ~0,22 de parecido con cualquier texto.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Stopwords en español: esas preguntas dan 0,000.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gpt-4o-mini no se podía desplegar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Figura como Deprecated; una suscripción nueva no puede crearlo.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usa gpt-5.4-nano y se documentó en el ADR 0004 y el 0008.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Riesgo con modelos de razonamiento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Pueden rechazar temperature y contar los tokens de pensar dentro del tope.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Parámetros opcionales y mensaje propio si la respuesta viene vacía.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modelo suponía lo que no estaba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Respondía "sí" a un sector que el contenido no mencionaba.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Prompt con frase fija de "no tengo esa información" y prohibición de suponer.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Respuestas con asteriscos a la vista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modelo escribe Markdown y el chat muestra texto plano.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prompt exige texto plano.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Login de GitHub a Azure rechazado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token trae los ids numéricos del repositorio y la credencial tenía el formato viejo.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Credencial con el subject inmutable (ADR 0006).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Smoke test fallaba con un 405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Usaba HEAD sobre una ruta que solo acepta GET.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cambió a GET.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Widget bloqueado en el sitio real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frame-ancestors se comprueba contra toda la cadena de iframes y el front solo permitía a la API.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front acepta la API y los sitios de los tenants (ADR 0007).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Doble barra en el widget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chat dibujaba su encabezado además del del sitio.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Opción header=0.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Errores en el editor de digitalzur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proyecto no tenía las dependencias instaladas.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pnpm install; el código estaba bien.</w:t>
            </w:r>
          </w:p>
        </w:tc>
      </w:tr>
    </w:tbl>
    <w:p>
      <w:pPr>
        <w:pStyle w:val="Heading1"/>
      </w:pPr>
      <w:r>
        <w:t xml:space="preserve">10. Pendientes y próximos pasos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5012"/>
        <w:gridCol w:w="1735"/>
      </w:tblGrid>
      <w:tr>
        <w:trPr>
          <w:cantSplit/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falta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Tenants dinámicos y consumo (H6 a H9)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Alta y listado de tenants desde la UI; consumo de tokens persistente por tenant (hoy se pierde al escalar a cero) y pantalla de monitoreo.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Access keys para reclutadores (Parte 3.0)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Una clave con vencimiento por reclutador; desbloquea cargar el contenido de ariel-zamora.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Contenido de ariel-zamora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Moverlo a data/tenants/ariel-zamora/, calibrar el umbral con preguntas reales y subirlo cuando haya control de acceso.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Correo del dominio y formulario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Buzón contacto@digitalzur.com.ar (Google Workspace o Microsoft 365), DNS en Vercel (MX, SPF, DKIM, DMARC), y conectar el formulario de contacto, que hoy no envía nada.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Respaldo del contenido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contenido no está en git: la copia local y el share son las únicas. Definir un respaldo.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 de Dependabot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Cuatro saltos de versión mayor de las actions, para revisar de a uno.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Restricciones del environment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Limitar el environment production a la rama main; fijar versionUpgradeOption del modelo en OnceCurrentVersionExpired.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Arranque en frío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Evaluar una réplica mínima si el primer mensaje del widget molesta (unos USD 10 al mes).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OpenTelemetry, costo por pregunta y alertas.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Embeddings semánticos y evals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Reemplazar el parecido por palabras por embeddings y medirlo con un conjunto de preguntas (Partes 2.1 y 2.3).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Seguridad adicional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 con autenticación real, Prompt Shields o Content Safety y casos de prompt injection en las pruebas (Parte 2.5).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Coherencia del sitio de Digital Zur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Voz singular y plural mezcladas, "5 años" frente a la fundación en 2019, y marketing que aparece en una página pero no en Servicios.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Baja</w:t>
            </w:r>
          </w:p>
        </w:tc>
      </w:tr>
    </w:tbl>
    <w:p>
      <w:pPr>
        <w:pBdr>
          <w:left w:val="single" w:color="2E75B6" w:sz="18" w:space="8"/>
        </w:pBdr>
        <w:spacing w:after="160" w:before="80"/>
        <w:ind w:left="240"/>
      </w:pPr>
      <w:r>
        <w:rPr>
          <w:i/>
          <w:iCs/>
          <w:color w:val="404040"/>
        </w:rPr>
        <w:t xml:space="preserve">Orden sugerido: primero H6 a H9 y el correo del dominio (se pueden hacer en paralelo); después las access keys, que desbloquean el contenido de ariel-zamora; el resto, según el tiempo.</w:t>
      </w:r>
    </w:p>
    <w:p>
      <w:pPr>
        <w:pStyle w:val="Heading1"/>
      </w:pPr>
      <w:r>
        <w:t xml:space="preserve">11. Glosario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Tenant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cliente de MiRob, con su contenido, prompt y configuración propios (digital-zur, ariel-zamora…).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Chunk o fragmento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Una sección del contenido (un tema con sus preguntas y respuestas) que la búsqueda puede devolver.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TF-IDF y coseno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Forma de medir qué tan parecida es una pregunta a cada fragmento según las palabras que comparten. No entiende sinónimos.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Stopwords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Palabras tan comunes ("el", "qué", "cuál") que se ignoran al comparar.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Umbral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Puntaje mínimo de parecido para llamar al modelo. Por debajo, se responde un mensaje fijo y no se gasta nada.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Token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Unidad en la que se mide y cobra el uso del modelo.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Foundry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Servicio de Azure donde está desplegado el modelo de lenguaje.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Entra ID e identidad administrada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Forma de autenticarse en Azure sin guardar claves.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OIDC federado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Confianza entre GitHub y Azure: GitHub presenta un token de corta vida y Azure lo acepta, sin secretos guardados.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Bicep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Lenguaje para describir la infraestructura de Azure como código.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frame-ancestors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Directiva de seguridad que dice qué sitios pueden mostrar una página dentro de un iframe.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C4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Modelo para dibujar arquitectura en cuatro niveles: contexto, contenedores, componentes y despliegue.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ADR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Registro de una decisión de arquitectura: contexto, opciones, decisión y consecuencias.</w:t>
            </w:r>
          </w:p>
        </w:tc>
      </w:tr>
    </w:tbl>
    <w:sectPr>
      <w:footerReference w:type="default" r:id="rId13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MiRob · Repaso de la solución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MiRob · Repaso de la solución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MiRob · Repaso de la solución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MiRob · Repaso de la solución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MiRob · Repaso de la solución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MiRob · Repaso de la solución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MiRob · Repaso de la solución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MiRob · Repaso de la solución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theme" Target="theme/theme1.xml"/><Relationship Id="rId15" Type="http://schemas.openxmlformats.org/officeDocument/2006/relationships/image" Target="media/faa7eccca4401b3bd1ab35d82c3b2336c53bdd1b.png"/><Relationship Id="rId16" Type="http://schemas.openxmlformats.org/officeDocument/2006/relationships/image" Target="media/80e29f26ecdd32f69adf1e773c84dcd87f75d4ff.png"/><Relationship Id="rId17" Type="http://schemas.openxmlformats.org/officeDocument/2006/relationships/image" Target="media/12e621b4be87b7f8318c8b1a871029c7aa3ebf89.png"/><Relationship Id="rId18" Type="http://schemas.openxmlformats.org/officeDocument/2006/relationships/image" Target="media/d03373dc3623a51fa9ec62cf6f51fb939fe4b0d8.png"/><Relationship Id="rId19" Type="http://schemas.openxmlformats.org/officeDocument/2006/relationships/image" Target="media/fd88a7e8c37b62730ccb209b54811418ef450264.png"/><Relationship Id="rId20" Type="http://schemas.openxmlformats.org/officeDocument/2006/relationships/image" Target="media/d38d442a9070afa58fe7ef45d58171552c9d8fa5.png"/><Relationship Id="rId21" Type="http://schemas.openxmlformats.org/officeDocument/2006/relationships/image" Target="media/8dcd0ea0f05c32d7412c22a3f94586b2311ab1b2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MiRob — Repaso de la solución</dc:title>
  <dc:creator>Ariel Zamora</dc:creator>
  <dc:description>Repaso técnico de la solución MiRob</dc:description>
  <cp:lastModifiedBy>Un-named</cp:lastModifiedBy>
  <cp:revision>1</cp:revision>
  <dcterms:created xsi:type="dcterms:W3CDTF">2026-10-23T20:05:36.417Z</dcterms:created>
  <dcterms:modified xsi:type="dcterms:W3CDTF">2026-10-23T20:05:36.418Z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