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Meta-Analysis of Recent Research on Large Language Models</w:t>
      </w:r>
    </w:p>
    <w:p>
      <w:pPr>
        <w:jc w:val="center"/>
      </w:pPr>
      <w:r>
        <w:rPr>
          <w:i/>
          <w:sz w:val="22"/>
        </w:rPr>
        <w:t>A Comparative Study of Architecture, Training Strategy, and Capability Scaling Across Four 2024–2025 LLM Papers</w:t>
      </w:r>
    </w:p>
    <w:p>
      <w:pPr>
        <w:jc w:val="center"/>
      </w:pPr>
      <w:r>
        <w:rPr>
          <w:color w:val="555555"/>
          <w:sz w:val="20"/>
        </w:rPr>
        <w:t>Prepared by: arielzin33@gmail.com</w:t>
      </w:r>
    </w:p>
    <w:p/>
    <w:p>
      <w:pPr>
        <w:pStyle w:val="Heading1"/>
      </w:pPr>
      <w:r>
        <w:t>1. Introduction</w:t>
      </w:r>
    </w:p>
    <w:p>
      <w:r>
        <w:t>Large Language Models (LLMs) are neural networks, almost universally built on the Transformer architecture, trained on massive text (and increasingly multimodal) corpora to predict and generate language. Since 2023, progress in this field has accelerated along several largely independent fronts — raw parameter and data scaling, architectural efficiency, context-window length, and post-training methodology — making it increasingly difficult to compare models on a single axis of “which is best.” This meta-analysis examines four influential LLM papers published in 2024–2025 to identify what each contributes, how their approaches differ, and what this reveals about the current trajectory of LLM research.</w:t>
      </w:r>
    </w:p>
    <w:p>
      <w:r>
        <w:t>The connecting theme across the selected papers is capability scaling strategy: each paper represents a distinct answer to the question “what should we scale to make LLMs better?” — dense parameter count and training compute, sparse mixture-of-experts (MoE) parameter efficiency, context window length, or reinforcement-learning-driven reasoning post-training. Comparing these four approaches side by side surfaces both the diversity and the shared open problems in current LLM research.</w:t>
      </w:r>
    </w:p>
    <w:p>
      <w:r>
        <w:t>The four papers analyzed in this report are:</w:t>
      </w:r>
    </w:p>
    <w:p>
      <w:pPr>
        <w:pStyle w:val="ListBullet"/>
      </w:pPr>
      <w:r>
        <w:t>The Llama 3 Herd of Models — AI @ Meta, Llama Team (arXiv, 2024)</w:t>
      </w:r>
    </w:p>
    <w:p>
      <w:pPr>
        <w:pStyle w:val="ListBullet"/>
      </w:pPr>
      <w:r>
        <w:t>Mixtral of Experts — Jiang, A. Q. et al., Mistral AI (arXiv, 2024)</w:t>
      </w:r>
    </w:p>
    <w:p>
      <w:pPr>
        <w:pStyle w:val="ListBullet"/>
      </w:pPr>
      <w:r>
        <w:t>Gemini 1.5: Unlocking Multimodal Understanding Across Millions of Tokens of Context — Gemini Team, Google DeepMind (arXiv, 2024)</w:t>
      </w:r>
    </w:p>
    <w:p>
      <w:pPr>
        <w:pStyle w:val="ListBullet"/>
      </w:pPr>
      <w:r>
        <w:t>DeepSeek-R1: Incentivizing Reasoning Capability in LLMs via Reinforcement Learning — DeepSeek-AI (Nature, 2025)</w:t>
      </w:r>
    </w:p>
    <w:p>
      <w:pPr>
        <w:pStyle w:val="Heading1"/>
      </w:pPr>
      <w:r>
        <w:t>2. Paper Summaries</w:t>
      </w:r>
    </w:p>
    <w:p>
      <w:pPr>
        <w:pStyle w:val="Heading2"/>
      </w:pPr>
      <w:r>
        <w:t>2.1 The Llama 3 Herd of Models</w:t>
      </w:r>
    </w:p>
    <w:p>
      <w:r>
        <w:rPr>
          <w:i/>
          <w:color w:val="555555"/>
          <w:sz w:val="20"/>
        </w:rPr>
        <w:t>AI @ Meta, Llama Team (2024). The Llama 3 Herd of Models. arXiv:2407.21783. https://arxiv.org/abs/2407.21783</w:t>
      </w:r>
    </w:p>
    <w:p>
      <w:r>
        <w:rPr>
          <w:b/>
        </w:rPr>
        <w:t xml:space="preserve">Research problem: </w:t>
      </w:r>
      <w:r>
        <w:t>Open-weight LLMs had been lagging behind closed frontier models (e.g., GPT-4) in quality; the authors ask whether a straightforward, non-exotic dense architecture, scaled with enough high-quality data and compute, can close that gap while remaining fully open-weight.</w:t>
      </w:r>
    </w:p>
    <w:p>
      <w:r>
        <w:rPr>
          <w:b/>
        </w:rPr>
        <w:t xml:space="preserve">Proposed solution: </w:t>
      </w:r>
      <w:r>
        <w:t>A conventional dense Transformer decoder with Grouped Query Attention (GQA) and a 128K-token context window, scaled to 405B parameters, trained with heavy emphasis on data curation and quality filtering rather than novel architecture. Image, video, and speech capabilities are added afterward via a compositional (adapter-style) approach rather than joint pretraining.</w:t>
      </w:r>
    </w:p>
    <w:p>
      <w:r>
        <w:rPr>
          <w:b/>
        </w:rPr>
        <w:t xml:space="preserve">Main results: </w:t>
      </w:r>
      <w:r>
        <w:t>Llama 3 405B reaches quality broadly comparable to GPT-4 across a wide range of tasks, demonstrating that architectural novelty is not strictly necessary to reach frontier performance — data and compute scale, applied to a well-understood dense architecture, suffice. The release also includes Llama Guard 3 for safety filtering.</w:t>
      </w:r>
    </w:p>
    <w:p>
      <w:r>
        <w:rPr>
          <w:b/>
        </w:rPr>
        <w:t xml:space="preserve">Data, architecture, and evaluation: </w:t>
      </w:r>
      <w:r>
        <w:t>Trained on up to 16,000 NVIDIA H100 GPUs on Meta's Grand Teton platform; evaluated across standard multilingual, coding, reasoning, and tool-use benchmark suites, with reported results directly compared against GPT-4-class models.</w:t>
      </w:r>
    </w:p>
    <w:p>
      <w:pPr>
        <w:pStyle w:val="Heading2"/>
      </w:pPr>
      <w:r>
        <w:t>2.2 Mixtral of Experts</w:t>
      </w:r>
    </w:p>
    <w:p>
      <w:r>
        <w:rPr>
          <w:i/>
          <w:color w:val="555555"/>
          <w:sz w:val="20"/>
        </w:rPr>
        <w:t>Jiang, A. Q., Sablayrolles, A., Roux, A., et al. (2024). Mixtral of Experts. arXiv:2401.04088. https://arxiv.org/abs/2401.04088</w:t>
      </w:r>
    </w:p>
    <w:p>
      <w:r>
        <w:rPr>
          <w:b/>
        </w:rPr>
        <w:t xml:space="preserve">Research problem: </w:t>
      </w:r>
      <w:r>
        <w:t>Dense LLMs pay a fixed compute cost per token proportional to their full parameter count, making very large dense models expensive to run at inference time; the authors ask whether a sparsely-activated model can match large dense model quality while activating far fewer parameters per token.</w:t>
      </w:r>
    </w:p>
    <w:p>
      <w:r>
        <w:rPr>
          <w:b/>
        </w:rPr>
        <w:t xml:space="preserve">Proposed solution: </w:t>
      </w:r>
      <w:r>
        <w:t>A Sparse Mixture-of-Experts (SMoE) architecture: each Transformer layer contains 8 feedforward “expert” blocks, and a learned router selects the top 2 experts per token at each layer, so only a fraction of the model's total parameters are used for any given token.</w:t>
      </w:r>
    </w:p>
    <w:p>
      <w:r>
        <w:rPr>
          <w:b/>
        </w:rPr>
        <w:t xml:space="preserve">Main results: </w:t>
      </w:r>
      <w:r>
        <w:t>Mixtral 8x7B (47B total parameters, only 13B active per token) matches or outperforms Llama 2 70B and GPT-3.5 across most benchmarks, with especially large gains in mathematics, code generation, and multilingual tasks, despite using roughly 5x fewer active parameters than Llama 2 70B. The instruction-tuned variant surpasses GPT-3.5 Turbo, Claude 2.1, and Gemini Pro on human-preference evaluations, and shows reduced bias on the BBQ fairness benchmark relative to Llama 2.</w:t>
      </w:r>
    </w:p>
    <w:p>
      <w:r>
        <w:rPr>
          <w:b/>
        </w:rPr>
        <w:t xml:space="preserve">Data, architecture, and evaluation: </w:t>
      </w:r>
      <w:r>
        <w:t>Trained with a 32K-token context window; evaluated on standard benchmarks (MMLU-style knowledge tests, math, code, multilingual tasks) as well as human-preference arena comparisons and the BBQ bias benchmark. Model weights and routing mechanism are openly released, supporting reproducibility.</w:t>
      </w:r>
    </w:p>
    <w:p>
      <w:pPr>
        <w:pStyle w:val="Heading2"/>
      </w:pPr>
      <w:r>
        <w:t>2.3 Gemini 1.5: Unlocking Multimodal Understanding Across Millions of Tokens of Context</w:t>
      </w:r>
    </w:p>
    <w:p>
      <w:r>
        <w:rPr>
          <w:i/>
          <w:color w:val="555555"/>
          <w:sz w:val="20"/>
        </w:rPr>
        <w:t>Gemini Team, Google DeepMind (2024). Gemini 1.5: Unlocking Multimodal Understanding Across Millions of Tokens of Context. arXiv:2403.05530. https://arxiv.org/abs/2403.05530</w:t>
      </w:r>
    </w:p>
    <w:p>
      <w:r>
        <w:rPr>
          <w:b/>
        </w:rPr>
        <w:t xml:space="preserve">Research problem: </w:t>
      </w:r>
      <w:r>
        <w:t>Prior state-of-the-art context windows (128K–200K tokens) were too short for many real-world long-document, long-video, and long-audio understanding tasks; the authors ask how far context length can be scaled while retaining near-perfect retrieval accuracy.</w:t>
      </w:r>
    </w:p>
    <w:p>
      <w:r>
        <w:rPr>
          <w:b/>
        </w:rPr>
        <w:t xml:space="preserve">Proposed solution: </w:t>
      </w:r>
      <w:r>
        <w:t>A sparse Mixture-of-Experts multimodal architecture engineered specifically for extreme context lengths, evaluated primarily on long-context retrieval (“needle-in-a-haystack”-style tasks) across text, video, and audio modalities within a single context window.</w:t>
      </w:r>
    </w:p>
    <w:p>
      <w:r>
        <w:rPr>
          <w:b/>
        </w:rPr>
        <w:t xml:space="preserve">Main results: </w:t>
      </w:r>
      <w:r>
        <w:t>Gemini 1.5 Pro achieves near-perfect (&gt;99%) retrieval accuracy up to at least 10 million tokens of context — roughly a 50–100x increase over prior frontier models such as Claude 3 (200K tokens) or GPT-4 Turbo (128K tokens) at the time. It demonstrates near-perfect recall over roughly 3 hours of video and 22 hours of audio in a single context window, and on the novel MTOB benchmark (Machine Translation from One Book, translating English to Kalamang — a language with fewer than 200 speakers) it reaches translation quality comparable to a human learner using the same instructional materials, purely via in-context learning with no gradient updates.</w:t>
      </w:r>
    </w:p>
    <w:p>
      <w:r>
        <w:rPr>
          <w:b/>
        </w:rPr>
        <w:t xml:space="preserve">Data, architecture, and evaluation: </w:t>
      </w:r>
      <w:r>
        <w:t>Evaluated on long-document QA, long-video QA, long-context automatic speech recognition (ASR), and the custom MTOB in-context-learning benchmark, chosen specifically because Kalamang has essentially no online presence and thus could not have been memorized during pretraining.</w:t>
      </w:r>
    </w:p>
    <w:p>
      <w:pPr>
        <w:pStyle w:val="Heading2"/>
      </w:pPr>
      <w:r>
        <w:t>2.4 DeepSeek-R1: Incentivizing Reasoning Capability in LLMs via Reinforcement Learning</w:t>
      </w:r>
    </w:p>
    <w:p>
      <w:r>
        <w:rPr>
          <w:i/>
          <w:color w:val="555555"/>
          <w:sz w:val="20"/>
        </w:rPr>
        <w:t>DeepSeek-AI (2025). DeepSeek-R1: Incentivizing Reasoning Capability in LLMs via Reinforcement Learning. Nature (2025). https://www.nature.com/articles/s41586-025-09422-z</w:t>
      </w:r>
    </w:p>
    <w:p>
      <w:r>
        <w:rPr>
          <w:b/>
        </w:rPr>
        <w:t xml:space="preserve">Research problem: </w:t>
      </w:r>
      <w:r>
        <w:t>Prior reasoning-focused LLMs (e.g., OpenAI's o1) relied heavily on large amounts of human-labeled chain-of-thought supervision during post-training; the authors ask whether strong reasoning ability can instead be incentivized primarily through reinforcement learning, reducing dependence on expensive human-annotated reasoning traces.</w:t>
      </w:r>
    </w:p>
    <w:p>
      <w:r>
        <w:rPr>
          <w:b/>
        </w:rPr>
        <w:t xml:space="preserve">Proposed solution: </w:t>
      </w:r>
      <w:r>
        <w:t>Two model variants: DeepSeek-R1-Zero, trained via large-scale reinforcement learning directly on a base model with no supervised fine-tuning step at all, and DeepSeek-R1, which adds a multi-stage pipeline with “cold-start” supervised data before RL to improve output readability and training stability. Both use Group Relative Policy Optimization (GRPO) with rule-based (not learned neural) reward models, specifically to avoid reward hacking during large-scale RL.</w:t>
      </w:r>
    </w:p>
    <w:p>
      <w:r>
        <w:rPr>
          <w:b/>
        </w:rPr>
        <w:t xml:space="preserve">Main results: </w:t>
      </w:r>
      <w:r>
        <w:t>Sophisticated reasoning behaviors — self-verification, reflection, and dynamic strategy switching — emerge organically from RL training without being explicitly programmed or demonstrated in training data. DeepSeek-R1 reaches performance comparable to OpenAI's o1 model on reasoning benchmarks, with particularly strong results on verifiable domains such as competitive mathematics, coding competitions, and STEM question answering.</w:t>
      </w:r>
    </w:p>
    <w:p>
      <w:r>
        <w:rPr>
          <w:b/>
        </w:rPr>
        <w:t xml:space="preserve">Data, architecture, and evaluation: </w:t>
      </w:r>
      <w:r>
        <w:t>Evaluated on math benchmarks (e.g., competition-style problem sets), coding benchmarks, and general STEM reasoning tasks, using rule-based verifiable rewards (checking final-answer correctness and output format) rather than a learned reward model.</w:t>
      </w:r>
    </w:p>
    <w:p>
      <w:pPr>
        <w:pStyle w:val="Heading1"/>
      </w:pPr>
      <w:r>
        <w:t>3. Comparative Analysis</w:t>
      </w:r>
    </w:p>
    <w:p>
      <w:r>
        <w:t>The table below compares the four papers across the dimensions specified in the assignment: objectives, architecture, training strategy, evaluation approach, and reproducibility.</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Pr>
                <w:b/>
                <w:sz w:val="18"/>
              </w:rPr>
              <w:t>Dimension</w:t>
            </w:r>
          </w:p>
        </w:tc>
        <w:tc>
          <w:tcPr>
            <w:tcW w:type="dxa" w:w="1930"/>
          </w:tcPr>
          <w:p>
            <w:pPr>
              <w:spacing w:after="40"/>
            </w:pPr>
            <w:r>
              <w:rPr>
                <w:b/>
                <w:sz w:val="18"/>
              </w:rPr>
              <w:t>Llama 3 (405B)</w:t>
            </w:r>
          </w:p>
        </w:tc>
        <w:tc>
          <w:tcPr>
            <w:tcW w:type="dxa" w:w="1930"/>
          </w:tcPr>
          <w:p>
            <w:pPr>
              <w:spacing w:after="40"/>
            </w:pPr>
            <w:r>
              <w:rPr>
                <w:b/>
                <w:sz w:val="18"/>
              </w:rPr>
              <w:t>Mixtral 8x7B</w:t>
            </w:r>
          </w:p>
        </w:tc>
        <w:tc>
          <w:tcPr>
            <w:tcW w:type="dxa" w:w="1930"/>
          </w:tcPr>
          <w:p>
            <w:pPr>
              <w:spacing w:after="40"/>
            </w:pPr>
            <w:r>
              <w:rPr>
                <w:b/>
                <w:sz w:val="18"/>
              </w:rPr>
              <w:t>Gemini 1.5</w:t>
            </w:r>
          </w:p>
        </w:tc>
        <w:tc>
          <w:tcPr>
            <w:tcW w:type="dxa" w:w="1930"/>
          </w:tcPr>
          <w:p>
            <w:pPr>
              <w:spacing w:after="40"/>
            </w:pPr>
            <w:r>
              <w:rPr>
                <w:b/>
                <w:sz w:val="18"/>
              </w:rPr>
              <w:t>DeepSeek-R1</w:t>
            </w:r>
          </w:p>
        </w:tc>
      </w:tr>
      <w:tr>
        <w:tc>
          <w:tcPr>
            <w:tcW w:type="dxa" w:w="1930"/>
          </w:tcPr>
          <w:p>
            <w:pPr>
              <w:spacing w:after="40"/>
            </w:pPr>
            <w:r>
              <w:rPr>
                <w:b/>
                <w:sz w:val="18"/>
              </w:rPr>
              <w:t>Primary objective</w:t>
            </w:r>
          </w:p>
        </w:tc>
        <w:tc>
          <w:tcPr>
            <w:tcW w:type="dxa" w:w="1930"/>
          </w:tcPr>
          <w:p>
            <w:pPr>
              <w:spacing w:after="40"/>
            </w:pPr>
            <w:r>
              <w:rPr>
                <w:sz w:val="18"/>
              </w:rPr>
              <w:t>Match closed-frontier</w:t>
              <w:br/>
              <w:t>quality, fully open-weight</w:t>
            </w:r>
          </w:p>
        </w:tc>
        <w:tc>
          <w:tcPr>
            <w:tcW w:type="dxa" w:w="1930"/>
          </w:tcPr>
          <w:p>
            <w:pPr>
              <w:spacing w:after="40"/>
            </w:pPr>
            <w:r>
              <w:rPr>
                <w:sz w:val="18"/>
              </w:rPr>
              <w:t>Match large-dense-model</w:t>
              <w:br/>
              <w:t>quality at lower inference cost</w:t>
            </w:r>
          </w:p>
        </w:tc>
        <w:tc>
          <w:tcPr>
            <w:tcW w:type="dxa" w:w="1930"/>
          </w:tcPr>
          <w:p>
            <w:pPr>
              <w:spacing w:after="40"/>
            </w:pPr>
            <w:r>
              <w:rPr>
                <w:sz w:val="18"/>
              </w:rPr>
              <w:t>Maximize usable</w:t>
              <w:br/>
              <w:t>context length</w:t>
            </w:r>
          </w:p>
        </w:tc>
        <w:tc>
          <w:tcPr>
            <w:tcW w:type="dxa" w:w="1930"/>
          </w:tcPr>
          <w:p>
            <w:pPr>
              <w:spacing w:after="40"/>
            </w:pPr>
            <w:r>
              <w:rPr>
                <w:sz w:val="18"/>
              </w:rPr>
              <w:t>Elicit strong reasoning</w:t>
              <w:br/>
              <w:t>via RL, less SFT reliance</w:t>
            </w:r>
          </w:p>
        </w:tc>
      </w:tr>
      <w:tr>
        <w:tc>
          <w:tcPr>
            <w:tcW w:type="dxa" w:w="1930"/>
          </w:tcPr>
          <w:p>
            <w:pPr>
              <w:spacing w:after="40"/>
            </w:pPr>
            <w:r>
              <w:rPr>
                <w:b/>
                <w:sz w:val="18"/>
              </w:rPr>
              <w:t>Architecture</w:t>
            </w:r>
          </w:p>
        </w:tc>
        <w:tc>
          <w:tcPr>
            <w:tcW w:type="dxa" w:w="1930"/>
          </w:tcPr>
          <w:p>
            <w:pPr>
              <w:spacing w:after="40"/>
            </w:pPr>
            <w:r>
              <w:rPr>
                <w:sz w:val="18"/>
              </w:rPr>
              <w:t>Dense Transformer + GQA</w:t>
            </w:r>
          </w:p>
        </w:tc>
        <w:tc>
          <w:tcPr>
            <w:tcW w:type="dxa" w:w="1930"/>
          </w:tcPr>
          <w:p>
            <w:pPr>
              <w:spacing w:after="40"/>
            </w:pPr>
            <w:r>
              <w:rPr>
                <w:sz w:val="18"/>
              </w:rPr>
              <w:t>Sparse MoE</w:t>
              <w:br/>
              <w:t>(top-2 of 8 experts/layer)</w:t>
            </w:r>
          </w:p>
        </w:tc>
        <w:tc>
          <w:tcPr>
            <w:tcW w:type="dxa" w:w="1930"/>
          </w:tcPr>
          <w:p>
            <w:pPr>
              <w:spacing w:after="40"/>
            </w:pPr>
            <w:r>
              <w:rPr>
                <w:sz w:val="18"/>
              </w:rPr>
              <w:t>Sparse MoE,</w:t>
              <w:br/>
              <w:t>multimodal</w:t>
            </w:r>
          </w:p>
        </w:tc>
        <w:tc>
          <w:tcPr>
            <w:tcW w:type="dxa" w:w="1930"/>
          </w:tcPr>
          <w:p>
            <w:pPr>
              <w:spacing w:after="40"/>
            </w:pPr>
            <w:r>
              <w:rPr>
                <w:sz w:val="18"/>
              </w:rPr>
              <w:t>Dense base model +</w:t>
              <w:br/>
              <w:t>RL post-training (GRPO)</w:t>
            </w:r>
          </w:p>
        </w:tc>
      </w:tr>
      <w:tr>
        <w:tc>
          <w:tcPr>
            <w:tcW w:type="dxa" w:w="1930"/>
          </w:tcPr>
          <w:p>
            <w:pPr>
              <w:spacing w:after="40"/>
            </w:pPr>
            <w:r>
              <w:rPr>
                <w:b/>
                <w:sz w:val="18"/>
              </w:rPr>
              <w:t>Training/fine-tuning strategy</w:t>
            </w:r>
          </w:p>
        </w:tc>
        <w:tc>
          <w:tcPr>
            <w:tcW w:type="dxa" w:w="1930"/>
          </w:tcPr>
          <w:p>
            <w:pPr>
              <w:spacing w:after="40"/>
            </w:pPr>
            <w:r>
              <w:rPr>
                <w:sz w:val="18"/>
              </w:rPr>
              <w:t>Massive data curation +</w:t>
              <w:br/>
              <w:t>compute scaling</w:t>
            </w:r>
          </w:p>
        </w:tc>
        <w:tc>
          <w:tcPr>
            <w:tcW w:type="dxa" w:w="1930"/>
          </w:tcPr>
          <w:p>
            <w:pPr>
              <w:spacing w:after="40"/>
            </w:pPr>
            <w:r>
              <w:rPr>
                <w:sz w:val="18"/>
              </w:rPr>
              <w:t>Standard pretraining +</w:t>
              <w:br/>
              <w:t>learned expert routing</w:t>
            </w:r>
          </w:p>
        </w:tc>
        <w:tc>
          <w:tcPr>
            <w:tcW w:type="dxa" w:w="1930"/>
          </w:tcPr>
          <w:p>
            <w:pPr>
              <w:spacing w:after="40"/>
            </w:pPr>
            <w:r>
              <w:rPr>
                <w:sz w:val="18"/>
              </w:rPr>
              <w:t>Long-context-focused</w:t>
              <w:br/>
              <w:t>pretraining/architecture</w:t>
            </w:r>
          </w:p>
        </w:tc>
        <w:tc>
          <w:tcPr>
            <w:tcW w:type="dxa" w:w="1930"/>
          </w:tcPr>
          <w:p>
            <w:pPr>
              <w:spacing w:after="40"/>
            </w:pPr>
            <w:r>
              <w:rPr>
                <w:sz w:val="18"/>
              </w:rPr>
              <w:t>Pure RL (R1-Zero) or</w:t>
              <w:br/>
              <w:t>cold-start SFT + RL (R1)</w:t>
            </w:r>
          </w:p>
        </w:tc>
      </w:tr>
      <w:tr>
        <w:tc>
          <w:tcPr>
            <w:tcW w:type="dxa" w:w="1930"/>
          </w:tcPr>
          <w:p>
            <w:pPr>
              <w:spacing w:after="40"/>
            </w:pPr>
            <w:r>
              <w:rPr>
                <w:b/>
                <w:sz w:val="18"/>
              </w:rPr>
              <w:t>Context window</w:t>
            </w:r>
          </w:p>
        </w:tc>
        <w:tc>
          <w:tcPr>
            <w:tcW w:type="dxa" w:w="1930"/>
          </w:tcPr>
          <w:p>
            <w:pPr>
              <w:spacing w:after="40"/>
            </w:pPr>
            <w:r>
              <w:rPr>
                <w:sz w:val="18"/>
              </w:rPr>
              <w:t>128K tokens</w:t>
            </w:r>
          </w:p>
        </w:tc>
        <w:tc>
          <w:tcPr>
            <w:tcW w:type="dxa" w:w="1930"/>
          </w:tcPr>
          <w:p>
            <w:pPr>
              <w:spacing w:after="40"/>
            </w:pPr>
            <w:r>
              <w:rPr>
                <w:sz w:val="18"/>
              </w:rPr>
              <w:t>32K tokens</w:t>
            </w:r>
          </w:p>
        </w:tc>
        <w:tc>
          <w:tcPr>
            <w:tcW w:type="dxa" w:w="1930"/>
          </w:tcPr>
          <w:p>
            <w:pPr>
              <w:spacing w:after="40"/>
            </w:pPr>
            <w:r>
              <w:rPr>
                <w:sz w:val="18"/>
              </w:rPr>
              <w:t>Up to 10M tokens</w:t>
            </w:r>
          </w:p>
        </w:tc>
        <w:tc>
          <w:tcPr>
            <w:tcW w:type="dxa" w:w="1930"/>
          </w:tcPr>
          <w:p>
            <w:pPr>
              <w:spacing w:after="40"/>
            </w:pPr>
            <w:r>
              <w:rPr>
                <w:sz w:val="18"/>
              </w:rPr>
              <w:t>Not the paper's focus</w:t>
            </w:r>
          </w:p>
        </w:tc>
      </w:tr>
      <w:tr>
        <w:tc>
          <w:tcPr>
            <w:tcW w:type="dxa" w:w="1930"/>
          </w:tcPr>
          <w:p>
            <w:pPr>
              <w:spacing w:after="40"/>
            </w:pPr>
            <w:r>
              <w:rPr>
                <w:b/>
                <w:sz w:val="18"/>
              </w:rPr>
              <w:t>Benchmarks/evaluation</w:t>
            </w:r>
          </w:p>
        </w:tc>
        <w:tc>
          <w:tcPr>
            <w:tcW w:type="dxa" w:w="1930"/>
          </w:tcPr>
          <w:p>
            <w:pPr>
              <w:spacing w:after="40"/>
            </w:pPr>
            <w:r>
              <w:rPr>
                <w:sz w:val="18"/>
              </w:rPr>
              <w:t>Broad multilingual, code,</w:t>
              <w:br/>
              <w:t>reasoning, tool-use suites</w:t>
            </w:r>
          </w:p>
        </w:tc>
        <w:tc>
          <w:tcPr>
            <w:tcW w:type="dxa" w:w="1930"/>
          </w:tcPr>
          <w:p>
            <w:pPr>
              <w:spacing w:after="40"/>
            </w:pPr>
            <w:r>
              <w:rPr>
                <w:sz w:val="18"/>
              </w:rPr>
              <w:t>MMLU-style, math, code,</w:t>
              <w:br/>
              <w:t>multilingual, BBQ bias, arena</w:t>
            </w:r>
          </w:p>
        </w:tc>
        <w:tc>
          <w:tcPr>
            <w:tcW w:type="dxa" w:w="1930"/>
          </w:tcPr>
          <w:p>
            <w:pPr>
              <w:spacing w:after="40"/>
            </w:pPr>
            <w:r>
              <w:rPr>
                <w:sz w:val="18"/>
              </w:rPr>
              <w:t>Long-doc/video/audio QA,</w:t>
              <w:br/>
              <w:t>MTOB in-context translation</w:t>
            </w:r>
          </w:p>
        </w:tc>
        <w:tc>
          <w:tcPr>
            <w:tcW w:type="dxa" w:w="1930"/>
          </w:tcPr>
          <w:p>
            <w:pPr>
              <w:spacing w:after="40"/>
            </w:pPr>
            <w:r>
              <w:rPr>
                <w:sz w:val="18"/>
              </w:rPr>
              <w:t>Math, coding, STEM</w:t>
              <w:br/>
              <w:t>reasoning benchmarks</w:t>
            </w:r>
          </w:p>
        </w:tc>
      </w:tr>
      <w:tr>
        <w:tc>
          <w:tcPr>
            <w:tcW w:type="dxa" w:w="1930"/>
          </w:tcPr>
          <w:p>
            <w:pPr>
              <w:spacing w:after="40"/>
            </w:pPr>
            <w:r>
              <w:rPr>
                <w:b/>
                <w:sz w:val="18"/>
              </w:rPr>
              <w:t>Reproducibility</w:t>
            </w:r>
          </w:p>
        </w:tc>
        <w:tc>
          <w:tcPr>
            <w:tcW w:type="dxa" w:w="1930"/>
          </w:tcPr>
          <w:p>
            <w:pPr>
              <w:spacing w:after="40"/>
            </w:pPr>
            <w:r>
              <w:rPr>
                <w:sz w:val="18"/>
              </w:rPr>
              <w:t>Weights open;</w:t>
              <w:br/>
              <w:t>compute scale (16K H100s)</w:t>
              <w:br/>
              <w:t>beyond most labs</w:t>
            </w:r>
          </w:p>
        </w:tc>
        <w:tc>
          <w:tcPr>
            <w:tcW w:type="dxa" w:w="1930"/>
          </w:tcPr>
          <w:p>
            <w:pPr>
              <w:spacing w:after="40"/>
            </w:pPr>
            <w:r>
              <w:rPr>
                <w:sz w:val="18"/>
              </w:rPr>
              <w:t>Weights + routing</w:t>
              <w:br/>
              <w:t>mechanism openly released</w:t>
            </w:r>
          </w:p>
        </w:tc>
        <w:tc>
          <w:tcPr>
            <w:tcW w:type="dxa" w:w="1930"/>
          </w:tcPr>
          <w:p>
            <w:pPr>
              <w:spacing w:after="40"/>
            </w:pPr>
            <w:r>
              <w:rPr>
                <w:sz w:val="18"/>
              </w:rPr>
              <w:t>Closed model;</w:t>
              <w:br/>
              <w:t>architecture described,</w:t>
              <w:br/>
              <w:t>weights not released</w:t>
            </w:r>
          </w:p>
        </w:tc>
        <w:tc>
          <w:tcPr>
            <w:tcW w:type="dxa" w:w="1930"/>
          </w:tcPr>
          <w:p>
            <w:pPr>
              <w:spacing w:after="40"/>
            </w:pPr>
            <w:r>
              <w:rPr>
                <w:sz w:val="18"/>
              </w:rPr>
              <w:t>Weights + training</w:t>
              <w:br/>
              <w:t>recipe largely described</w:t>
            </w:r>
          </w:p>
        </w:tc>
      </w:tr>
    </w:tbl>
    <w:p/>
    <w:p>
      <w:r>
        <w:t>A clear pattern emerges from this comparison: none of the four labs scaled the same axis. Meta scaled a dense architecture with data and compute; Mistral AI scaled effective capacity while holding active compute per token low via sparsity; Google DeepMind scaled the context window itself as the primary capability lever; and DeepSeek-AI scaled reinforcement learning rather than pretraining scale or architecture. This suggests the field has moved past a single dominant “bigger is better” scaling strategy toward several largely orthogonal axes of improvement being pursued in parallel.</w:t>
      </w:r>
    </w:p>
    <w:p>
      <w:r>
        <w:t>In terms of strengths and limitations: Llama 3's approach is the most reproducible in principle (open weights, standard architecture) but requires compute resources (16,000 H100 GPUs) far beyond most academic or independent researchers to reproduce the full training run. Mixtral's efficiency gains are real and independently verifiable given its open release, but sparse routing introduces its own complexity (load balancing across experts, routing stability) not present in dense models. Gemini 1.5's long-context claims are the hardest to independently verify since the model itself is closed and the infrastructure for 10M-token contexts is proprietary. DeepSeek-R1's RL-only approach (R1-Zero) is notable for reducing reliance on human-labeled reasoning data, but the paper itself notes that R1-Zero's raw outputs suffer readability issues that the full R1 pipeline was built to address, showing that pure RL alone is not yet a complete solution.</w:t>
      </w:r>
    </w:p>
    <w:p>
      <w:pPr>
        <w:pStyle w:val="Heading1"/>
      </w:pPr>
      <w:r>
        <w:t>4. Insights and Reflection</w:t>
      </w:r>
    </w:p>
    <w:p>
      <w:pPr>
        <w:pStyle w:val="Heading2"/>
      </w:pPr>
      <w:r>
        <w:t>Trends and patterns</w:t>
      </w:r>
    </w:p>
    <w:p>
      <w:pPr>
        <w:pStyle w:val="ListBullet"/>
      </w:pPr>
      <w:r>
        <w:t>Scaling strategies have diversified: rather than all labs racing to increase parameter count, 2024–2025 research shows at least four distinct scaling axes being pursued (dense compute, MoE efficiency, context length, RL post-training), often independently of one another.</w:t>
      </w:r>
    </w:p>
    <w:p>
      <w:pPr>
        <w:pStyle w:val="ListBullet"/>
      </w:pPr>
      <w:r>
        <w:t>Open-weight models (Llama 3, Mixtral, DeepSeek-R1) are increasingly competitive with closed frontier models (which Gemini 1.5 represents here), narrowing a gap that was much larger in 2022–2023.</w:t>
      </w:r>
    </w:p>
    <w:p>
      <w:pPr>
        <w:pStyle w:val="ListBullet"/>
      </w:pPr>
      <w:r>
        <w:t>Reinforcement learning is re-emerging as a first-class post-training tool for capability (not just alignment/safety, its more traditional role via RLHF), specifically for eliciting reasoning behavior that supervised fine-tuning alone struggled to produce reliably.</w:t>
      </w:r>
    </w:p>
    <w:p>
      <w:pPr>
        <w:pStyle w:val="Heading2"/>
      </w:pPr>
      <w:r>
        <w:t>Most promising or innovative approaches</w:t>
      </w:r>
    </w:p>
    <w:p>
      <w:r>
        <w:t>DeepSeek-R1's demonstration that reasoning behaviors can emerge from RL without human-labeled reasoning traces is arguably the most conceptually significant finding among the four papers, since it points toward a training paradigm that scales with compute and verifiable reward signals rather than with the availability of expensive human annotation — a substantially different bottleneck than the one facing pretraining-scale approaches. Mixtral's efficiency results are the most immediately practical for real-world deployment, since inference cost is often the binding constraint in production systems.</w:t>
      </w:r>
    </w:p>
    <w:p>
      <w:pPr>
        <w:pStyle w:val="Heading2"/>
      </w:pPr>
      <w:r>
        <w:t>Commonly acknowledged limitations</w:t>
      </w:r>
    </w:p>
    <w:p>
      <w:pPr>
        <w:pStyle w:val="ListBullet"/>
      </w:pPr>
      <w:r>
        <w:t>Benchmark validity: all four papers rely on benchmark suites that are increasingly contested as proxies for real-world capability, and none fully rules out benchmark contamination (test data leaking into pretraining corpora).</w:t>
      </w:r>
    </w:p>
    <w:p>
      <w:pPr>
        <w:pStyle w:val="ListBullet"/>
      </w:pPr>
      <w:r>
        <w:t>Compute inequality: Llama 3 and Gemini 1.5 in particular require training infrastructure accessible only to a small number of well-resourced labs, limiting independent verification of their headline claims.</w:t>
      </w:r>
    </w:p>
    <w:p>
      <w:pPr>
        <w:pStyle w:val="ListBullet"/>
      </w:pPr>
      <w:r>
        <w:t>Emergent behavior is observed, not fully explained: DeepSeek-R1's emergent self-reflection is reported empirically, but none of these papers offers a predictive theory of when or why such behaviors arise from a given training recipe.</w:t>
      </w:r>
    </w:p>
    <w:p>
      <w:pPr>
        <w:pStyle w:val="Heading2"/>
      </w:pPr>
      <w:r>
        <w:t>Potential future directions</w:t>
      </w:r>
    </w:p>
    <w:p>
      <w:pPr>
        <w:pStyle w:val="ListBullet"/>
      </w:pPr>
      <w:r>
        <w:t>Combining the four scaling axes identified in this analysis — e.g., an MoE architecture with RL-driven reasoning post-training and extended context — rather than treating them as competing paradigms, since each paper here isolates a single lever.</w:t>
      </w:r>
    </w:p>
    <w:p>
      <w:pPr>
        <w:pStyle w:val="ListBullet"/>
      </w:pPr>
      <w:r>
        <w:t>Evaluation methods that are harder to game and better predict real-world downstream performance, particularly for emergent reasoning behaviors current benchmarks were not designed to measure.</w:t>
      </w:r>
    </w:p>
    <w:p>
      <w:pPr>
        <w:pStyle w:val="ListBullet"/>
      </w:pPr>
      <w:r>
        <w:t>Lowering the compute barrier to reproducing frontier-level results, following DeepSeek-R1's direction of achieving strong gains through more compute-efficient post-training rather than ever-larger pretraining runs alone.</w:t>
      </w:r>
    </w:p>
    <w:p>
      <w:pPr>
        <w:pStyle w:val="Heading1"/>
      </w:pPr>
      <w:r>
        <w:t>5. Conclusion</w:t>
      </w:r>
    </w:p>
    <w:p>
      <w:r>
        <w:t>This meta-analysis of four 2024–2025 LLM papers shows that the field's current frontier is defined not by a single dominant technique, but by parallel exploration of largely independent scaling axes: dense data/compute scaling (Llama 3), sparse-MoE parameter efficiency (Mixtral), long-context architecture scaling (Gemini 1.5), and RL-driven reasoning post-training (DeepSeek-R1). For practitioners, this means model selection should be driven by which axis matters most for a given application — raw quality, inference cost, context length, or reasoning depth — rather than by a single leaderboard ranking. For researchers, the clearest open opportunity identified across these four papers is combining these largely orthogonal advances rather than continuing to optimize each one in isolation, alongside developing evaluation methods robust enough to reliably measure the resulting capabilities.</w:t>
      </w:r>
    </w:p>
    <w:p>
      <w:pPr>
        <w:pStyle w:val="Heading1"/>
      </w:pPr>
      <w:r>
        <w:t>References</w:t>
      </w:r>
    </w:p>
    <w:p>
      <w:pPr>
        <w:pStyle w:val="ListBullet"/>
      </w:pPr>
      <w:r>
        <w:t xml:space="preserve">AI @ Meta, Llama Team (2024). The Llama 3 Herd of Models. arXiv:2407.21783. </w:t>
      </w:r>
      <w:hyperlink r:id="rId9">
        <w:r>
          <w:rPr>
            <w:color w:val="1155CC"/>
            <w:u w:val="single"/>
          </w:rPr>
          <w:t>https://arxiv.org/abs/2407.21783</w:t>
        </w:r>
      </w:hyperlink>
    </w:p>
    <w:p>
      <w:pPr>
        <w:pStyle w:val="ListBullet"/>
      </w:pPr>
      <w:r>
        <w:t xml:space="preserve">Jiang, A. Q., Sablayrolles, A., Roux, A., et al. (2024). Mixtral of Experts. arXiv:2401.04088. </w:t>
      </w:r>
      <w:hyperlink r:id="rId10">
        <w:r>
          <w:rPr>
            <w:color w:val="1155CC"/>
            <w:u w:val="single"/>
          </w:rPr>
          <w:t>https://arxiv.org/abs/2401.04088</w:t>
        </w:r>
      </w:hyperlink>
    </w:p>
    <w:p>
      <w:pPr>
        <w:pStyle w:val="ListBullet"/>
      </w:pPr>
      <w:r>
        <w:t xml:space="preserve">Gemini Team, Google DeepMind (2024). Gemini 1.5: Unlocking Multimodal Understanding Across Millions of Tokens of Context. arXiv:2403.05530. </w:t>
      </w:r>
      <w:hyperlink r:id="rId11">
        <w:r>
          <w:rPr>
            <w:color w:val="1155CC"/>
            <w:u w:val="single"/>
          </w:rPr>
          <w:t>https://arxiv.org/abs/2403.05530</w:t>
        </w:r>
      </w:hyperlink>
    </w:p>
    <w:p>
      <w:pPr>
        <w:pStyle w:val="ListBullet"/>
      </w:pPr>
      <w:r>
        <w:t xml:space="preserve">DeepSeek-AI (2025). DeepSeek-R1: Incentivizing Reasoning Capability in LLMs via Reinforcement Learning. Nature (2025). </w:t>
      </w:r>
      <w:hyperlink r:id="rId12">
        <w:r>
          <w:rPr>
            <w:color w:val="1155CC"/>
            <w:u w:val="single"/>
          </w:rPr>
          <w:t>https://www.nature.com/articles/s41586-025-09422-z</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407.21783" TargetMode="External"/><Relationship Id="rId10" Type="http://schemas.openxmlformats.org/officeDocument/2006/relationships/hyperlink" Target="https://arxiv.org/abs/2401.04088" TargetMode="External"/><Relationship Id="rId11" Type="http://schemas.openxmlformats.org/officeDocument/2006/relationships/hyperlink" Target="https://arxiv.org/abs/2403.05530" TargetMode="External"/><Relationship Id="rId12" Type="http://schemas.openxmlformats.org/officeDocument/2006/relationships/hyperlink" Target="https://www.nature.com/articles/s41586-025-0942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