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3864"/>
          <w:sz w:val="44"/>
          <w:szCs w:val="44"/>
        </w:rPr>
        <w:t xml:space="preserve">AAAEE Interactive Flowchart</w:t>
      </w:r>
    </w:p>
    <w:p>
      <w:pPr>
        <w:spacing w:after="200"/>
      </w:pPr>
      <w:r>
        <w:rPr>
          <w:color w:val="44546A"/>
          <w:sz w:val="28"/>
          <w:szCs w:val="28"/>
        </w:rPr>
        <w:t xml:space="preserve">Specification of Deferred Layers 2 and 3</w:t>
      </w:r>
    </w:p>
    <w:p>
      <w:pPr>
        <w:pBdr>
          <w:top w:val="single" w:color="1F3864" w:sz="12"/>
        </w:pBd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7ECF5" w:color="auto" w:val="clear"/>
            <w:tcMar>
              <w:top w:type="dxa" w:w="90"/>
              <w:left w:type="dxa" w:w="120"/>
              <w:bottom w:type="dxa" w:w="90"/>
              <w:right w:type="dxa" w:w="120"/>
            </w:tcMar>
            <w:vAlign w:val="center"/>
          </w:tcPr>
          <w:p>
            <w:pPr>
              <w:spacing w:after="0" w:line="264"/>
            </w:pPr>
            <w:r>
              <w:rPr>
                <w:b/>
                <w:bCs/>
                <w:sz w:val="19"/>
                <w:szCs w:val="19"/>
              </w:rPr>
              <w:t xml:space="preserve">Field</w:t>
            </w:r>
          </w:p>
        </w:tc>
        <w:tc>
          <w:tcPr>
            <w:tcW w:type="dxa" w:w="6960"/>
            <w:shd w:fill="E7ECF5" w:color="auto" w:val="clear"/>
            <w:tcMar>
              <w:top w:type="dxa" w:w="90"/>
              <w:left w:type="dxa" w:w="120"/>
              <w:bottom w:type="dxa" w:w="90"/>
              <w:right w:type="dxa" w:w="120"/>
            </w:tcMar>
            <w:vAlign w:val="center"/>
          </w:tcPr>
          <w:p>
            <w:pPr>
              <w:spacing w:after="0" w:line="264"/>
            </w:pPr>
            <w:r>
              <w:rPr>
                <w:b/>
                <w:bCs/>
                <w:sz w:val="19"/>
                <w:szCs w:val="19"/>
              </w:rPr>
              <w:t xml:space="preserve">Value</w:t>
            </w:r>
          </w:p>
        </w:tc>
      </w:tr>
      <w:tr>
        <w:tc>
          <w:tcPr>
            <w:tcW w:type="dxa" w:w="2400"/>
            <w:tcMar>
              <w:top w:type="dxa" w:w="90"/>
              <w:left w:type="dxa" w:w="120"/>
              <w:bottom w:type="dxa" w:w="90"/>
              <w:right w:type="dxa" w:w="120"/>
            </w:tcMar>
            <w:vAlign w:val="center"/>
          </w:tcPr>
          <w:p>
            <w:pPr>
              <w:spacing w:after="0" w:line="264"/>
            </w:pPr>
            <w:r>
              <w:rPr>
                <w:sz w:val="19"/>
                <w:szCs w:val="19"/>
              </w:rPr>
              <w:t xml:space="preserve">Document type</w:t>
            </w:r>
          </w:p>
        </w:tc>
        <w:tc>
          <w:tcPr>
            <w:tcW w:type="dxa" w:w="6960"/>
            <w:tcMar>
              <w:top w:type="dxa" w:w="90"/>
              <w:left w:type="dxa" w:w="120"/>
              <w:bottom w:type="dxa" w:w="90"/>
              <w:right w:type="dxa" w:w="120"/>
            </w:tcMar>
            <w:vAlign w:val="center"/>
          </w:tcPr>
          <w:p>
            <w:pPr>
              <w:spacing w:after="0" w:line="264"/>
            </w:pPr>
            <w:r>
              <w:rPr>
                <w:sz w:val="19"/>
                <w:szCs w:val="19"/>
              </w:rPr>
              <w:t xml:space="preserve">Future-work specification (design intent, not an implementation record)</w:t>
            </w:r>
          </w:p>
        </w:tc>
      </w:tr>
      <w:tr>
        <w:tc>
          <w:tcPr>
            <w:tcW w:type="dxa" w:w="2400"/>
            <w:tcMar>
              <w:top w:type="dxa" w:w="90"/>
              <w:left w:type="dxa" w:w="120"/>
              <w:bottom w:type="dxa" w:w="90"/>
              <w:right w:type="dxa" w:w="120"/>
            </w:tcMar>
            <w:vAlign w:val="center"/>
          </w:tcPr>
          <w:p>
            <w:pPr>
              <w:spacing w:after="0" w:line="264"/>
            </w:pPr>
            <w:r>
              <w:rPr>
                <w:sz w:val="19"/>
                <w:szCs w:val="19"/>
              </w:rPr>
              <w:t xml:space="preserve">Status</w:t>
            </w:r>
          </w:p>
        </w:tc>
        <w:tc>
          <w:tcPr>
            <w:tcW w:type="dxa" w:w="6960"/>
            <w:tcMar>
              <w:top w:type="dxa" w:w="90"/>
              <w:left w:type="dxa" w:w="120"/>
              <w:bottom w:type="dxa" w:w="90"/>
              <w:right w:type="dxa" w:w="120"/>
            </w:tcMar>
            <w:vAlign w:val="center"/>
          </w:tcPr>
          <w:p>
            <w:pPr>
              <w:spacing w:after="0" w:line="264"/>
            </w:pPr>
            <w:r>
              <w:rPr>
                <w:sz w:val="19"/>
                <w:szCs w:val="19"/>
              </w:rPr>
              <w:t xml:space="preserve">Deferred — approved for specification only; no build authorised</w:t>
            </w:r>
          </w:p>
        </w:tc>
      </w:tr>
      <w:tr>
        <w:tc>
          <w:tcPr>
            <w:tcW w:type="dxa" w:w="2400"/>
            <w:tcMar>
              <w:top w:type="dxa" w:w="90"/>
              <w:left w:type="dxa" w:w="120"/>
              <w:bottom w:type="dxa" w:w="90"/>
              <w:right w:type="dxa" w:w="120"/>
            </w:tcMar>
            <w:vAlign w:val="center"/>
          </w:tcPr>
          <w:p>
            <w:pPr>
              <w:spacing w:after="0" w:line="264"/>
            </w:pPr>
            <w:r>
              <w:rPr>
                <w:sz w:val="19"/>
                <w:szCs w:val="19"/>
              </w:rPr>
              <w:t xml:space="preserve">Applies to</w:t>
            </w:r>
          </w:p>
        </w:tc>
        <w:tc>
          <w:tcPr>
            <w:tcW w:type="dxa" w:w="6960"/>
            <w:tcMar>
              <w:top w:type="dxa" w:w="90"/>
              <w:left w:type="dxa" w:w="120"/>
              <w:bottom w:type="dxa" w:w="90"/>
              <w:right w:type="dxa" w:w="120"/>
            </w:tcMar>
            <w:vAlign w:val="center"/>
          </w:tcPr>
          <w:p>
            <w:pPr>
              <w:spacing w:after="0" w:line="264"/>
            </w:pPr>
            <w:r>
              <w:rPr>
                <w:sz w:val="19"/>
                <w:szCs w:val="19"/>
              </w:rPr>
              <w:t xml:space="preserve">AAAEE_Pipeline_Flowchart.html / .jsx and AAAEE_Pipeline_flow.json</w:t>
            </w:r>
          </w:p>
        </w:tc>
      </w:tr>
      <w:tr>
        <w:tc>
          <w:tcPr>
            <w:tcW w:type="dxa" w:w="2400"/>
            <w:tcMar>
              <w:top w:type="dxa" w:w="90"/>
              <w:left w:type="dxa" w:w="120"/>
              <w:bottom w:type="dxa" w:w="90"/>
              <w:right w:type="dxa" w:w="120"/>
            </w:tcMar>
            <w:vAlign w:val="center"/>
          </w:tcPr>
          <w:p>
            <w:pPr>
              <w:spacing w:after="0" w:line="264"/>
            </w:pPr>
            <w:r>
              <w:rPr>
                <w:sz w:val="19"/>
                <w:szCs w:val="19"/>
              </w:rPr>
              <w:t xml:space="preserve">Current build</w:t>
            </w:r>
          </w:p>
        </w:tc>
        <w:tc>
          <w:tcPr>
            <w:tcW w:type="dxa" w:w="6960"/>
            <w:tcMar>
              <w:top w:type="dxa" w:w="90"/>
              <w:left w:type="dxa" w:w="120"/>
              <w:bottom w:type="dxa" w:w="90"/>
              <w:right w:type="dxa" w:w="120"/>
            </w:tcMar>
            <w:vAlign w:val="center"/>
          </w:tcPr>
          <w:p>
            <w:pPr>
              <w:spacing w:after="0" w:line="264"/>
            </w:pPr>
            <w:r>
              <w:rPr>
                <w:sz w:val="19"/>
                <w:szCs w:val="19"/>
              </w:rPr>
              <w:t xml:space="preserve">8 graphs · 57 nodes · 74 edges (validator-confirmed, 0 errors)</w:t>
            </w:r>
          </w:p>
        </w:tc>
      </w:tr>
      <w:tr>
        <w:tc>
          <w:tcPr>
            <w:tcW w:type="dxa" w:w="2400"/>
            <w:tcMar>
              <w:top w:type="dxa" w:w="90"/>
              <w:left w:type="dxa" w:w="120"/>
              <w:bottom w:type="dxa" w:w="90"/>
              <w:right w:type="dxa" w:w="120"/>
            </w:tcMar>
            <w:vAlign w:val="center"/>
          </w:tcPr>
          <w:p>
            <w:pPr>
              <w:spacing w:after="0" w:line="264"/>
            </w:pPr>
            <w:r>
              <w:rPr>
                <w:sz w:val="19"/>
                <w:szCs w:val="19"/>
              </w:rPr>
              <w:t xml:space="preserve">Prepared</w:t>
            </w:r>
          </w:p>
        </w:tc>
        <w:tc>
          <w:tcPr>
            <w:tcW w:type="dxa" w:w="6960"/>
            <w:tcMar>
              <w:top w:type="dxa" w:w="90"/>
              <w:left w:type="dxa" w:w="120"/>
              <w:bottom w:type="dxa" w:w="90"/>
              <w:right w:type="dxa" w:w="120"/>
            </w:tcMar>
            <w:vAlign w:val="center"/>
          </w:tcPr>
          <w:p>
            <w:pPr>
              <w:spacing w:after="0" w:line="264"/>
            </w:pPr>
            <w:r>
              <w:rPr>
                <w:sz w:val="19"/>
                <w:szCs w:val="19"/>
              </w:rPr>
              <w:t xml:space="preserve">3 August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D5A8" w:sz="2"/>
              <w:left w:val="single" w:color="C9A227" w:sz="18"/>
              <w:bottom w:val="single" w:color="E3D5A8" w:sz="2"/>
              <w:right w:val="single" w:color="E3D5A8" w:sz="2"/>
            </w:tcBorders>
            <w:shd w:fill="FBF3DE" w:color="auto" w:val="clear"/>
            <w:tcMar>
              <w:top w:type="dxa" w:w="140"/>
              <w:left w:type="dxa" w:w="160"/>
              <w:bottom w:type="dxa" w:w="140"/>
              <w:right w:type="dxa" w:w="160"/>
            </w:tcMar>
          </w:tcPr>
          <w:p>
            <w:pPr>
              <w:spacing w:after="60"/>
            </w:pPr>
            <w:r>
              <w:rPr>
                <w:b/>
                <w:bCs/>
                <w:sz w:val="20"/>
                <w:szCs w:val="20"/>
              </w:rPr>
              <w:t xml:space="preserve">Purpose of this document</w:t>
            </w:r>
          </w:p>
          <w:p>
            <w:pPr>
              <w:spacing w:after="60" w:line="264"/>
            </w:pPr>
            <w:r>
              <w:rPr>
                <w:sz w:val="20"/>
                <w:szCs w:val="20"/>
              </w:rPr>
              <w:t xml:space="preserve">The delivered flowchart implements one layer: the seven-phase AAAEE pipeline with per-phase drill-downs. Two further layers were identified and deliberately deferred. This document records what they are, what they require, and what must be decided before either is built, so that no context is lost between now and the point at which the project is ready for them.</w:t>
            </w:r>
          </w:p>
          <w:p>
            <w:pPr>
              <w:spacing w:after="60" w:line="264"/>
            </w:pPr>
            <w:r>
              <w:rPr>
                <w:sz w:val="20"/>
                <w:szCs w:val="20"/>
              </w:rPr>
              <w:t xml:space="preserve">Nothing in this document has been implemented. It is a statement of intent and of open questions, not a description of existing behaviour.</w:t>
            </w:r>
          </w:p>
        </w:tc>
      </w:tr>
    </w:tbl>
    <w:p>
      <w:pPr>
        <w:spacing w:after="100"/>
      </w:pPr>
    </w:p>
    <w:p>
      <w:pPr>
        <w:pStyle w:val="Heading2"/>
        <w:spacing w:after="120" w:before="240"/>
      </w:pPr>
      <w:r>
        <w:rPr>
          <w:b/>
          <w:bCs/>
          <w:color w:val="1F3864"/>
          <w:sz w:val="24"/>
          <w:szCs w:val="24"/>
        </w:rPr>
        <w:t xml:space="preserve">Contents</w:t>
      </w:r>
    </w:p>
    <w:p>
      <w:pPr>
        <w:pStyle w:val="ListParagraph"/>
        <w:numPr>
          <w:ilvl w:val="0"/>
          <w:numId w:val="2"/>
        </w:numPr>
        <w:spacing w:after="80" w:line="276"/>
      </w:pPr>
      <w:r>
        <w:rPr>
          <w:sz w:val="21"/>
          <w:szCs w:val="21"/>
        </w:rPr>
        <w:t xml:space="preserve">1. Current state — what the flowchart contains today</w:t>
      </w:r>
    </w:p>
    <w:p>
      <w:pPr>
        <w:pStyle w:val="ListParagraph"/>
        <w:numPr>
          <w:ilvl w:val="0"/>
          <w:numId w:val="2"/>
        </w:numPr>
        <w:spacing w:after="80" w:line="276"/>
      </w:pPr>
      <w:r>
        <w:rPr>
          <w:sz w:val="21"/>
          <w:szCs w:val="21"/>
        </w:rPr>
        <w:t xml:space="preserve">2. Layer 2 — the discovery-question layer</w:t>
      </w:r>
    </w:p>
    <w:p>
      <w:pPr>
        <w:pStyle w:val="ListParagraph"/>
        <w:numPr>
          <w:ilvl w:val="0"/>
          <w:numId w:val="2"/>
        </w:numPr>
        <w:spacing w:after="80" w:line="276"/>
      </w:pPr>
      <w:r>
        <w:rPr>
          <w:sz w:val="21"/>
          <w:szCs w:val="21"/>
        </w:rPr>
        <w:t xml:space="preserve">3. Layer 3 — source-data connectors and file-dependency sub-branches</w:t>
      </w:r>
    </w:p>
    <w:p>
      <w:pPr>
        <w:pStyle w:val="ListParagraph"/>
        <w:numPr>
          <w:ilvl w:val="0"/>
          <w:numId w:val="2"/>
        </w:numPr>
        <w:spacing w:after="80" w:line="276"/>
      </w:pPr>
      <w:r>
        <w:rPr>
          <w:sz w:val="21"/>
          <w:szCs w:val="21"/>
        </w:rPr>
        <w:t xml:space="preserve">4. Intermediate-representation (IR) schema changes required</w:t>
      </w:r>
    </w:p>
    <w:p>
      <w:pPr>
        <w:pStyle w:val="ListParagraph"/>
        <w:numPr>
          <w:ilvl w:val="0"/>
          <w:numId w:val="2"/>
        </w:numPr>
        <w:spacing w:after="80" w:line="276"/>
      </w:pPr>
      <w:r>
        <w:rPr>
          <w:sz w:val="21"/>
          <w:szCs w:val="21"/>
        </w:rPr>
        <w:t xml:space="preserve">5. Sequencing, effort and acceptance criteria</w:t>
      </w:r>
    </w:p>
    <w:p>
      <w:pPr>
        <w:pStyle w:val="ListParagraph"/>
        <w:numPr>
          <w:ilvl w:val="0"/>
          <w:numId w:val="2"/>
        </w:numPr>
        <w:spacing w:after="80" w:line="276"/>
      </w:pPr>
      <w:r>
        <w:rPr>
          <w:sz w:val="21"/>
          <w:szCs w:val="21"/>
        </w:rPr>
        <w:t xml:space="preserve">6. Open decisions requiring your input before any build begins</w:t>
      </w:r>
    </w:p>
    <w:p>
      <w:pPr>
        <w:pStyle w:val="ListParagraph"/>
        <w:numPr>
          <w:ilvl w:val="0"/>
          <w:numId w:val="2"/>
        </w:numPr>
        <w:spacing w:after="80" w:line="276"/>
      </w:pPr>
      <w:r>
        <w:rPr>
          <w:sz w:val="21"/>
          <w:szCs w:val="21"/>
        </w:rPr>
        <w:t xml:space="preserve">7. Known risks</w:t>
      </w:r>
    </w:p>
    <w:p>
      <w:r>
        <w:br w:type="page"/>
      </w:r>
    </w:p>
    <w:p>
      <w:pPr>
        <w:pStyle w:val="Heading1"/>
        <w:spacing w:after="160" w:before="320"/>
      </w:pPr>
      <w:r>
        <w:rPr>
          <w:b/>
          <w:bCs/>
          <w:color w:val="1F3864"/>
          <w:sz w:val="30"/>
          <w:szCs w:val="30"/>
        </w:rPr>
        <w:t xml:space="preserve">1. Current state — what the flowchart contains today</w:t>
      </w:r>
    </w:p>
    <w:p>
      <w:pPr>
        <w:spacing w:after="120" w:line="276"/>
      </w:pPr>
      <w:r>
        <w:rPr>
          <w:sz w:val="21"/>
          <w:szCs w:val="21"/>
        </w:rPr>
        <w:t xml:space="preserve">The delivered artefact renders a single conceptual layer, expressed across eight graphs in one flow.json intermediate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shd w:fill="E7ECF5" w:color="auto" w:val="clear"/>
            <w:tcMar>
              <w:top w:type="dxa" w:w="90"/>
              <w:left w:type="dxa" w:w="120"/>
              <w:bottom w:type="dxa" w:w="90"/>
              <w:right w:type="dxa" w:w="120"/>
            </w:tcMar>
            <w:vAlign w:val="center"/>
          </w:tcPr>
          <w:p>
            <w:pPr>
              <w:spacing w:after="0" w:line="264"/>
            </w:pPr>
            <w:r>
              <w:rPr>
                <w:b/>
                <w:bCs/>
                <w:sz w:val="19"/>
                <w:szCs w:val="19"/>
              </w:rPr>
              <w:t xml:space="preserve">Graph</w:t>
            </w:r>
          </w:p>
        </w:tc>
        <w:tc>
          <w:tcPr>
            <w:tcW w:type="dxa" w:w="3400"/>
            <w:shd w:fill="E7ECF5" w:color="auto" w:val="clear"/>
            <w:tcMar>
              <w:top w:type="dxa" w:w="90"/>
              <w:left w:type="dxa" w:w="120"/>
              <w:bottom w:type="dxa" w:w="90"/>
              <w:right w:type="dxa" w:w="120"/>
            </w:tcMar>
            <w:vAlign w:val="center"/>
          </w:tcPr>
          <w:p>
            <w:pPr>
              <w:spacing w:after="0" w:line="264"/>
            </w:pPr>
            <w:r>
              <w:rPr>
                <w:b/>
                <w:bCs/>
                <w:sz w:val="19"/>
                <w:szCs w:val="19"/>
              </w:rPr>
              <w:t xml:space="preserve">Contents</w:t>
            </w:r>
          </w:p>
        </w:tc>
        <w:tc>
          <w:tcPr>
            <w:tcW w:type="dxa" w:w="4460"/>
            <w:shd w:fill="E7ECF5" w:color="auto" w:val="clear"/>
            <w:tcMar>
              <w:top w:type="dxa" w:w="90"/>
              <w:left w:type="dxa" w:w="120"/>
              <w:bottom w:type="dxa" w:w="90"/>
              <w:right w:type="dxa" w:w="120"/>
            </w:tcMar>
            <w:vAlign w:val="center"/>
          </w:tcPr>
          <w:p>
            <w:pPr>
              <w:spacing w:after="0" w:line="264"/>
            </w:pPr>
            <w:r>
              <w:rPr>
                <w:b/>
                <w:bCs/>
                <w:sz w:val="19"/>
                <w:szCs w:val="19"/>
              </w:rPr>
              <w:t xml:space="preserve">Role</w:t>
            </w:r>
          </w:p>
        </w:tc>
      </w:tr>
      <w:tr>
        <w:tc>
          <w:tcPr>
            <w:tcW w:type="dxa" w:w="1500"/>
            <w:tcMar>
              <w:top w:type="dxa" w:w="90"/>
              <w:left w:type="dxa" w:w="120"/>
              <w:bottom w:type="dxa" w:w="90"/>
              <w:right w:type="dxa" w:w="120"/>
            </w:tcMar>
            <w:vAlign w:val="center"/>
          </w:tcPr>
          <w:p>
            <w:pPr>
              <w:spacing w:after="0" w:line="264"/>
            </w:pPr>
            <w:r>
              <w:rPr>
                <w:sz w:val="19"/>
                <w:szCs w:val="19"/>
              </w:rPr>
              <w:t xml:space="preserve">system</w:t>
            </w:r>
          </w:p>
        </w:tc>
        <w:tc>
          <w:tcPr>
            <w:tcW w:type="dxa" w:w="3400"/>
            <w:tcMar>
              <w:top w:type="dxa" w:w="90"/>
              <w:left w:type="dxa" w:w="120"/>
              <w:bottom w:type="dxa" w:w="90"/>
              <w:right w:type="dxa" w:w="120"/>
            </w:tcMar>
            <w:vAlign w:val="center"/>
          </w:tcPr>
          <w:p>
            <w:pPr>
              <w:spacing w:after="0" w:line="264"/>
            </w:pPr>
            <w:r>
              <w:rPr>
                <w:sz w:val="19"/>
                <w:szCs w:val="19"/>
              </w:rPr>
              <w:t xml:space="preserve">17 nodes — entry point, 7 phase nodes, 7 approval gates, the Project Ledger store, and the final build-handoff node</w:t>
            </w:r>
          </w:p>
        </w:tc>
        <w:tc>
          <w:tcPr>
            <w:tcW w:type="dxa" w:w="4460"/>
            <w:tcMar>
              <w:top w:type="dxa" w:w="90"/>
              <w:left w:type="dxa" w:w="120"/>
              <w:bottom w:type="dxa" w:w="90"/>
              <w:right w:type="dxa" w:w="120"/>
            </w:tcMar>
            <w:vAlign w:val="center"/>
          </w:tcPr>
          <w:p>
            <w:pPr>
              <w:spacing w:after="0" w:line="264"/>
            </w:pPr>
            <w:r>
              <w:rPr>
                <w:sz w:val="19"/>
                <w:szCs w:val="19"/>
              </w:rPr>
              <w:t xml:space="preserve">Root view; every phase node carries a drilldown reference</w:t>
            </w:r>
          </w:p>
        </w:tc>
      </w:tr>
      <w:tr>
        <w:tc>
          <w:tcPr>
            <w:tcW w:type="dxa" w:w="1500"/>
            <w:tcMar>
              <w:top w:type="dxa" w:w="90"/>
              <w:left w:type="dxa" w:w="120"/>
              <w:bottom w:type="dxa" w:w="90"/>
              <w:right w:type="dxa" w:w="120"/>
            </w:tcMar>
            <w:vAlign w:val="center"/>
          </w:tcPr>
          <w:p>
            <w:pPr>
              <w:spacing w:after="0" w:line="264"/>
            </w:pPr>
            <w:r>
              <w:rPr>
                <w:sz w:val="19"/>
                <w:szCs w:val="19"/>
              </w:rPr>
              <w:t xml:space="preserve">phase1 – phase7</w:t>
            </w:r>
          </w:p>
        </w:tc>
        <w:tc>
          <w:tcPr>
            <w:tcW w:type="dxa" w:w="3400"/>
            <w:tcMar>
              <w:top w:type="dxa" w:w="90"/>
              <w:left w:type="dxa" w:w="120"/>
              <w:bottom w:type="dxa" w:w="90"/>
              <w:right w:type="dxa" w:w="120"/>
            </w:tcMar>
            <w:vAlign w:val="center"/>
          </w:tcPr>
          <w:p>
            <w:pPr>
              <w:spacing w:after="0" w:line="264"/>
            </w:pPr>
            <w:r>
              <w:rPr>
                <w:sz w:val="19"/>
                <w:szCs w:val="19"/>
              </w:rPr>
              <w:t xml:space="preserve">5–7 nodes each — a kickoff entry point, a synthesis step, the phase deliverables, and a deliverables-package node</w:t>
            </w:r>
          </w:p>
        </w:tc>
        <w:tc>
          <w:tcPr>
            <w:tcW w:type="dxa" w:w="4460"/>
            <w:tcMar>
              <w:top w:type="dxa" w:w="90"/>
              <w:left w:type="dxa" w:w="120"/>
              <w:bottom w:type="dxa" w:w="90"/>
              <w:right w:type="dxa" w:w="120"/>
            </w:tcMar>
            <w:vAlign w:val="center"/>
          </w:tcPr>
          <w:p>
            <w:pPr>
              <w:spacing w:after="0" w:line="264"/>
            </w:pPr>
            <w:r>
              <w:rPr>
                <w:sz w:val="19"/>
                <w:szCs w:val="19"/>
              </w:rPr>
              <w:t xml:space="preserve">Second level; opened by double-clicking a phase</w:t>
            </w:r>
          </w:p>
        </w:tc>
      </w:tr>
    </w:tbl>
    <w:p>
      <w:pPr>
        <w:spacing w:after="100"/>
      </w:pPr>
    </w:p>
    <w:p>
      <w:pPr>
        <w:spacing w:after="120" w:line="276"/>
      </w:pPr>
      <w:r>
        <w:rPr>
          <w:sz w:val="21"/>
          <w:szCs w:val="21"/>
        </w:rPr>
        <w:t xml:space="preserve">Two characteristics of the current build matter for what follows. First, the discovery questions for each phase exist only as prose inside the inspector panel of the kickoff node — they are text, not graph structure, and therefore cannot be branched, linked or individually tracked. Second, the deliverables are represented as abstract store nodes with no relationship to any real file, template or data source. Layers 2 and 3 address these two gaps respectively.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D5A8" w:sz="2"/>
              <w:left w:val="single" w:color="C9A227" w:sz="18"/>
              <w:bottom w:val="single" w:color="E3D5A8" w:sz="2"/>
              <w:right w:val="single" w:color="E3D5A8" w:sz="2"/>
            </w:tcBorders>
            <w:shd w:fill="FBF3DE" w:color="auto" w:val="clear"/>
            <w:tcMar>
              <w:top w:type="dxa" w:w="140"/>
              <w:left w:type="dxa" w:w="160"/>
              <w:bottom w:type="dxa" w:w="140"/>
              <w:right w:type="dxa" w:w="160"/>
            </w:tcMar>
          </w:tcPr>
          <w:p>
            <w:pPr>
              <w:spacing w:after="60"/>
            </w:pPr>
            <w:r>
              <w:rPr>
                <w:b/>
                <w:bCs/>
                <w:sz w:val="20"/>
                <w:szCs w:val="20"/>
              </w:rPr>
              <w:t xml:space="preserve">Provenance note</w:t>
            </w:r>
          </w:p>
          <w:p>
            <w:pPr>
              <w:spacing w:after="60" w:line="264"/>
            </w:pPr>
            <w:r>
              <w:rPr>
                <w:sz w:val="20"/>
                <w:szCs w:val="20"/>
              </w:rPr>
              <w:t xml:space="preserve">Every node in the current build is flagged inferred (dashed border) because it was derived from the AAAEE system prompt rather than from an executed session. The same flag must apply to everything added in Layers 2 and 3 until the corresponding phase has actually been run. Removing the flag prematurely would make a plan indistinguishable from a record.</w:t>
            </w:r>
          </w:p>
        </w:tc>
      </w:tr>
    </w:tbl>
    <w:p>
      <w:r>
        <w:br w:type="page"/>
      </w:r>
    </w:p>
    <w:p>
      <w:pPr>
        <w:pStyle w:val="Heading1"/>
        <w:spacing w:after="160" w:before="320"/>
      </w:pPr>
      <w:r>
        <w:rPr>
          <w:b/>
          <w:bCs/>
          <w:color w:val="1F3864"/>
          <w:sz w:val="30"/>
          <w:szCs w:val="30"/>
        </w:rPr>
        <w:t xml:space="preserve">2. Layer 2 — the discovery-question layer</w:t>
      </w:r>
    </w:p>
    <w:p>
      <w:pPr>
        <w:pStyle w:val="Heading2"/>
        <w:spacing w:after="120" w:before="240"/>
      </w:pPr>
      <w:r>
        <w:rPr>
          <w:b/>
          <w:bCs/>
          <w:color w:val="1F3864"/>
          <w:sz w:val="24"/>
          <w:szCs w:val="24"/>
        </w:rPr>
        <w:t xml:space="preserve">2.1 Intent</w:t>
      </w:r>
    </w:p>
    <w:p>
      <w:pPr>
        <w:spacing w:after="120" w:line="276"/>
      </w:pPr>
      <w:r>
        <w:rPr>
          <w:sz w:val="21"/>
          <w:szCs w:val="21"/>
        </w:rPr>
        <w:t xml:space="preserve">Layer 2 makes each phase’s discovery questions first-class nodes in the graph rather than prose in a tooltip. Each phase gains a third-level drill-down: opening a phase’s kickoff node would reveal the question tree for that phase, with each question as an addressable node carrying its own answer state, dependencies and downstream consequences.</w:t>
      </w:r>
    </w:p>
    <w:p>
      <w:pPr>
        <w:pStyle w:val="Heading2"/>
        <w:spacing w:after="120" w:before="240"/>
      </w:pPr>
      <w:r>
        <w:rPr>
          <w:b/>
          <w:bCs/>
          <w:color w:val="1F3864"/>
          <w:sz w:val="24"/>
          <w:szCs w:val="24"/>
        </w:rPr>
        <w:t xml:space="preserve">2.2 Why this is worth building</w:t>
      </w:r>
    </w:p>
    <w:p>
      <w:pPr>
        <w:pStyle w:val="ListParagraph"/>
        <w:numPr>
          <w:ilvl w:val="0"/>
          <w:numId w:val="2"/>
        </w:numPr>
        <w:spacing w:after="80" w:line="276"/>
      </w:pPr>
      <w:r>
        <w:rPr>
          <w:sz w:val="21"/>
          <w:szCs w:val="21"/>
        </w:rPr>
        <w:t xml:space="preserve">Answers become traceable. A question node can record the answer given, the date, and which deliverable consumed it — which is what makes the Project Ledger auditable rather than merely cumulative.</w:t>
      </w:r>
    </w:p>
    <w:p>
      <w:pPr>
        <w:pStyle w:val="ListParagraph"/>
        <w:numPr>
          <w:ilvl w:val="0"/>
          <w:numId w:val="2"/>
        </w:numPr>
        <w:spacing w:after="80" w:line="276"/>
      </w:pPr>
      <w:r>
        <w:rPr>
          <w:sz w:val="21"/>
          <w:szCs w:val="21"/>
        </w:rPr>
        <w:t xml:space="preserve">Conditional branching becomes expressible. Many AAAEE questions gate others: a mobile-platform answer in Phase 1 opens a native-versus-cross-platform sub-branch that is irrelevant to a web-only build. Prose cannot express that; a decision node can.</w:t>
      </w:r>
    </w:p>
    <w:p>
      <w:pPr>
        <w:pStyle w:val="ListParagraph"/>
        <w:numPr>
          <w:ilvl w:val="0"/>
          <w:numId w:val="2"/>
        </w:numPr>
        <w:spacing w:after="80" w:line="276"/>
      </w:pPr>
      <w:r>
        <w:rPr>
          <w:sz w:val="21"/>
          <w:szCs w:val="21"/>
        </w:rPr>
        <w:t xml:space="preserve">Progress becomes measurable. "Phase 2 is 60% answered" is only computable if questions are discrete objects.</w:t>
      </w:r>
    </w:p>
    <w:p>
      <w:pPr>
        <w:pStyle w:val="ListParagraph"/>
        <w:numPr>
          <w:ilvl w:val="0"/>
          <w:numId w:val="2"/>
        </w:numPr>
        <w:spacing w:after="80" w:line="276"/>
      </w:pPr>
      <w:r>
        <w:rPr>
          <w:sz w:val="21"/>
          <w:szCs w:val="21"/>
        </w:rPr>
        <w:t xml:space="preserve">Unanswered questions stop being invisible. The present design has no way to show that a phase was approved with an open question still outstanding.</w:t>
      </w:r>
    </w:p>
    <w:p>
      <w:pPr>
        <w:pStyle w:val="Heading2"/>
        <w:spacing w:after="120" w:before="240"/>
      </w:pPr>
      <w:r>
        <w:rPr>
          <w:b/>
          <w:bCs/>
          <w:color w:val="1F3864"/>
          <w:sz w:val="24"/>
          <w:szCs w:val="24"/>
        </w:rPr>
        <w:t xml:space="preserve">2.3 Scope — question inventory per phase</w:t>
      </w:r>
    </w:p>
    <w:p>
      <w:pPr>
        <w:spacing w:after="120" w:line="276"/>
      </w:pPr>
      <w:r>
        <w:rPr>
          <w:sz w:val="21"/>
          <w:szCs w:val="21"/>
        </w:rPr>
        <w:t xml:space="preserve">The following counts are transcribed from the question bullets in the AAAEE system prompt. They are the raw bullets, not the atomic questions each bullet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5210"/>
        <w:gridCol w:w="1500"/>
        <w:gridCol w:w="1500"/>
      </w:tblGrid>
      <w:tr>
        <w:trPr>
          <w:tblHeader/>
        </w:trPr>
        <w:tc>
          <w:tcPr>
            <w:tcW w:type="dxa" w:w="1150"/>
            <w:shd w:fill="E7ECF5" w:color="auto" w:val="clear"/>
            <w:tcMar>
              <w:top w:type="dxa" w:w="90"/>
              <w:left w:type="dxa" w:w="120"/>
              <w:bottom w:type="dxa" w:w="90"/>
              <w:right w:type="dxa" w:w="120"/>
            </w:tcMar>
            <w:vAlign w:val="center"/>
          </w:tcPr>
          <w:p>
            <w:pPr>
              <w:spacing w:after="0" w:line="264"/>
            </w:pPr>
            <w:r>
              <w:rPr>
                <w:b/>
                <w:bCs/>
                <w:sz w:val="19"/>
                <w:szCs w:val="19"/>
              </w:rPr>
              <w:t xml:space="preserve">Phase</w:t>
            </w:r>
          </w:p>
        </w:tc>
        <w:tc>
          <w:tcPr>
            <w:tcW w:type="dxa" w:w="5210"/>
            <w:shd w:fill="E7ECF5" w:color="auto" w:val="clear"/>
            <w:tcMar>
              <w:top w:type="dxa" w:w="90"/>
              <w:left w:type="dxa" w:w="120"/>
              <w:bottom w:type="dxa" w:w="90"/>
              <w:right w:type="dxa" w:w="120"/>
            </w:tcMar>
            <w:vAlign w:val="center"/>
          </w:tcPr>
          <w:p>
            <w:pPr>
              <w:spacing w:after="0" w:line="264"/>
            </w:pPr>
            <w:r>
              <w:rPr>
                <w:b/>
                <w:bCs/>
                <w:sz w:val="19"/>
                <w:szCs w:val="19"/>
              </w:rPr>
              <w:t xml:space="preserve">Question themes as written in the system prompt</w:t>
            </w:r>
          </w:p>
        </w:tc>
        <w:tc>
          <w:tcPr>
            <w:tcW w:type="dxa" w:w="1500"/>
            <w:shd w:fill="E7ECF5" w:color="auto" w:val="clear"/>
            <w:tcMar>
              <w:top w:type="dxa" w:w="90"/>
              <w:left w:type="dxa" w:w="120"/>
              <w:bottom w:type="dxa" w:w="90"/>
              <w:right w:type="dxa" w:w="120"/>
            </w:tcMar>
            <w:vAlign w:val="center"/>
          </w:tcPr>
          <w:p>
            <w:pPr>
              <w:spacing w:after="0" w:line="264"/>
            </w:pPr>
            <w:r>
              <w:rPr>
                <w:b/>
                <w:bCs/>
                <w:sz w:val="19"/>
                <w:szCs w:val="19"/>
              </w:rPr>
              <w:t xml:space="preserve">Bullets</w:t>
            </w:r>
          </w:p>
        </w:tc>
        <w:tc>
          <w:tcPr>
            <w:tcW w:type="dxa" w:w="1500"/>
            <w:shd w:fill="E7ECF5" w:color="auto" w:val="clear"/>
            <w:tcMar>
              <w:top w:type="dxa" w:w="90"/>
              <w:left w:type="dxa" w:w="120"/>
              <w:bottom w:type="dxa" w:w="90"/>
              <w:right w:type="dxa" w:w="120"/>
            </w:tcMar>
            <w:vAlign w:val="center"/>
          </w:tcPr>
          <w:p>
            <w:pPr>
              <w:spacing w:after="0" w:line="264"/>
            </w:pPr>
            <w:r>
              <w:rPr>
                <w:b/>
                <w:bCs/>
                <w:sz w:val="19"/>
                <w:szCs w:val="19"/>
              </w:rPr>
              <w:t xml:space="preserve">Est. atomic</w:t>
            </w:r>
          </w:p>
        </w:tc>
      </w:tr>
      <w:tr>
        <w:tc>
          <w:tcPr>
            <w:tcW w:type="dxa" w:w="1150"/>
            <w:tcMar>
              <w:top w:type="dxa" w:w="90"/>
              <w:left w:type="dxa" w:w="120"/>
              <w:bottom w:type="dxa" w:w="90"/>
              <w:right w:type="dxa" w:w="120"/>
            </w:tcMar>
            <w:vAlign w:val="center"/>
          </w:tcPr>
          <w:p>
            <w:pPr>
              <w:spacing w:after="0" w:line="264"/>
            </w:pPr>
            <w:r>
              <w:rPr>
                <w:sz w:val="19"/>
                <w:szCs w:val="19"/>
              </w:rPr>
              <w:t xml:space="preserve">1</w:t>
            </w:r>
          </w:p>
        </w:tc>
        <w:tc>
          <w:tcPr>
            <w:tcW w:type="dxa" w:w="5210"/>
            <w:tcMar>
              <w:top w:type="dxa" w:w="90"/>
              <w:left w:type="dxa" w:w="120"/>
              <w:bottom w:type="dxa" w:w="90"/>
              <w:right w:type="dxa" w:w="120"/>
            </w:tcMar>
            <w:vAlign w:val="center"/>
          </w:tcPr>
          <w:p>
            <w:pPr>
              <w:spacing w:after="0" w:line="264"/>
            </w:pPr>
            <w:r>
              <w:rPr>
                <w:sz w:val="19"/>
                <w:szCs w:val="19"/>
              </w:rPr>
              <w:t xml:space="preserve">Ultimate goal; target ARR / ROI timeline; audience and platforms; CapEx vs. OpEx capacity</w:t>
            </w:r>
          </w:p>
        </w:tc>
        <w:tc>
          <w:tcPr>
            <w:tcW w:type="dxa" w:w="1500"/>
            <w:tcMar>
              <w:top w:type="dxa" w:w="90"/>
              <w:left w:type="dxa" w:w="120"/>
              <w:bottom w:type="dxa" w:w="90"/>
              <w:right w:type="dxa" w:w="120"/>
            </w:tcMar>
            <w:vAlign w:val="center"/>
          </w:tcPr>
          <w:p>
            <w:pPr>
              <w:spacing w:after="0" w:line="264"/>
            </w:pPr>
            <w:r>
              <w:rPr>
                <w:sz w:val="19"/>
                <w:szCs w:val="19"/>
              </w:rPr>
              <w:t xml:space="preserve">4</w:t>
            </w:r>
          </w:p>
        </w:tc>
        <w:tc>
          <w:tcPr>
            <w:tcW w:type="dxa" w:w="1500"/>
            <w:tcMar>
              <w:top w:type="dxa" w:w="90"/>
              <w:left w:type="dxa" w:w="120"/>
              <w:bottom w:type="dxa" w:w="90"/>
              <w:right w:type="dxa" w:w="120"/>
            </w:tcMar>
            <w:vAlign w:val="center"/>
          </w:tcPr>
          <w:p>
            <w:pPr>
              <w:spacing w:after="0" w:line="264"/>
            </w:pPr>
            <w:r>
              <w:rPr>
                <w:sz w:val="19"/>
                <w:szCs w:val="19"/>
              </w:rPr>
              <w:t xml:space="preserve">12–14</w:t>
            </w:r>
          </w:p>
        </w:tc>
      </w:tr>
      <w:tr>
        <w:tc>
          <w:tcPr>
            <w:tcW w:type="dxa" w:w="1150"/>
            <w:tcMar>
              <w:top w:type="dxa" w:w="90"/>
              <w:left w:type="dxa" w:w="120"/>
              <w:bottom w:type="dxa" w:w="90"/>
              <w:right w:type="dxa" w:w="120"/>
            </w:tcMar>
            <w:vAlign w:val="center"/>
          </w:tcPr>
          <w:p>
            <w:pPr>
              <w:spacing w:after="0" w:line="264"/>
            </w:pPr>
            <w:r>
              <w:rPr>
                <w:sz w:val="19"/>
                <w:szCs w:val="19"/>
              </w:rPr>
              <w:t xml:space="preserve">2</w:t>
            </w:r>
          </w:p>
        </w:tc>
        <w:tc>
          <w:tcPr>
            <w:tcW w:type="dxa" w:w="5210"/>
            <w:tcMar>
              <w:top w:type="dxa" w:w="90"/>
              <w:left w:type="dxa" w:w="120"/>
              <w:bottom w:type="dxa" w:w="90"/>
              <w:right w:type="dxa" w:w="120"/>
            </w:tcMar>
            <w:vAlign w:val="center"/>
          </w:tcPr>
          <w:p>
            <w:pPr>
              <w:spacing w:after="0" w:line="264"/>
            </w:pPr>
            <w:r>
              <w:rPr>
                <w:sz w:val="19"/>
                <w:szCs w:val="19"/>
              </w:rPr>
              <w:t xml:space="preserve">TAM/SAM/SOM and competitive moat; GTM motion; functional requirements and edge cases</w:t>
            </w:r>
          </w:p>
        </w:tc>
        <w:tc>
          <w:tcPr>
            <w:tcW w:type="dxa" w:w="1500"/>
            <w:tcMar>
              <w:top w:type="dxa" w:w="90"/>
              <w:left w:type="dxa" w:w="120"/>
              <w:bottom w:type="dxa" w:w="90"/>
              <w:right w:type="dxa" w:w="120"/>
            </w:tcMar>
            <w:vAlign w:val="center"/>
          </w:tcPr>
          <w:p>
            <w:pPr>
              <w:spacing w:after="0" w:line="264"/>
            </w:pPr>
            <w:r>
              <w:rPr>
                <w:sz w:val="19"/>
                <w:szCs w:val="19"/>
              </w:rPr>
              <w:t xml:space="preserve">3</w:t>
            </w:r>
          </w:p>
        </w:tc>
        <w:tc>
          <w:tcPr>
            <w:tcW w:type="dxa" w:w="1500"/>
            <w:tcMar>
              <w:top w:type="dxa" w:w="90"/>
              <w:left w:type="dxa" w:w="120"/>
              <w:bottom w:type="dxa" w:w="90"/>
              <w:right w:type="dxa" w:w="120"/>
            </w:tcMar>
            <w:vAlign w:val="center"/>
          </w:tcPr>
          <w:p>
            <w:pPr>
              <w:spacing w:after="0" w:line="264"/>
            </w:pPr>
            <w:r>
              <w:rPr>
                <w:sz w:val="19"/>
                <w:szCs w:val="19"/>
              </w:rPr>
              <w:t xml:space="preserve">9–11</w:t>
            </w:r>
          </w:p>
        </w:tc>
      </w:tr>
      <w:tr>
        <w:tc>
          <w:tcPr>
            <w:tcW w:type="dxa" w:w="1150"/>
            <w:tcMar>
              <w:top w:type="dxa" w:w="90"/>
              <w:left w:type="dxa" w:w="120"/>
              <w:bottom w:type="dxa" w:w="90"/>
              <w:right w:type="dxa" w:w="120"/>
            </w:tcMar>
            <w:vAlign w:val="center"/>
          </w:tcPr>
          <w:p>
            <w:pPr>
              <w:spacing w:after="0" w:line="264"/>
            </w:pPr>
            <w:r>
              <w:rPr>
                <w:sz w:val="19"/>
                <w:szCs w:val="19"/>
              </w:rPr>
              <w:t xml:space="preserve">3</w:t>
            </w:r>
          </w:p>
        </w:tc>
        <w:tc>
          <w:tcPr>
            <w:tcW w:type="dxa" w:w="5210"/>
            <w:tcMar>
              <w:top w:type="dxa" w:w="90"/>
              <w:left w:type="dxa" w:w="120"/>
              <w:bottom w:type="dxa" w:w="90"/>
              <w:right w:type="dxa" w:w="120"/>
            </w:tcMar>
            <w:vAlign w:val="center"/>
          </w:tcPr>
          <w:p>
            <w:pPr>
              <w:spacing w:after="0" w:line="264"/>
            </w:pPr>
            <w:r>
              <w:rPr>
                <w:sz w:val="19"/>
                <w:szCs w:val="19"/>
              </w:rPr>
              <w:t xml:space="preserve">Day-1 vs. Year-1 DAU/MAU; ingestion and egress expectations; CAC ceiling vs. LTV target</w:t>
            </w:r>
          </w:p>
        </w:tc>
        <w:tc>
          <w:tcPr>
            <w:tcW w:type="dxa" w:w="1500"/>
            <w:tcMar>
              <w:top w:type="dxa" w:w="90"/>
              <w:left w:type="dxa" w:w="120"/>
              <w:bottom w:type="dxa" w:w="90"/>
              <w:right w:type="dxa" w:w="120"/>
            </w:tcMar>
            <w:vAlign w:val="center"/>
          </w:tcPr>
          <w:p>
            <w:pPr>
              <w:spacing w:after="0" w:line="264"/>
            </w:pPr>
            <w:r>
              <w:rPr>
                <w:sz w:val="19"/>
                <w:szCs w:val="19"/>
              </w:rPr>
              <w:t xml:space="preserve">3</w:t>
            </w:r>
          </w:p>
        </w:tc>
        <w:tc>
          <w:tcPr>
            <w:tcW w:type="dxa" w:w="1500"/>
            <w:tcMar>
              <w:top w:type="dxa" w:w="90"/>
              <w:left w:type="dxa" w:w="120"/>
              <w:bottom w:type="dxa" w:w="90"/>
              <w:right w:type="dxa" w:w="120"/>
            </w:tcMar>
            <w:vAlign w:val="center"/>
          </w:tcPr>
          <w:p>
            <w:pPr>
              <w:spacing w:after="0" w:line="264"/>
            </w:pPr>
            <w:r>
              <w:rPr>
                <w:sz w:val="19"/>
                <w:szCs w:val="19"/>
              </w:rPr>
              <w:t xml:space="preserve">8–10</w:t>
            </w:r>
          </w:p>
        </w:tc>
      </w:tr>
      <w:tr>
        <w:tc>
          <w:tcPr>
            <w:tcW w:type="dxa" w:w="1150"/>
            <w:tcMar>
              <w:top w:type="dxa" w:w="90"/>
              <w:left w:type="dxa" w:w="120"/>
              <w:bottom w:type="dxa" w:w="90"/>
              <w:right w:type="dxa" w:w="120"/>
            </w:tcMar>
            <w:vAlign w:val="center"/>
          </w:tcPr>
          <w:p>
            <w:pPr>
              <w:spacing w:after="0" w:line="264"/>
            </w:pPr>
            <w:r>
              <w:rPr>
                <w:sz w:val="19"/>
                <w:szCs w:val="19"/>
              </w:rPr>
              <w:t xml:space="preserve">4</w:t>
            </w:r>
          </w:p>
        </w:tc>
        <w:tc>
          <w:tcPr>
            <w:tcW w:type="dxa" w:w="5210"/>
            <w:tcMar>
              <w:top w:type="dxa" w:w="90"/>
              <w:left w:type="dxa" w:w="120"/>
              <w:bottom w:type="dxa" w:w="90"/>
              <w:right w:type="dxa" w:w="120"/>
            </w:tcMar>
            <w:vAlign w:val="center"/>
          </w:tcPr>
          <w:p>
            <w:pPr>
              <w:spacing w:after="0" w:line="264"/>
            </w:pPr>
            <w:r>
              <w:rPr>
                <w:sz w:val="19"/>
                <w:szCs w:val="19"/>
              </w:rPr>
              <w:t xml:space="preserve">Core user journeys and click depth; accessibility target; visual language constraints</w:t>
            </w:r>
          </w:p>
        </w:tc>
        <w:tc>
          <w:tcPr>
            <w:tcW w:type="dxa" w:w="1500"/>
            <w:tcMar>
              <w:top w:type="dxa" w:w="90"/>
              <w:left w:type="dxa" w:w="120"/>
              <w:bottom w:type="dxa" w:w="90"/>
              <w:right w:type="dxa" w:w="120"/>
            </w:tcMar>
            <w:vAlign w:val="center"/>
          </w:tcPr>
          <w:p>
            <w:pPr>
              <w:spacing w:after="0" w:line="264"/>
            </w:pPr>
            <w:r>
              <w:rPr>
                <w:sz w:val="19"/>
                <w:szCs w:val="19"/>
              </w:rPr>
              <w:t xml:space="preserve">3</w:t>
            </w:r>
          </w:p>
        </w:tc>
        <w:tc>
          <w:tcPr>
            <w:tcW w:type="dxa" w:w="1500"/>
            <w:tcMar>
              <w:top w:type="dxa" w:w="90"/>
              <w:left w:type="dxa" w:w="120"/>
              <w:bottom w:type="dxa" w:w="90"/>
              <w:right w:type="dxa" w:w="120"/>
            </w:tcMar>
            <w:vAlign w:val="center"/>
          </w:tcPr>
          <w:p>
            <w:pPr>
              <w:spacing w:after="0" w:line="264"/>
            </w:pPr>
            <w:r>
              <w:rPr>
                <w:sz w:val="19"/>
                <w:szCs w:val="19"/>
              </w:rPr>
              <w:t xml:space="preserve">7–9</w:t>
            </w:r>
          </w:p>
        </w:tc>
      </w:tr>
      <w:tr>
        <w:tc>
          <w:tcPr>
            <w:tcW w:type="dxa" w:w="1150"/>
            <w:tcMar>
              <w:top w:type="dxa" w:w="90"/>
              <w:left w:type="dxa" w:w="120"/>
              <w:bottom w:type="dxa" w:w="90"/>
              <w:right w:type="dxa" w:w="120"/>
            </w:tcMar>
            <w:vAlign w:val="center"/>
          </w:tcPr>
          <w:p>
            <w:pPr>
              <w:spacing w:after="0" w:line="264"/>
            </w:pPr>
            <w:r>
              <w:rPr>
                <w:sz w:val="19"/>
                <w:szCs w:val="19"/>
              </w:rPr>
              <w:t xml:space="preserve">5</w:t>
            </w:r>
          </w:p>
        </w:tc>
        <w:tc>
          <w:tcPr>
            <w:tcW w:type="dxa" w:w="5210"/>
            <w:tcMar>
              <w:top w:type="dxa" w:w="90"/>
              <w:left w:type="dxa" w:w="120"/>
              <w:bottom w:type="dxa" w:w="90"/>
              <w:right w:type="dxa" w:w="120"/>
            </w:tcMar>
            <w:vAlign w:val="center"/>
          </w:tcPr>
          <w:p>
            <w:pPr>
              <w:spacing w:after="0" w:line="264"/>
            </w:pPr>
            <w:r>
              <w:rPr>
                <w:sz w:val="19"/>
                <w:szCs w:val="19"/>
              </w:rPr>
              <w:t xml:space="preserve">System topology; CAP trade-off priority; data persistence model</w:t>
            </w:r>
          </w:p>
        </w:tc>
        <w:tc>
          <w:tcPr>
            <w:tcW w:type="dxa" w:w="1500"/>
            <w:tcMar>
              <w:top w:type="dxa" w:w="90"/>
              <w:left w:type="dxa" w:w="120"/>
              <w:bottom w:type="dxa" w:w="90"/>
              <w:right w:type="dxa" w:w="120"/>
            </w:tcMar>
            <w:vAlign w:val="center"/>
          </w:tcPr>
          <w:p>
            <w:pPr>
              <w:spacing w:after="0" w:line="264"/>
            </w:pPr>
            <w:r>
              <w:rPr>
                <w:sz w:val="19"/>
                <w:szCs w:val="19"/>
              </w:rPr>
              <w:t xml:space="preserve">3</w:t>
            </w:r>
          </w:p>
        </w:tc>
        <w:tc>
          <w:tcPr>
            <w:tcW w:type="dxa" w:w="1500"/>
            <w:tcMar>
              <w:top w:type="dxa" w:w="90"/>
              <w:left w:type="dxa" w:w="120"/>
              <w:bottom w:type="dxa" w:w="90"/>
              <w:right w:type="dxa" w:w="120"/>
            </w:tcMar>
            <w:vAlign w:val="center"/>
          </w:tcPr>
          <w:p>
            <w:pPr>
              <w:spacing w:after="0" w:line="264"/>
            </w:pPr>
            <w:r>
              <w:rPr>
                <w:sz w:val="19"/>
                <w:szCs w:val="19"/>
              </w:rPr>
              <w:t xml:space="preserve">7–9</w:t>
            </w:r>
          </w:p>
        </w:tc>
      </w:tr>
      <w:tr>
        <w:tc>
          <w:tcPr>
            <w:tcW w:type="dxa" w:w="1150"/>
            <w:tcMar>
              <w:top w:type="dxa" w:w="90"/>
              <w:left w:type="dxa" w:w="120"/>
              <w:bottom w:type="dxa" w:w="90"/>
              <w:right w:type="dxa" w:w="120"/>
            </w:tcMar>
            <w:vAlign w:val="center"/>
          </w:tcPr>
          <w:p>
            <w:pPr>
              <w:spacing w:after="0" w:line="264"/>
            </w:pPr>
            <w:r>
              <w:rPr>
                <w:sz w:val="19"/>
                <w:szCs w:val="19"/>
              </w:rPr>
              <w:t xml:space="preserve">6</w:t>
            </w:r>
          </w:p>
        </w:tc>
        <w:tc>
          <w:tcPr>
            <w:tcW w:type="dxa" w:w="5210"/>
            <w:tcMar>
              <w:top w:type="dxa" w:w="90"/>
              <w:left w:type="dxa" w:w="120"/>
              <w:bottom w:type="dxa" w:w="90"/>
              <w:right w:type="dxa" w:w="120"/>
            </w:tcMar>
            <w:vAlign w:val="center"/>
          </w:tcPr>
          <w:p>
            <w:pPr>
              <w:spacing w:after="0" w:line="264"/>
            </w:pPr>
            <w:r>
              <w:rPr>
                <w:sz w:val="19"/>
                <w:szCs w:val="19"/>
              </w:rPr>
              <w:t xml:space="preserve">Performance SLA targets; security and compliance regime; integration requirements</w:t>
            </w:r>
          </w:p>
        </w:tc>
        <w:tc>
          <w:tcPr>
            <w:tcW w:type="dxa" w:w="1500"/>
            <w:tcMar>
              <w:top w:type="dxa" w:w="90"/>
              <w:left w:type="dxa" w:w="120"/>
              <w:bottom w:type="dxa" w:w="90"/>
              <w:right w:type="dxa" w:w="120"/>
            </w:tcMar>
            <w:vAlign w:val="center"/>
          </w:tcPr>
          <w:p>
            <w:pPr>
              <w:spacing w:after="0" w:line="264"/>
            </w:pPr>
            <w:r>
              <w:rPr>
                <w:sz w:val="19"/>
                <w:szCs w:val="19"/>
              </w:rPr>
              <w:t xml:space="preserve">3</w:t>
            </w:r>
          </w:p>
        </w:tc>
        <w:tc>
          <w:tcPr>
            <w:tcW w:type="dxa" w:w="1500"/>
            <w:tcMar>
              <w:top w:type="dxa" w:w="90"/>
              <w:left w:type="dxa" w:w="120"/>
              <w:bottom w:type="dxa" w:w="90"/>
              <w:right w:type="dxa" w:w="120"/>
            </w:tcMar>
            <w:vAlign w:val="center"/>
          </w:tcPr>
          <w:p>
            <w:pPr>
              <w:spacing w:after="0" w:line="264"/>
            </w:pPr>
            <w:r>
              <w:rPr>
                <w:sz w:val="19"/>
                <w:szCs w:val="19"/>
              </w:rPr>
              <w:t xml:space="preserve">8–10</w:t>
            </w:r>
          </w:p>
        </w:tc>
      </w:tr>
      <w:tr>
        <w:tc>
          <w:tcPr>
            <w:tcW w:type="dxa" w:w="1150"/>
            <w:tcMar>
              <w:top w:type="dxa" w:w="90"/>
              <w:left w:type="dxa" w:w="120"/>
              <w:bottom w:type="dxa" w:w="90"/>
              <w:right w:type="dxa" w:w="120"/>
            </w:tcMar>
            <w:vAlign w:val="center"/>
          </w:tcPr>
          <w:p>
            <w:pPr>
              <w:spacing w:after="0" w:line="264"/>
            </w:pPr>
            <w:r>
              <w:rPr>
                <w:sz w:val="19"/>
                <w:szCs w:val="19"/>
              </w:rPr>
              <w:t xml:space="preserve">7</w:t>
            </w:r>
          </w:p>
        </w:tc>
        <w:tc>
          <w:tcPr>
            <w:tcW w:type="dxa" w:w="5210"/>
            <w:tcMar>
              <w:top w:type="dxa" w:w="90"/>
              <w:left w:type="dxa" w:w="120"/>
              <w:bottom w:type="dxa" w:w="90"/>
              <w:right w:type="dxa" w:w="120"/>
            </w:tcMar>
            <w:vAlign w:val="center"/>
          </w:tcPr>
          <w:p>
            <w:pPr>
              <w:spacing w:after="0" w:line="264"/>
            </w:pPr>
            <w:r>
              <w:rPr>
                <w:sz w:val="19"/>
                <w:szCs w:val="19"/>
              </w:rPr>
              <w:t xml:space="preserve">Development velocity and team size; testing strategy</w:t>
            </w:r>
          </w:p>
        </w:tc>
        <w:tc>
          <w:tcPr>
            <w:tcW w:type="dxa" w:w="1500"/>
            <w:tcMar>
              <w:top w:type="dxa" w:w="90"/>
              <w:left w:type="dxa" w:w="120"/>
              <w:bottom w:type="dxa" w:w="90"/>
              <w:right w:type="dxa" w:w="120"/>
            </w:tcMar>
            <w:vAlign w:val="center"/>
          </w:tcPr>
          <w:p>
            <w:pPr>
              <w:spacing w:after="0" w:line="264"/>
            </w:pPr>
            <w:r>
              <w:rPr>
                <w:sz w:val="19"/>
                <w:szCs w:val="19"/>
              </w:rPr>
              <w:t xml:space="preserve">2</w:t>
            </w:r>
          </w:p>
        </w:tc>
        <w:tc>
          <w:tcPr>
            <w:tcW w:type="dxa" w:w="1500"/>
            <w:tcMar>
              <w:top w:type="dxa" w:w="90"/>
              <w:left w:type="dxa" w:w="120"/>
              <w:bottom w:type="dxa" w:w="90"/>
              <w:right w:type="dxa" w:w="120"/>
            </w:tcMar>
            <w:vAlign w:val="center"/>
          </w:tcPr>
          <w:p>
            <w:pPr>
              <w:spacing w:after="0" w:line="264"/>
            </w:pPr>
            <w:r>
              <w:rPr>
                <w:sz w:val="19"/>
                <w:szCs w:val="19"/>
              </w:rPr>
              <w:t xml:space="preserve">6–8</w:t>
            </w:r>
          </w:p>
        </w:tc>
      </w:tr>
      <w:tr>
        <w:tc>
          <w:tcPr>
            <w:tcW w:type="dxa" w:w="1150"/>
            <w:tcMar>
              <w:top w:type="dxa" w:w="90"/>
              <w:left w:type="dxa" w:w="120"/>
              <w:bottom w:type="dxa" w:w="90"/>
              <w:right w:type="dxa" w:w="120"/>
            </w:tcMar>
            <w:vAlign w:val="center"/>
          </w:tcPr>
          <w:p>
            <w:pPr>
              <w:spacing w:after="0" w:line="264"/>
            </w:pPr>
            <w:r>
              <w:rPr>
                <w:sz w:val="19"/>
                <w:szCs w:val="19"/>
              </w:rPr>
              <w:t xml:space="preserve">Total</w:t>
            </w:r>
          </w:p>
        </w:tc>
        <w:tc>
          <w:tcPr>
            <w:tcW w:type="dxa" w:w="5210"/>
            <w:tcMar>
              <w:top w:type="dxa" w:w="90"/>
              <w:left w:type="dxa" w:w="120"/>
              <w:bottom w:type="dxa" w:w="90"/>
              <w:right w:type="dxa" w:w="120"/>
            </w:tcMar>
            <w:vAlign w:val="center"/>
          </w:tcPr>
          <w:p>
            <w:pPr>
              <w:spacing w:after="0" w:line="264"/>
            </w:pPr>
            <w:r>
              <w:rPr>
                <w:sz w:val="19"/>
                <w:szCs w:val="19"/>
              </w:rPr>
              <w:t xml:space="preserve">—</w:t>
            </w:r>
          </w:p>
        </w:tc>
        <w:tc>
          <w:tcPr>
            <w:tcW w:type="dxa" w:w="1500"/>
            <w:tcMar>
              <w:top w:type="dxa" w:w="90"/>
              <w:left w:type="dxa" w:w="120"/>
              <w:bottom w:type="dxa" w:w="90"/>
              <w:right w:type="dxa" w:w="120"/>
            </w:tcMar>
            <w:vAlign w:val="center"/>
          </w:tcPr>
          <w:p>
            <w:pPr>
              <w:spacing w:after="0" w:line="264"/>
            </w:pPr>
            <w:r>
              <w:rPr>
                <w:sz w:val="19"/>
                <w:szCs w:val="19"/>
              </w:rPr>
              <w:t xml:space="preserve">21</w:t>
            </w:r>
          </w:p>
        </w:tc>
        <w:tc>
          <w:tcPr>
            <w:tcW w:type="dxa" w:w="1500"/>
            <w:tcMar>
              <w:top w:type="dxa" w:w="90"/>
              <w:left w:type="dxa" w:w="120"/>
              <w:bottom w:type="dxa" w:w="90"/>
              <w:right w:type="dxa" w:w="120"/>
            </w:tcMar>
            <w:vAlign w:val="center"/>
          </w:tcPr>
          <w:p>
            <w:pPr>
              <w:spacing w:after="0" w:line="264"/>
            </w:pPr>
            <w:r>
              <w:rPr>
                <w:sz w:val="19"/>
                <w:szCs w:val="19"/>
              </w:rPr>
              <w:t xml:space="preserve">~57–71</w:t>
            </w:r>
          </w:p>
        </w:tc>
      </w:tr>
    </w:tbl>
    <w:p>
      <w:pPr>
        <w:spacing w:after="100"/>
      </w:pPr>
    </w:p>
    <w:p>
      <w:pPr>
        <w:spacing w:after="120" w:line="276"/>
      </w:pPr>
      <w:r>
        <w:rPr>
          <w:b/>
          <w:bCs/>
          <w:sz w:val="21"/>
          <w:szCs w:val="21"/>
        </w:rPr>
        <w:t xml:space="preserve">Confidence: </w:t>
      </w:r>
      <w:r>
        <w:rPr>
          <w:sz w:val="21"/>
          <w:szCs w:val="21"/>
        </w:rPr>
        <w:t xml:space="preserve">the bullet count of 21 is a direct transcription and is reliable. The atomic-question estimates are my own judgement about how far each bullet decomposes, and should be treated as a planning range only — they have not been derived by actually performing the decomposition. Expect the true figure to move once Phase 1 is run and the real granularity becomes observable.</w:t>
      </w:r>
    </w:p>
    <w:p>
      <w:pPr>
        <w:pStyle w:val="Heading2"/>
        <w:spacing w:after="120" w:before="240"/>
      </w:pPr>
      <w:r>
        <w:rPr>
          <w:b/>
          <w:bCs/>
          <w:color w:val="1F3864"/>
          <w:sz w:val="24"/>
          <w:szCs w:val="24"/>
        </w:rPr>
        <w:t xml:space="preserve">2.4 Proposed node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shd w:fill="E7ECF5" w:color="auto" w:val="clear"/>
            <w:tcMar>
              <w:top w:type="dxa" w:w="90"/>
              <w:left w:type="dxa" w:w="120"/>
              <w:bottom w:type="dxa" w:w="90"/>
              <w:right w:type="dxa" w:w="120"/>
            </w:tcMar>
            <w:vAlign w:val="center"/>
          </w:tcPr>
          <w:p>
            <w:pPr>
              <w:spacing w:after="0" w:line="264"/>
            </w:pPr>
            <w:r>
              <w:rPr>
                <w:b/>
                <w:bCs/>
                <w:sz w:val="19"/>
                <w:szCs w:val="19"/>
              </w:rPr>
              <w:t xml:space="preserve">Node kind</w:t>
            </w:r>
          </w:p>
        </w:tc>
        <w:tc>
          <w:tcPr>
            <w:tcW w:type="dxa" w:w="2200"/>
            <w:shd w:fill="E7ECF5" w:color="auto" w:val="clear"/>
            <w:tcMar>
              <w:top w:type="dxa" w:w="90"/>
              <w:left w:type="dxa" w:w="120"/>
              <w:bottom w:type="dxa" w:w="90"/>
              <w:right w:type="dxa" w:w="120"/>
            </w:tcMar>
            <w:vAlign w:val="center"/>
          </w:tcPr>
          <w:p>
            <w:pPr>
              <w:spacing w:after="0" w:line="264"/>
            </w:pPr>
            <w:r>
              <w:rPr>
                <w:b/>
                <w:bCs/>
                <w:sz w:val="19"/>
                <w:szCs w:val="19"/>
              </w:rPr>
              <w:t xml:space="preserve">Used for</w:t>
            </w:r>
          </w:p>
        </w:tc>
        <w:tc>
          <w:tcPr>
            <w:tcW w:type="dxa" w:w="5160"/>
            <w:shd w:fill="E7ECF5" w:color="auto" w:val="clear"/>
            <w:tcMar>
              <w:top w:type="dxa" w:w="90"/>
              <w:left w:type="dxa" w:w="120"/>
              <w:bottom w:type="dxa" w:w="90"/>
              <w:right w:type="dxa" w:w="120"/>
            </w:tcMar>
            <w:vAlign w:val="center"/>
          </w:tcPr>
          <w:p>
            <w:pPr>
              <w:spacing w:after="0" w:line="264"/>
            </w:pPr>
            <w:r>
              <w:rPr>
                <w:b/>
                <w:bCs/>
                <w:sz w:val="19"/>
                <w:szCs w:val="19"/>
              </w:rPr>
              <w:t xml:space="preserve">Notes</w:t>
            </w:r>
          </w:p>
        </w:tc>
      </w:tr>
      <w:tr>
        <w:tc>
          <w:tcPr>
            <w:tcW w:type="dxa" w:w="2000"/>
            <w:tcMar>
              <w:top w:type="dxa" w:w="90"/>
              <w:left w:type="dxa" w:w="120"/>
              <w:bottom w:type="dxa" w:w="90"/>
              <w:right w:type="dxa" w:w="120"/>
            </w:tcMar>
            <w:vAlign w:val="center"/>
          </w:tcPr>
          <w:p>
            <w:pPr>
              <w:spacing w:after="0" w:line="264"/>
            </w:pPr>
            <w:r>
              <w:rPr>
                <w:sz w:val="19"/>
                <w:szCs w:val="19"/>
              </w:rPr>
              <w:t xml:space="preserve">question</w:t>
            </w:r>
          </w:p>
        </w:tc>
        <w:tc>
          <w:tcPr>
            <w:tcW w:type="dxa" w:w="2200"/>
            <w:tcMar>
              <w:top w:type="dxa" w:w="90"/>
              <w:left w:type="dxa" w:w="120"/>
              <w:bottom w:type="dxa" w:w="90"/>
              <w:right w:type="dxa" w:w="120"/>
            </w:tcMar>
            <w:vAlign w:val="center"/>
          </w:tcPr>
          <w:p>
            <w:pPr>
              <w:spacing w:after="0" w:line="264"/>
            </w:pPr>
            <w:r>
              <w:rPr>
                <w:sz w:val="19"/>
                <w:szCs w:val="19"/>
              </w:rPr>
              <w:t xml:space="preserve">An atomic discovery question</w:t>
            </w:r>
          </w:p>
        </w:tc>
        <w:tc>
          <w:tcPr>
            <w:tcW w:type="dxa" w:w="5160"/>
            <w:tcMar>
              <w:top w:type="dxa" w:w="90"/>
              <w:left w:type="dxa" w:w="120"/>
              <w:bottom w:type="dxa" w:w="90"/>
              <w:right w:type="dxa" w:w="120"/>
            </w:tcMar>
            <w:vAlign w:val="center"/>
          </w:tcPr>
          <w:p>
            <w:pPr>
              <w:spacing w:after="0" w:line="264"/>
            </w:pPr>
            <w:r>
              <w:rPr>
                <w:sz w:val="19"/>
                <w:szCs w:val="19"/>
              </w:rPr>
              <w:t xml:space="preserve">Not in the current IR vocabulary — see §4. Carries answer state in meta.</w:t>
            </w:r>
          </w:p>
        </w:tc>
      </w:tr>
      <w:tr>
        <w:tc>
          <w:tcPr>
            <w:tcW w:type="dxa" w:w="2000"/>
            <w:tcMar>
              <w:top w:type="dxa" w:w="90"/>
              <w:left w:type="dxa" w:w="120"/>
              <w:bottom w:type="dxa" w:w="90"/>
              <w:right w:type="dxa" w:w="120"/>
            </w:tcMar>
            <w:vAlign w:val="center"/>
          </w:tcPr>
          <w:p>
            <w:pPr>
              <w:spacing w:after="0" w:line="264"/>
            </w:pPr>
            <w:r>
              <w:rPr>
                <w:sz w:val="19"/>
                <w:szCs w:val="19"/>
              </w:rPr>
              <w:t xml:space="preserve">decision</w:t>
            </w:r>
          </w:p>
        </w:tc>
        <w:tc>
          <w:tcPr>
            <w:tcW w:type="dxa" w:w="2200"/>
            <w:tcMar>
              <w:top w:type="dxa" w:w="90"/>
              <w:left w:type="dxa" w:w="120"/>
              <w:bottom w:type="dxa" w:w="90"/>
              <w:right w:type="dxa" w:w="120"/>
            </w:tcMar>
            <w:vAlign w:val="center"/>
          </w:tcPr>
          <w:p>
            <w:pPr>
              <w:spacing w:after="0" w:line="264"/>
            </w:pPr>
            <w:r>
              <w:rPr>
                <w:sz w:val="19"/>
                <w:szCs w:val="19"/>
              </w:rPr>
              <w:t xml:space="preserve">A question whose answer gates other questions</w:t>
            </w:r>
          </w:p>
        </w:tc>
        <w:tc>
          <w:tcPr>
            <w:tcW w:type="dxa" w:w="5160"/>
            <w:tcMar>
              <w:top w:type="dxa" w:w="90"/>
              <w:left w:type="dxa" w:w="120"/>
              <w:bottom w:type="dxa" w:w="90"/>
              <w:right w:type="dxa" w:w="120"/>
            </w:tcMar>
            <w:vAlign w:val="center"/>
          </w:tcPr>
          <w:p>
            <w:pPr>
              <w:spacing w:after="0" w:line="264"/>
            </w:pPr>
            <w:r>
              <w:rPr>
                <w:sz w:val="19"/>
                <w:szCs w:val="19"/>
              </w:rPr>
              <w:t xml:space="preserve">Already supported; requires 2+ declared output ports.</w:t>
            </w:r>
          </w:p>
        </w:tc>
      </w:tr>
      <w:tr>
        <w:tc>
          <w:tcPr>
            <w:tcW w:type="dxa" w:w="2000"/>
            <w:tcMar>
              <w:top w:type="dxa" w:w="90"/>
              <w:left w:type="dxa" w:w="120"/>
              <w:bottom w:type="dxa" w:w="90"/>
              <w:right w:type="dxa" w:w="120"/>
            </w:tcMar>
            <w:vAlign w:val="center"/>
          </w:tcPr>
          <w:p>
            <w:pPr>
              <w:spacing w:after="0" w:line="264"/>
            </w:pPr>
            <w:r>
              <w:rPr>
                <w:sz w:val="19"/>
                <w:szCs w:val="19"/>
              </w:rPr>
              <w:t xml:space="preserve">logic</w:t>
            </w:r>
          </w:p>
        </w:tc>
        <w:tc>
          <w:tcPr>
            <w:tcW w:type="dxa" w:w="2200"/>
            <w:tcMar>
              <w:top w:type="dxa" w:w="90"/>
              <w:left w:type="dxa" w:w="120"/>
              <w:bottom w:type="dxa" w:w="90"/>
              <w:right w:type="dxa" w:w="120"/>
            </w:tcMar>
            <w:vAlign w:val="center"/>
          </w:tcPr>
          <w:p>
            <w:pPr>
              <w:spacing w:after="0" w:line="264"/>
            </w:pPr>
            <w:r>
              <w:rPr>
                <w:sz w:val="19"/>
                <w:szCs w:val="19"/>
              </w:rPr>
              <w:t xml:space="preserve">A derived value computed from answers</w:t>
            </w:r>
          </w:p>
        </w:tc>
        <w:tc>
          <w:tcPr>
            <w:tcW w:type="dxa" w:w="5160"/>
            <w:tcMar>
              <w:top w:type="dxa" w:w="90"/>
              <w:left w:type="dxa" w:w="120"/>
              <w:bottom w:type="dxa" w:w="90"/>
              <w:right w:type="dxa" w:w="120"/>
            </w:tcMar>
            <w:vAlign w:val="center"/>
          </w:tcPr>
          <w:p>
            <w:pPr>
              <w:spacing w:after="0" w:line="264"/>
            </w:pPr>
            <w:r>
              <w:rPr>
                <w:sz w:val="19"/>
                <w:szCs w:val="19"/>
              </w:rPr>
              <w:t xml:space="preserve">E.g. implied monthly OpEx ceiling derived from CapEx and runway answers.</w:t>
            </w:r>
          </w:p>
        </w:tc>
      </w:tr>
      <w:tr>
        <w:tc>
          <w:tcPr>
            <w:tcW w:type="dxa" w:w="2000"/>
            <w:tcMar>
              <w:top w:type="dxa" w:w="90"/>
              <w:left w:type="dxa" w:w="120"/>
              <w:bottom w:type="dxa" w:w="90"/>
              <w:right w:type="dxa" w:w="120"/>
            </w:tcMar>
            <w:vAlign w:val="center"/>
          </w:tcPr>
          <w:p>
            <w:pPr>
              <w:spacing w:after="0" w:line="264"/>
            </w:pPr>
            <w:r>
              <w:rPr>
                <w:sz w:val="19"/>
                <w:szCs w:val="19"/>
              </w:rPr>
              <w:t xml:space="preserve">store</w:t>
            </w:r>
          </w:p>
        </w:tc>
        <w:tc>
          <w:tcPr>
            <w:tcW w:type="dxa" w:w="2200"/>
            <w:tcMar>
              <w:top w:type="dxa" w:w="90"/>
              <w:left w:type="dxa" w:w="120"/>
              <w:bottom w:type="dxa" w:w="90"/>
              <w:right w:type="dxa" w:w="120"/>
            </w:tcMar>
            <w:vAlign w:val="center"/>
          </w:tcPr>
          <w:p>
            <w:pPr>
              <w:spacing w:after="0" w:line="264"/>
            </w:pPr>
            <w:r>
              <w:rPr>
                <w:sz w:val="19"/>
                <w:szCs w:val="19"/>
              </w:rPr>
              <w:t xml:space="preserve">The answer record written to the Project Ledger</w:t>
            </w:r>
          </w:p>
        </w:tc>
        <w:tc>
          <w:tcPr>
            <w:tcW w:type="dxa" w:w="5160"/>
            <w:tcMar>
              <w:top w:type="dxa" w:w="90"/>
              <w:left w:type="dxa" w:w="120"/>
              <w:bottom w:type="dxa" w:w="90"/>
              <w:right w:type="dxa" w:w="120"/>
            </w:tcMar>
            <w:vAlign w:val="center"/>
          </w:tcPr>
          <w:p>
            <w:pPr>
              <w:spacing w:after="0" w:line="264"/>
            </w:pPr>
            <w:r>
              <w:rPr>
                <w:sz w:val="19"/>
                <w:szCs w:val="19"/>
              </w:rPr>
              <w:t xml:space="preserve">Already supported.</w:t>
            </w:r>
          </w:p>
        </w:tc>
      </w:tr>
    </w:tbl>
    <w:p>
      <w:pPr>
        <w:spacing w:after="100"/>
      </w:pPr>
    </w:p>
    <w:p>
      <w:pPr>
        <w:pStyle w:val="Heading2"/>
        <w:spacing w:after="120" w:before="240"/>
      </w:pPr>
      <w:r>
        <w:rPr>
          <w:b/>
          <w:bCs/>
          <w:color w:val="1F3864"/>
          <w:sz w:val="24"/>
          <w:szCs w:val="24"/>
        </w:rPr>
        <w:t xml:space="preserve">2.5 Worked example — Phase 1 platform branch</w:t>
      </w:r>
    </w:p>
    <w:p>
      <w:pPr>
        <w:spacing w:after="120" w:line="276"/>
      </w:pPr>
      <w:r>
        <w:rPr>
          <w:sz w:val="21"/>
          <w:szCs w:val="21"/>
        </w:rPr>
        <w:t xml:space="preserve">Illustrating the branching that prose cannot currently express:</w:t>
      </w:r>
    </w:p>
    <w:p>
      <w:pPr>
        <w:pStyle w:val="ListParagraph"/>
        <w:numPr>
          <w:ilvl w:val="0"/>
          <w:numId w:val="2"/>
        </w:numPr>
        <w:spacing w:after="80" w:line="276"/>
      </w:pPr>
      <w:r>
        <w:rPr>
          <w:sz w:val="21"/>
          <w:szCs w:val="21"/>
        </w:rPr>
        <w:t xml:space="preserve">Q1.3 "Which target platforms?" — a decision node with outputs: web-only, mobile-only, both, embedded/IoT.</w:t>
      </w:r>
    </w:p>
    <w:p>
      <w:pPr>
        <w:pStyle w:val="ListParagraph"/>
        <w:numPr>
          <w:ilvl w:val="1"/>
          <w:numId w:val="2"/>
        </w:numPr>
        <w:spacing w:after="80" w:line="276"/>
      </w:pPr>
      <w:r>
        <w:rPr>
          <w:sz w:val="21"/>
          <w:szCs w:val="21"/>
        </w:rPr>
        <w:t xml:space="preserve">web-only → opens Q1.3a (PWA or standard web application?) and skips the native branch entirely.</w:t>
      </w:r>
    </w:p>
    <w:p>
      <w:pPr>
        <w:pStyle w:val="ListParagraph"/>
        <w:numPr>
          <w:ilvl w:val="1"/>
          <w:numId w:val="2"/>
        </w:numPr>
        <w:spacing w:after="80" w:line="276"/>
      </w:pPr>
      <w:r>
        <w:rPr>
          <w:sz w:val="21"/>
          <w:szCs w:val="21"/>
        </w:rPr>
        <w:t xml:space="preserve">mobile-only or both → opens Q1.3b (native, cross-platform, or hybrid?), which itself gates Q1.3c (iOS, Android, or both?).</w:t>
      </w:r>
    </w:p>
    <w:p>
      <w:pPr>
        <w:pStyle w:val="ListParagraph"/>
        <w:numPr>
          <w:ilvl w:val="1"/>
          <w:numId w:val="2"/>
        </w:numPr>
        <w:spacing w:after="80" w:line="276"/>
      </w:pPr>
      <w:r>
        <w:rPr>
          <w:sz w:val="21"/>
          <w:szCs w:val="21"/>
        </w:rPr>
        <w:t xml:space="preserve">embedded/IoT → opens a distinct sub-branch on hardware constraints and update mechanism; this branch has no equivalent in the current document and would need to be authored from scratch.</w:t>
      </w:r>
    </w:p>
    <w:p>
      <w:pPr>
        <w:spacing w:after="120" w:line="276"/>
      </w:pPr>
      <w:r>
        <w:rPr>
          <w:sz w:val="21"/>
          <w:szCs w:val="21"/>
        </w:rPr>
        <w:t xml:space="preserve">Each terminal answer writes to the Project Ledger and constrains the Phase 6 stack-selection questions. That cross-phase constraint is a Layer 2 edge and is one of the more valuable things this layer would surface.</w:t>
      </w:r>
    </w:p>
    <w:p>
      <w:r>
        <w:br w:type="page"/>
      </w:r>
    </w:p>
    <w:p>
      <w:pPr>
        <w:pStyle w:val="Heading1"/>
        <w:spacing w:after="160" w:before="320"/>
      </w:pPr>
      <w:r>
        <w:rPr>
          <w:b/>
          <w:bCs/>
          <w:color w:val="1F3864"/>
          <w:sz w:val="30"/>
          <w:szCs w:val="30"/>
        </w:rPr>
        <w:t xml:space="preserve">3. Layer 3 — source-data connectors and file-dependency sub-branches</w:t>
      </w:r>
    </w:p>
    <w:p>
      <w:pPr>
        <w:pStyle w:val="Heading2"/>
        <w:spacing w:after="120" w:before="240"/>
      </w:pPr>
      <w:r>
        <w:rPr>
          <w:b/>
          <w:bCs/>
          <w:color w:val="1F3864"/>
          <w:sz w:val="24"/>
          <w:szCs w:val="24"/>
        </w:rPr>
        <w:t xml:space="preserve">3.1 Intent</w:t>
      </w:r>
    </w:p>
    <w:p>
      <w:pPr>
        <w:spacing w:after="120" w:line="276"/>
      </w:pPr>
      <w:r>
        <w:rPr>
          <w:sz w:val="21"/>
          <w:szCs w:val="21"/>
        </w:rPr>
        <w:t xml:space="preserve">Layer 3 attaches each deliverable to the concrete things that produce and consume it: the external systems that supply source data, and the specific files the deliverable resolves into. Where Layer 2 asks "what must be decided", Layer 3 asks "where does the evidence come from, and what artefact does it become".</w:t>
      </w:r>
    </w:p>
    <w:p>
      <w:pPr>
        <w:pStyle w:val="Heading2"/>
        <w:spacing w:after="120" w:before="240"/>
      </w:pPr>
      <w:r>
        <w:rPr>
          <w:b/>
          <w:bCs/>
          <w:color w:val="1F3864"/>
          <w:sz w:val="24"/>
          <w:szCs w:val="24"/>
        </w:rPr>
        <w:t xml:space="preserve">3.2 Sub-layer 3a — source-data connectors</w:t>
      </w:r>
    </w:p>
    <w:p>
      <w:pPr>
        <w:spacing w:after="120" w:line="276"/>
      </w:pPr>
      <w:r>
        <w:rPr>
          <w:sz w:val="21"/>
          <w:szCs w:val="21"/>
        </w:rPr>
        <w:t xml:space="preserve">Each phase would gain external nodes representing the systems consulted when answering its questions. The connectors available in this workspace are listed below. This is an inventory of what is technically reachable, not a recommendation — the mapping of connector to phase is my proposal and requires your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shd w:fill="E7ECF5" w:color="auto" w:val="clear"/>
            <w:tcMar>
              <w:top w:type="dxa" w:w="90"/>
              <w:left w:type="dxa" w:w="120"/>
              <w:bottom w:type="dxa" w:w="90"/>
              <w:right w:type="dxa" w:w="120"/>
            </w:tcMar>
            <w:vAlign w:val="center"/>
          </w:tcPr>
          <w:p>
            <w:pPr>
              <w:spacing w:after="0" w:line="264"/>
            </w:pPr>
            <w:r>
              <w:rPr>
                <w:b/>
                <w:bCs/>
                <w:sz w:val="19"/>
                <w:szCs w:val="19"/>
              </w:rPr>
              <w:t xml:space="preserve">Connector</w:t>
            </w:r>
          </w:p>
        </w:tc>
        <w:tc>
          <w:tcPr>
            <w:tcW w:type="dxa" w:w="3600"/>
            <w:shd w:fill="E7ECF5" w:color="auto" w:val="clear"/>
            <w:tcMar>
              <w:top w:type="dxa" w:w="90"/>
              <w:left w:type="dxa" w:w="120"/>
              <w:bottom w:type="dxa" w:w="90"/>
              <w:right w:type="dxa" w:w="120"/>
            </w:tcMar>
            <w:vAlign w:val="center"/>
          </w:tcPr>
          <w:p>
            <w:pPr>
              <w:spacing w:after="0" w:line="264"/>
            </w:pPr>
            <w:r>
              <w:rPr>
                <w:b/>
                <w:bCs/>
                <w:sz w:val="19"/>
                <w:szCs w:val="19"/>
              </w:rPr>
              <w:t xml:space="preserve">Plausible role</w:t>
            </w:r>
          </w:p>
        </w:tc>
        <w:tc>
          <w:tcPr>
            <w:tcW w:type="dxa" w:w="3660"/>
            <w:shd w:fill="E7ECF5" w:color="auto" w:val="clear"/>
            <w:tcMar>
              <w:top w:type="dxa" w:w="90"/>
              <w:left w:type="dxa" w:w="120"/>
              <w:bottom w:type="dxa" w:w="90"/>
              <w:right w:type="dxa" w:w="120"/>
            </w:tcMar>
            <w:vAlign w:val="center"/>
          </w:tcPr>
          <w:p>
            <w:pPr>
              <w:spacing w:after="0" w:line="264"/>
            </w:pPr>
            <w:r>
              <w:rPr>
                <w:b/>
                <w:bCs/>
                <w:sz w:val="19"/>
                <w:szCs w:val="19"/>
              </w:rPr>
              <w:t xml:space="preserve">Phase(s)</w:t>
            </w:r>
          </w:p>
        </w:tc>
      </w:tr>
      <w:tr>
        <w:tc>
          <w:tcPr>
            <w:tcW w:type="dxa" w:w="2100"/>
            <w:tcMar>
              <w:top w:type="dxa" w:w="90"/>
              <w:left w:type="dxa" w:w="120"/>
              <w:bottom w:type="dxa" w:w="90"/>
              <w:right w:type="dxa" w:w="120"/>
            </w:tcMar>
            <w:vAlign w:val="center"/>
          </w:tcPr>
          <w:p>
            <w:pPr>
              <w:spacing w:after="0" w:line="264"/>
            </w:pPr>
            <w:r>
              <w:rPr>
                <w:sz w:val="19"/>
                <w:szCs w:val="19"/>
              </w:rPr>
              <w:t xml:space="preserve">Consensus, Elicit, Scite</w:t>
            </w:r>
          </w:p>
        </w:tc>
        <w:tc>
          <w:tcPr>
            <w:tcW w:type="dxa" w:w="3600"/>
            <w:tcMar>
              <w:top w:type="dxa" w:w="90"/>
              <w:left w:type="dxa" w:w="120"/>
              <w:bottom w:type="dxa" w:w="90"/>
              <w:right w:type="dxa" w:w="120"/>
            </w:tcMar>
            <w:vAlign w:val="center"/>
          </w:tcPr>
          <w:p>
            <w:pPr>
              <w:spacing w:after="0" w:line="264"/>
            </w:pPr>
            <w:r>
              <w:rPr>
                <w:sz w:val="19"/>
                <w:szCs w:val="19"/>
              </w:rPr>
              <w:t xml:space="preserve">Peer-reviewed evidence for market sizing, accessibility standards, and any empirical claim in the MRD</w:t>
            </w:r>
          </w:p>
        </w:tc>
        <w:tc>
          <w:tcPr>
            <w:tcW w:type="dxa" w:w="3660"/>
            <w:tcMar>
              <w:top w:type="dxa" w:w="90"/>
              <w:left w:type="dxa" w:w="120"/>
              <w:bottom w:type="dxa" w:w="90"/>
              <w:right w:type="dxa" w:w="120"/>
            </w:tcMar>
            <w:vAlign w:val="center"/>
          </w:tcPr>
          <w:p>
            <w:pPr>
              <w:spacing w:after="0" w:line="264"/>
            </w:pPr>
            <w:r>
              <w:rPr>
                <w:sz w:val="19"/>
                <w:szCs w:val="19"/>
              </w:rPr>
              <w:t xml:space="preserve">2, 4</w:t>
            </w:r>
          </w:p>
        </w:tc>
      </w:tr>
      <w:tr>
        <w:tc>
          <w:tcPr>
            <w:tcW w:type="dxa" w:w="2100"/>
            <w:tcMar>
              <w:top w:type="dxa" w:w="90"/>
              <w:left w:type="dxa" w:w="120"/>
              <w:bottom w:type="dxa" w:w="90"/>
              <w:right w:type="dxa" w:w="120"/>
            </w:tcMar>
            <w:vAlign w:val="center"/>
          </w:tcPr>
          <w:p>
            <w:pPr>
              <w:spacing w:after="0" w:line="264"/>
            </w:pPr>
            <w:r>
              <w:rPr>
                <w:sz w:val="19"/>
                <w:szCs w:val="19"/>
              </w:rPr>
              <w:t xml:space="preserve">Google Drive, Microsoft 365</w:t>
            </w:r>
          </w:p>
        </w:tc>
        <w:tc>
          <w:tcPr>
            <w:tcW w:type="dxa" w:w="3600"/>
            <w:tcMar>
              <w:top w:type="dxa" w:w="90"/>
              <w:left w:type="dxa" w:w="120"/>
              <w:bottom w:type="dxa" w:w="90"/>
              <w:right w:type="dxa" w:w="120"/>
            </w:tcMar>
            <w:vAlign w:val="center"/>
          </w:tcPr>
          <w:p>
            <w:pPr>
              <w:spacing w:after="0" w:line="264"/>
            </w:pPr>
            <w:r>
              <w:rPr>
                <w:sz w:val="19"/>
                <w:szCs w:val="19"/>
              </w:rPr>
              <w:t xml:space="preserve">Existing project documents, prior research, the Capstone master plan itself</w:t>
            </w:r>
          </w:p>
        </w:tc>
        <w:tc>
          <w:tcPr>
            <w:tcW w:type="dxa" w:w="3660"/>
            <w:tcMar>
              <w:top w:type="dxa" w:w="90"/>
              <w:left w:type="dxa" w:w="120"/>
              <w:bottom w:type="dxa" w:w="90"/>
              <w:right w:type="dxa" w:w="120"/>
            </w:tcMar>
            <w:vAlign w:val="center"/>
          </w:tcPr>
          <w:p>
            <w:pPr>
              <w:spacing w:after="0" w:line="264"/>
            </w:pPr>
            <w:r>
              <w:rPr>
                <w:sz w:val="19"/>
                <w:szCs w:val="19"/>
              </w:rPr>
              <w:t xml:space="preserve">All</w:t>
            </w:r>
          </w:p>
        </w:tc>
      </w:tr>
      <w:tr>
        <w:tc>
          <w:tcPr>
            <w:tcW w:type="dxa" w:w="2100"/>
            <w:tcMar>
              <w:top w:type="dxa" w:w="90"/>
              <w:left w:type="dxa" w:w="120"/>
              <w:bottom w:type="dxa" w:w="90"/>
              <w:right w:type="dxa" w:w="120"/>
            </w:tcMar>
            <w:vAlign w:val="center"/>
          </w:tcPr>
          <w:p>
            <w:pPr>
              <w:spacing w:after="0" w:line="264"/>
            </w:pPr>
            <w:r>
              <w:rPr>
                <w:sz w:val="19"/>
                <w:szCs w:val="19"/>
              </w:rPr>
              <w:t xml:space="preserve">Notion</w:t>
            </w:r>
          </w:p>
        </w:tc>
        <w:tc>
          <w:tcPr>
            <w:tcW w:type="dxa" w:w="3600"/>
            <w:tcMar>
              <w:top w:type="dxa" w:w="90"/>
              <w:left w:type="dxa" w:w="120"/>
              <w:bottom w:type="dxa" w:w="90"/>
              <w:right w:type="dxa" w:w="120"/>
            </w:tcMar>
            <w:vAlign w:val="center"/>
          </w:tcPr>
          <w:p>
            <w:pPr>
              <w:spacing w:after="0" w:line="264"/>
            </w:pPr>
            <w:r>
              <w:rPr>
                <w:sz w:val="19"/>
                <w:szCs w:val="19"/>
              </w:rPr>
              <w:t xml:space="preserve">Structured requirement tracking; PRD feature matrix as a queryable database</w:t>
            </w:r>
          </w:p>
        </w:tc>
        <w:tc>
          <w:tcPr>
            <w:tcW w:type="dxa" w:w="3660"/>
            <w:tcMar>
              <w:top w:type="dxa" w:w="90"/>
              <w:left w:type="dxa" w:w="120"/>
              <w:bottom w:type="dxa" w:w="90"/>
              <w:right w:type="dxa" w:w="120"/>
            </w:tcMar>
            <w:vAlign w:val="center"/>
          </w:tcPr>
          <w:p>
            <w:pPr>
              <w:spacing w:after="0" w:line="264"/>
            </w:pPr>
            <w:r>
              <w:rPr>
                <w:sz w:val="19"/>
                <w:szCs w:val="19"/>
              </w:rPr>
              <w:t xml:space="preserve">2, 7</w:t>
            </w:r>
          </w:p>
        </w:tc>
      </w:tr>
      <w:tr>
        <w:tc>
          <w:tcPr>
            <w:tcW w:type="dxa" w:w="2100"/>
            <w:tcMar>
              <w:top w:type="dxa" w:w="90"/>
              <w:left w:type="dxa" w:w="120"/>
              <w:bottom w:type="dxa" w:w="90"/>
              <w:right w:type="dxa" w:w="120"/>
            </w:tcMar>
            <w:vAlign w:val="center"/>
          </w:tcPr>
          <w:p>
            <w:pPr>
              <w:spacing w:after="0" w:line="264"/>
            </w:pPr>
            <w:r>
              <w:rPr>
                <w:sz w:val="19"/>
                <w:szCs w:val="19"/>
              </w:rPr>
              <w:t xml:space="preserve">Gmail, Slack</w:t>
            </w:r>
          </w:p>
        </w:tc>
        <w:tc>
          <w:tcPr>
            <w:tcW w:type="dxa" w:w="3600"/>
            <w:tcMar>
              <w:top w:type="dxa" w:w="90"/>
              <w:left w:type="dxa" w:w="120"/>
              <w:bottom w:type="dxa" w:w="90"/>
              <w:right w:type="dxa" w:w="120"/>
            </w:tcMar>
            <w:vAlign w:val="center"/>
          </w:tcPr>
          <w:p>
            <w:pPr>
              <w:spacing w:after="0" w:line="264"/>
            </w:pPr>
            <w:r>
              <w:rPr>
                <w:sz w:val="19"/>
                <w:szCs w:val="19"/>
              </w:rPr>
              <w:t xml:space="preserve">Stakeholder correspondence and decision provenance</w:t>
            </w:r>
          </w:p>
        </w:tc>
        <w:tc>
          <w:tcPr>
            <w:tcW w:type="dxa" w:w="3660"/>
            <w:tcMar>
              <w:top w:type="dxa" w:w="90"/>
              <w:left w:type="dxa" w:w="120"/>
              <w:bottom w:type="dxa" w:w="90"/>
              <w:right w:type="dxa" w:w="120"/>
            </w:tcMar>
            <w:vAlign w:val="center"/>
          </w:tcPr>
          <w:p>
            <w:pPr>
              <w:spacing w:after="0" w:line="264"/>
            </w:pPr>
            <w:r>
              <w:rPr>
                <w:sz w:val="19"/>
                <w:szCs w:val="19"/>
              </w:rPr>
              <w:t xml:space="preserve">1, 2, 7</w:t>
            </w:r>
          </w:p>
        </w:tc>
      </w:tr>
      <w:tr>
        <w:tc>
          <w:tcPr>
            <w:tcW w:type="dxa" w:w="2100"/>
            <w:tcMar>
              <w:top w:type="dxa" w:w="90"/>
              <w:left w:type="dxa" w:w="120"/>
              <w:bottom w:type="dxa" w:w="90"/>
              <w:right w:type="dxa" w:w="120"/>
            </w:tcMar>
            <w:vAlign w:val="center"/>
          </w:tcPr>
          <w:p>
            <w:pPr>
              <w:spacing w:after="0" w:line="264"/>
            </w:pPr>
            <w:r>
              <w:rPr>
                <w:sz w:val="19"/>
                <w:szCs w:val="19"/>
              </w:rPr>
              <w:t xml:space="preserve">Google Calendar</w:t>
            </w:r>
          </w:p>
        </w:tc>
        <w:tc>
          <w:tcPr>
            <w:tcW w:type="dxa" w:w="3600"/>
            <w:tcMar>
              <w:top w:type="dxa" w:w="90"/>
              <w:left w:type="dxa" w:w="120"/>
              <w:bottom w:type="dxa" w:w="90"/>
              <w:right w:type="dxa" w:w="120"/>
            </w:tcMar>
            <w:vAlign w:val="center"/>
          </w:tcPr>
          <w:p>
            <w:pPr>
              <w:spacing w:after="0" w:line="264"/>
            </w:pPr>
            <w:r>
              <w:rPr>
                <w:sz w:val="19"/>
                <w:szCs w:val="19"/>
              </w:rPr>
              <w:t xml:space="preserve">Sprint boundaries, milestone dates, capstone submission deadlines</w:t>
            </w:r>
          </w:p>
        </w:tc>
        <w:tc>
          <w:tcPr>
            <w:tcW w:type="dxa" w:w="3660"/>
            <w:tcMar>
              <w:top w:type="dxa" w:w="90"/>
              <w:left w:type="dxa" w:w="120"/>
              <w:bottom w:type="dxa" w:w="90"/>
              <w:right w:type="dxa" w:w="120"/>
            </w:tcMar>
            <w:vAlign w:val="center"/>
          </w:tcPr>
          <w:p>
            <w:pPr>
              <w:spacing w:after="0" w:line="264"/>
            </w:pPr>
            <w:r>
              <w:rPr>
                <w:sz w:val="19"/>
                <w:szCs w:val="19"/>
              </w:rPr>
              <w:t xml:space="preserve">7</w:t>
            </w:r>
          </w:p>
        </w:tc>
      </w:tr>
      <w:tr>
        <w:tc>
          <w:tcPr>
            <w:tcW w:type="dxa" w:w="2100"/>
            <w:tcMar>
              <w:top w:type="dxa" w:w="90"/>
              <w:left w:type="dxa" w:w="120"/>
              <w:bottom w:type="dxa" w:w="90"/>
              <w:right w:type="dxa" w:w="120"/>
            </w:tcMar>
            <w:vAlign w:val="center"/>
          </w:tcPr>
          <w:p>
            <w:pPr>
              <w:spacing w:after="0" w:line="264"/>
            </w:pPr>
            <w:r>
              <w:rPr>
                <w:sz w:val="19"/>
                <w:szCs w:val="19"/>
              </w:rPr>
              <w:t xml:space="preserve">Canva, Gamma, SlidesGPT</w:t>
            </w:r>
          </w:p>
        </w:tc>
        <w:tc>
          <w:tcPr>
            <w:tcW w:type="dxa" w:w="3600"/>
            <w:tcMar>
              <w:top w:type="dxa" w:w="90"/>
              <w:left w:type="dxa" w:w="120"/>
              <w:bottom w:type="dxa" w:w="90"/>
              <w:right w:type="dxa" w:w="120"/>
            </w:tcMar>
            <w:vAlign w:val="center"/>
          </w:tcPr>
          <w:p>
            <w:pPr>
              <w:spacing w:after="0" w:line="264"/>
            </w:pPr>
            <w:r>
              <w:rPr>
                <w:sz w:val="19"/>
                <w:szCs w:val="19"/>
              </w:rPr>
              <w:t xml:space="preserve">Presentation and design artefact generation</w:t>
            </w:r>
          </w:p>
        </w:tc>
        <w:tc>
          <w:tcPr>
            <w:tcW w:type="dxa" w:w="3660"/>
            <w:tcMar>
              <w:top w:type="dxa" w:w="90"/>
              <w:left w:type="dxa" w:w="120"/>
              <w:bottom w:type="dxa" w:w="90"/>
              <w:right w:type="dxa" w:w="120"/>
            </w:tcMar>
            <w:vAlign w:val="center"/>
          </w:tcPr>
          <w:p>
            <w:pPr>
              <w:spacing w:after="0" w:line="264"/>
            </w:pPr>
            <w:r>
              <w:rPr>
                <w:sz w:val="19"/>
                <w:szCs w:val="19"/>
              </w:rPr>
              <w:t xml:space="preserve">4, 7</w:t>
            </w:r>
          </w:p>
        </w:tc>
      </w:tr>
      <w:tr>
        <w:tc>
          <w:tcPr>
            <w:tcW w:type="dxa" w:w="2100"/>
            <w:tcMar>
              <w:top w:type="dxa" w:w="90"/>
              <w:left w:type="dxa" w:w="120"/>
              <w:bottom w:type="dxa" w:w="90"/>
              <w:right w:type="dxa" w:w="120"/>
            </w:tcMar>
            <w:vAlign w:val="center"/>
          </w:tcPr>
          <w:p>
            <w:pPr>
              <w:spacing w:after="0" w:line="264"/>
            </w:pPr>
            <w:r>
              <w:rPr>
                <w:sz w:val="19"/>
                <w:szCs w:val="19"/>
              </w:rPr>
              <w:t xml:space="preserve">Solve Intelligence</w:t>
            </w:r>
          </w:p>
        </w:tc>
        <w:tc>
          <w:tcPr>
            <w:tcW w:type="dxa" w:w="3600"/>
            <w:tcMar>
              <w:top w:type="dxa" w:w="90"/>
              <w:left w:type="dxa" w:w="120"/>
              <w:bottom w:type="dxa" w:w="90"/>
              <w:right w:type="dxa" w:w="120"/>
            </w:tcMar>
            <w:vAlign w:val="center"/>
          </w:tcPr>
          <w:p>
            <w:pPr>
              <w:spacing w:after="0" w:line="264"/>
            </w:pPr>
            <w:r>
              <w:rPr>
                <w:sz w:val="19"/>
                <w:szCs w:val="19"/>
              </w:rPr>
              <w:t xml:space="preserve">Prior-art and IP defensibility checks against the claimed moat</w:t>
            </w:r>
          </w:p>
        </w:tc>
        <w:tc>
          <w:tcPr>
            <w:tcW w:type="dxa" w:w="3660"/>
            <w:tcMar>
              <w:top w:type="dxa" w:w="90"/>
              <w:left w:type="dxa" w:w="120"/>
              <w:bottom w:type="dxa" w:w="90"/>
              <w:right w:type="dxa" w:w="120"/>
            </w:tcMar>
            <w:vAlign w:val="center"/>
          </w:tcPr>
          <w:p>
            <w:pPr>
              <w:spacing w:after="0" w:line="264"/>
            </w:pPr>
            <w:r>
              <w:rPr>
                <w:sz w:val="19"/>
                <w:szCs w:val="19"/>
              </w:rPr>
              <w:t xml:space="preserve">2</w:t>
            </w:r>
          </w:p>
        </w:tc>
      </w:tr>
      <w:tr>
        <w:tc>
          <w:tcPr>
            <w:tcW w:type="dxa" w:w="2100"/>
            <w:tcMar>
              <w:top w:type="dxa" w:w="90"/>
              <w:left w:type="dxa" w:w="120"/>
              <w:bottom w:type="dxa" w:w="90"/>
              <w:right w:type="dxa" w:w="120"/>
            </w:tcMar>
            <w:vAlign w:val="center"/>
          </w:tcPr>
          <w:p>
            <w:pPr>
              <w:spacing w:after="0" w:line="264"/>
            </w:pPr>
            <w:r>
              <w:rPr>
                <w:sz w:val="19"/>
                <w:szCs w:val="19"/>
              </w:rPr>
              <w:t xml:space="preserve">n8n</w:t>
            </w:r>
          </w:p>
        </w:tc>
        <w:tc>
          <w:tcPr>
            <w:tcW w:type="dxa" w:w="3600"/>
            <w:tcMar>
              <w:top w:type="dxa" w:w="90"/>
              <w:left w:type="dxa" w:w="120"/>
              <w:bottom w:type="dxa" w:w="90"/>
              <w:right w:type="dxa" w:w="120"/>
            </w:tcMar>
            <w:vAlign w:val="center"/>
          </w:tcPr>
          <w:p>
            <w:pPr>
              <w:spacing w:after="0" w:line="264"/>
            </w:pPr>
            <w:r>
              <w:rPr>
                <w:sz w:val="19"/>
                <w:szCs w:val="19"/>
              </w:rPr>
              <w:t xml:space="preserve">Pipeline automation, if any phase transition is later automated</w:t>
            </w:r>
          </w:p>
        </w:tc>
        <w:tc>
          <w:tcPr>
            <w:tcW w:type="dxa" w:w="3660"/>
            <w:tcMar>
              <w:top w:type="dxa" w:w="90"/>
              <w:left w:type="dxa" w:w="120"/>
              <w:bottom w:type="dxa" w:w="90"/>
              <w:right w:type="dxa" w:w="120"/>
            </w:tcMar>
            <w:vAlign w:val="center"/>
          </w:tcPr>
          <w:p>
            <w:pPr>
              <w:spacing w:after="0" w:line="264"/>
            </w:pPr>
            <w:r>
              <w:rPr>
                <w:sz w:val="19"/>
                <w:szCs w:val="19"/>
              </w:rPr>
              <w:t xml:space="preserve">Cross-cutting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D5A8" w:sz="2"/>
              <w:left w:val="single" w:color="C9A227" w:sz="18"/>
              <w:bottom w:val="single" w:color="E3D5A8" w:sz="2"/>
              <w:right w:val="single" w:color="E3D5A8" w:sz="2"/>
            </w:tcBorders>
            <w:shd w:fill="FBF3DE" w:color="auto" w:val="clear"/>
            <w:tcMar>
              <w:top w:type="dxa" w:w="140"/>
              <w:left w:type="dxa" w:w="160"/>
              <w:bottom w:type="dxa" w:w="140"/>
              <w:right w:type="dxa" w:w="160"/>
            </w:tcMar>
          </w:tcPr>
          <w:p>
            <w:pPr>
              <w:spacing w:after="60"/>
            </w:pPr>
            <w:r>
              <w:rPr>
                <w:b/>
                <w:bCs/>
                <w:sz w:val="20"/>
                <w:szCs w:val="20"/>
              </w:rPr>
              <w:t xml:space="preserve">Constraint worth recording now</w:t>
            </w:r>
          </w:p>
          <w:p>
            <w:pPr>
              <w:spacing w:after="60" w:line="264"/>
            </w:pPr>
            <w:r>
              <w:rPr>
                <w:sz w:val="20"/>
                <w:szCs w:val="20"/>
              </w:rPr>
              <w:t xml:space="preserve">A connector node on a diagram is a claim that a real integration exists. If Layer 3 is built before the connectors are actually wired and tested, the diagram will assert capability the project does not have — precisely the failure mode the inferred flag exists to prevent. Connector nodes should therefore carry an explicit status: proposed, connected, or verified.</w:t>
            </w:r>
          </w:p>
        </w:tc>
      </w:tr>
    </w:tbl>
    <w:p>
      <w:pPr>
        <w:pStyle w:val="Heading2"/>
        <w:spacing w:after="120" w:before="240"/>
      </w:pPr>
      <w:r>
        <w:rPr>
          <w:b/>
          <w:bCs/>
          <w:color w:val="1F3864"/>
          <w:sz w:val="24"/>
          <w:szCs w:val="24"/>
        </w:rPr>
        <w:t xml:space="preserve">3.3 Sub-layer 3b — file-dependency sub-branches</w:t>
      </w:r>
    </w:p>
    <w:p>
      <w:pPr>
        <w:spacing w:after="120" w:line="276"/>
      </w:pPr>
      <w:r>
        <w:rPr>
          <w:sz w:val="21"/>
          <w:szCs w:val="21"/>
        </w:rPr>
        <w:t xml:space="preserve">Each of the 19 deliverables named in the AAAEE system prompt would expand into the concrete files it comprises. Counts below are transcribed from the prompt; the file breakdowns are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400"/>
        <w:gridCol w:w="6810"/>
      </w:tblGrid>
      <w:tr>
        <w:trPr>
          <w:tblHeader/>
        </w:trPr>
        <w:tc>
          <w:tcPr>
            <w:tcW w:type="dxa" w:w="1150"/>
            <w:shd w:fill="E7ECF5" w:color="auto" w:val="clear"/>
            <w:tcMar>
              <w:top w:type="dxa" w:w="90"/>
              <w:left w:type="dxa" w:w="120"/>
              <w:bottom w:type="dxa" w:w="90"/>
              <w:right w:type="dxa" w:w="120"/>
            </w:tcMar>
            <w:vAlign w:val="center"/>
          </w:tcPr>
          <w:p>
            <w:pPr>
              <w:spacing w:after="0" w:line="264"/>
            </w:pPr>
            <w:r>
              <w:rPr>
                <w:b/>
                <w:bCs/>
                <w:sz w:val="19"/>
                <w:szCs w:val="19"/>
              </w:rPr>
              <w:t xml:space="preserve">Phase</w:t>
            </w:r>
          </w:p>
        </w:tc>
        <w:tc>
          <w:tcPr>
            <w:tcW w:type="dxa" w:w="1400"/>
            <w:shd w:fill="E7ECF5" w:color="auto" w:val="clear"/>
            <w:tcMar>
              <w:top w:type="dxa" w:w="90"/>
              <w:left w:type="dxa" w:w="120"/>
              <w:bottom w:type="dxa" w:w="90"/>
              <w:right w:type="dxa" w:w="120"/>
            </w:tcMar>
            <w:vAlign w:val="center"/>
          </w:tcPr>
          <w:p>
            <w:pPr>
              <w:spacing w:after="0" w:line="264"/>
            </w:pPr>
            <w:r>
              <w:rPr>
                <w:b/>
                <w:bCs/>
                <w:sz w:val="19"/>
                <w:szCs w:val="19"/>
              </w:rPr>
              <w:t xml:space="preserve">Deliverables</w:t>
            </w:r>
          </w:p>
        </w:tc>
        <w:tc>
          <w:tcPr>
            <w:tcW w:type="dxa" w:w="6810"/>
            <w:shd w:fill="E7ECF5" w:color="auto" w:val="clear"/>
            <w:tcMar>
              <w:top w:type="dxa" w:w="90"/>
              <w:left w:type="dxa" w:w="120"/>
              <w:bottom w:type="dxa" w:w="90"/>
              <w:right w:type="dxa" w:w="120"/>
            </w:tcMar>
            <w:vAlign w:val="center"/>
          </w:tcPr>
          <w:p>
            <w:pPr>
              <w:spacing w:after="0" w:line="264"/>
            </w:pPr>
            <w:r>
              <w:rPr>
                <w:b/>
                <w:bCs/>
                <w:sz w:val="19"/>
                <w:szCs w:val="19"/>
              </w:rPr>
              <w:t xml:space="preserve">Illustrative file expansion</w:t>
            </w:r>
          </w:p>
        </w:tc>
      </w:tr>
      <w:tr>
        <w:tc>
          <w:tcPr>
            <w:tcW w:type="dxa" w:w="1150"/>
            <w:tcMar>
              <w:top w:type="dxa" w:w="90"/>
              <w:left w:type="dxa" w:w="120"/>
              <w:bottom w:type="dxa" w:w="90"/>
              <w:right w:type="dxa" w:w="120"/>
            </w:tcMar>
            <w:vAlign w:val="center"/>
          </w:tcPr>
          <w:p>
            <w:pPr>
              <w:spacing w:after="0" w:line="264"/>
            </w:pPr>
            <w:r>
              <w:rPr>
                <w:sz w:val="19"/>
                <w:szCs w:val="19"/>
              </w:rPr>
              <w:t xml:space="preserve">1</w:t>
            </w:r>
          </w:p>
        </w:tc>
        <w:tc>
          <w:tcPr>
            <w:tcW w:type="dxa" w:w="1400"/>
            <w:tcMar>
              <w:top w:type="dxa" w:w="90"/>
              <w:left w:type="dxa" w:w="120"/>
              <w:bottom w:type="dxa" w:w="90"/>
              <w:right w:type="dxa" w:w="120"/>
            </w:tcMar>
            <w:vAlign w:val="center"/>
          </w:tcPr>
          <w:p>
            <w:pPr>
              <w:spacing w:after="0" w:line="264"/>
            </w:pPr>
            <w:r>
              <w:rPr>
                <w:sz w:val="19"/>
                <w:szCs w:val="19"/>
              </w:rPr>
              <w:t xml:space="preserve">3</w:t>
            </w:r>
          </w:p>
        </w:tc>
        <w:tc>
          <w:tcPr>
            <w:tcW w:type="dxa" w:w="6810"/>
            <w:tcMar>
              <w:top w:type="dxa" w:w="90"/>
              <w:left w:type="dxa" w:w="120"/>
              <w:bottom w:type="dxa" w:w="90"/>
              <w:right w:type="dxa" w:w="120"/>
            </w:tcMar>
            <w:vAlign w:val="center"/>
          </w:tcPr>
          <w:p>
            <w:pPr>
              <w:spacing w:after="0" w:line="264"/>
            </w:pPr>
            <w:r>
              <w:rPr>
                <w:sz w:val="19"/>
                <w:szCs w:val="19"/>
              </w:rPr>
              <w:t xml:space="preserve">viability-score.md · app-concept-candidates.md · platform-paradigm-recommendation.md</w:t>
            </w:r>
          </w:p>
        </w:tc>
      </w:tr>
      <w:tr>
        <w:tc>
          <w:tcPr>
            <w:tcW w:type="dxa" w:w="1150"/>
            <w:tcMar>
              <w:top w:type="dxa" w:w="90"/>
              <w:left w:type="dxa" w:w="120"/>
              <w:bottom w:type="dxa" w:w="90"/>
              <w:right w:type="dxa" w:w="120"/>
            </w:tcMar>
            <w:vAlign w:val="center"/>
          </w:tcPr>
          <w:p>
            <w:pPr>
              <w:spacing w:after="0" w:line="264"/>
            </w:pPr>
            <w:r>
              <w:rPr>
                <w:sz w:val="19"/>
                <w:szCs w:val="19"/>
              </w:rPr>
              <w:t xml:space="preserve">2</w:t>
            </w:r>
          </w:p>
        </w:tc>
        <w:tc>
          <w:tcPr>
            <w:tcW w:type="dxa" w:w="1400"/>
            <w:tcMar>
              <w:top w:type="dxa" w:w="90"/>
              <w:left w:type="dxa" w:w="120"/>
              <w:bottom w:type="dxa" w:w="90"/>
              <w:right w:type="dxa" w:w="120"/>
            </w:tcMar>
            <w:vAlign w:val="center"/>
          </w:tcPr>
          <w:p>
            <w:pPr>
              <w:spacing w:after="0" w:line="264"/>
            </w:pPr>
            <w:r>
              <w:rPr>
                <w:sz w:val="19"/>
                <w:szCs w:val="19"/>
              </w:rPr>
              <w:t xml:space="preserve">3</w:t>
            </w:r>
          </w:p>
        </w:tc>
        <w:tc>
          <w:tcPr>
            <w:tcW w:type="dxa" w:w="6810"/>
            <w:tcMar>
              <w:top w:type="dxa" w:w="90"/>
              <w:left w:type="dxa" w:w="120"/>
              <w:bottom w:type="dxa" w:w="90"/>
              <w:right w:type="dxa" w:w="120"/>
            </w:tcMar>
            <w:vAlign w:val="center"/>
          </w:tcPr>
          <w:p>
            <w:pPr>
              <w:spacing w:after="0" w:line="264"/>
            </w:pPr>
            <w:r>
              <w:rPr>
                <w:sz w:val="19"/>
                <w:szCs w:val="19"/>
              </w:rPr>
              <w:t xml:space="preserve">MRD.docx · PRD.docx · feature-matrix.xlsx (P0/P1/P2) · gtm-strategy.md</w:t>
            </w:r>
          </w:p>
        </w:tc>
      </w:tr>
      <w:tr>
        <w:tc>
          <w:tcPr>
            <w:tcW w:type="dxa" w:w="1150"/>
            <w:tcMar>
              <w:top w:type="dxa" w:w="90"/>
              <w:left w:type="dxa" w:w="120"/>
              <w:bottom w:type="dxa" w:w="90"/>
              <w:right w:type="dxa" w:w="120"/>
            </w:tcMar>
            <w:vAlign w:val="center"/>
          </w:tcPr>
          <w:p>
            <w:pPr>
              <w:spacing w:after="0" w:line="264"/>
            </w:pPr>
            <w:r>
              <w:rPr>
                <w:sz w:val="19"/>
                <w:szCs w:val="19"/>
              </w:rPr>
              <w:t xml:space="preserve">3</w:t>
            </w:r>
          </w:p>
        </w:tc>
        <w:tc>
          <w:tcPr>
            <w:tcW w:type="dxa" w:w="1400"/>
            <w:tcMar>
              <w:top w:type="dxa" w:w="90"/>
              <w:left w:type="dxa" w:w="120"/>
              <w:bottom w:type="dxa" w:w="90"/>
              <w:right w:type="dxa" w:w="120"/>
            </w:tcMar>
            <w:vAlign w:val="center"/>
          </w:tcPr>
          <w:p>
            <w:pPr>
              <w:spacing w:after="0" w:line="264"/>
            </w:pPr>
            <w:r>
              <w:rPr>
                <w:sz w:val="19"/>
                <w:szCs w:val="19"/>
              </w:rPr>
              <w:t xml:space="preserve">2</w:t>
            </w:r>
          </w:p>
        </w:tc>
        <w:tc>
          <w:tcPr>
            <w:tcW w:type="dxa" w:w="6810"/>
            <w:tcMar>
              <w:top w:type="dxa" w:w="90"/>
              <w:left w:type="dxa" w:w="120"/>
              <w:bottom w:type="dxa" w:w="90"/>
              <w:right w:type="dxa" w:w="120"/>
            </w:tcMar>
            <w:vAlign w:val="center"/>
          </w:tcPr>
          <w:p>
            <w:pPr>
              <w:spacing w:after="0" w:line="264"/>
            </w:pPr>
            <w:r>
              <w:rPr>
                <w:sz w:val="19"/>
                <w:szCs w:val="19"/>
              </w:rPr>
              <w:t xml:space="preserve">financial-model.xlsx (revenue, OpEx, unit economics sheets) · infra-cost-floor.md</w:t>
            </w:r>
          </w:p>
        </w:tc>
      </w:tr>
      <w:tr>
        <w:tc>
          <w:tcPr>
            <w:tcW w:type="dxa" w:w="1150"/>
            <w:tcMar>
              <w:top w:type="dxa" w:w="90"/>
              <w:left w:type="dxa" w:w="120"/>
              <w:bottom w:type="dxa" w:w="90"/>
              <w:right w:type="dxa" w:w="120"/>
            </w:tcMar>
            <w:vAlign w:val="center"/>
          </w:tcPr>
          <w:p>
            <w:pPr>
              <w:spacing w:after="0" w:line="264"/>
            </w:pPr>
            <w:r>
              <w:rPr>
                <w:sz w:val="19"/>
                <w:szCs w:val="19"/>
              </w:rPr>
              <w:t xml:space="preserve">4</w:t>
            </w:r>
          </w:p>
        </w:tc>
        <w:tc>
          <w:tcPr>
            <w:tcW w:type="dxa" w:w="1400"/>
            <w:tcMar>
              <w:top w:type="dxa" w:w="90"/>
              <w:left w:type="dxa" w:w="120"/>
              <w:bottom w:type="dxa" w:w="90"/>
              <w:right w:type="dxa" w:w="120"/>
            </w:tcMar>
            <w:vAlign w:val="center"/>
          </w:tcPr>
          <w:p>
            <w:pPr>
              <w:spacing w:after="0" w:line="264"/>
            </w:pPr>
            <w:r>
              <w:rPr>
                <w:sz w:val="19"/>
                <w:szCs w:val="19"/>
              </w:rPr>
              <w:t xml:space="preserve">3</w:t>
            </w:r>
          </w:p>
        </w:tc>
        <w:tc>
          <w:tcPr>
            <w:tcW w:type="dxa" w:w="6810"/>
            <w:tcMar>
              <w:top w:type="dxa" w:w="90"/>
              <w:left w:type="dxa" w:w="120"/>
              <w:bottom w:type="dxa" w:w="90"/>
              <w:right w:type="dxa" w:w="120"/>
            </w:tcMar>
            <w:vAlign w:val="center"/>
          </w:tcPr>
          <w:p>
            <w:pPr>
              <w:spacing w:after="0" w:line="264"/>
            </w:pPr>
            <w:r>
              <w:rPr>
                <w:sz w:val="19"/>
                <w:szCs w:val="19"/>
              </w:rPr>
              <w:t xml:space="preserve">ia-sitemap.json · user-flow-trees/ · component-specs.md · wcag-conformance-checklist.md</w:t>
            </w:r>
          </w:p>
        </w:tc>
      </w:tr>
      <w:tr>
        <w:tc>
          <w:tcPr>
            <w:tcW w:type="dxa" w:w="1150"/>
            <w:tcMar>
              <w:top w:type="dxa" w:w="90"/>
              <w:left w:type="dxa" w:w="120"/>
              <w:bottom w:type="dxa" w:w="90"/>
              <w:right w:type="dxa" w:w="120"/>
            </w:tcMar>
            <w:vAlign w:val="center"/>
          </w:tcPr>
          <w:p>
            <w:pPr>
              <w:spacing w:after="0" w:line="264"/>
            </w:pPr>
            <w:r>
              <w:rPr>
                <w:sz w:val="19"/>
                <w:szCs w:val="19"/>
              </w:rPr>
              <w:t xml:space="preserve">5</w:t>
            </w:r>
          </w:p>
        </w:tc>
        <w:tc>
          <w:tcPr>
            <w:tcW w:type="dxa" w:w="1400"/>
            <w:tcMar>
              <w:top w:type="dxa" w:w="90"/>
              <w:left w:type="dxa" w:w="120"/>
              <w:bottom w:type="dxa" w:w="90"/>
              <w:right w:type="dxa" w:w="120"/>
            </w:tcMar>
            <w:vAlign w:val="center"/>
          </w:tcPr>
          <w:p>
            <w:pPr>
              <w:spacing w:after="0" w:line="264"/>
            </w:pPr>
            <w:r>
              <w:rPr>
                <w:sz w:val="19"/>
                <w:szCs w:val="19"/>
              </w:rPr>
              <w:t xml:space="preserve">2</w:t>
            </w:r>
          </w:p>
        </w:tc>
        <w:tc>
          <w:tcPr>
            <w:tcW w:type="dxa" w:w="6810"/>
            <w:tcMar>
              <w:top w:type="dxa" w:w="90"/>
              <w:left w:type="dxa" w:w="120"/>
              <w:bottom w:type="dxa" w:w="90"/>
              <w:right w:type="dxa" w:w="120"/>
            </w:tcMar>
            <w:vAlign w:val="center"/>
          </w:tcPr>
          <w:p>
            <w:pPr>
              <w:spacing w:after="0" w:line="264"/>
            </w:pPr>
            <w:r>
              <w:rPr>
                <w:sz w:val="19"/>
                <w:szCs w:val="19"/>
              </w:rPr>
              <w:t xml:space="preserve">erd-schema.sql · data-flow.mmd · api-strategy.md · openapi.yaml</w:t>
            </w:r>
          </w:p>
        </w:tc>
      </w:tr>
      <w:tr>
        <w:tc>
          <w:tcPr>
            <w:tcW w:type="dxa" w:w="1150"/>
            <w:tcMar>
              <w:top w:type="dxa" w:w="90"/>
              <w:left w:type="dxa" w:w="120"/>
              <w:bottom w:type="dxa" w:w="90"/>
              <w:right w:type="dxa" w:w="120"/>
            </w:tcMar>
            <w:vAlign w:val="center"/>
          </w:tcPr>
          <w:p>
            <w:pPr>
              <w:spacing w:after="0" w:line="264"/>
            </w:pPr>
            <w:r>
              <w:rPr>
                <w:sz w:val="19"/>
                <w:szCs w:val="19"/>
              </w:rPr>
              <w:t xml:space="preserve">6</w:t>
            </w:r>
          </w:p>
        </w:tc>
        <w:tc>
          <w:tcPr>
            <w:tcW w:type="dxa" w:w="1400"/>
            <w:tcMar>
              <w:top w:type="dxa" w:w="90"/>
              <w:left w:type="dxa" w:w="120"/>
              <w:bottom w:type="dxa" w:w="90"/>
              <w:right w:type="dxa" w:w="120"/>
            </w:tcMar>
            <w:vAlign w:val="center"/>
          </w:tcPr>
          <w:p>
            <w:pPr>
              <w:spacing w:after="0" w:line="264"/>
            </w:pPr>
            <w:r>
              <w:rPr>
                <w:sz w:val="19"/>
                <w:szCs w:val="19"/>
              </w:rPr>
              <w:t xml:space="preserve">3</w:t>
            </w:r>
          </w:p>
        </w:tc>
        <w:tc>
          <w:tcPr>
            <w:tcW w:type="dxa" w:w="6810"/>
            <w:tcMar>
              <w:top w:type="dxa" w:w="90"/>
              <w:left w:type="dxa" w:w="120"/>
              <w:bottom w:type="dxa" w:w="90"/>
              <w:right w:type="dxa" w:w="120"/>
            </w:tcMar>
            <w:vAlign w:val="center"/>
          </w:tcPr>
          <w:p>
            <w:pPr>
              <w:spacing w:after="0" w:line="264"/>
            </w:pPr>
            <w:r>
              <w:rPr>
                <w:sz w:val="19"/>
                <w:szCs w:val="19"/>
              </w:rPr>
              <w:t xml:space="preserve">stack-decision-record.md · security-architecture.md · terraform/ · Dockerfile · ci-pipeline.yml</w:t>
            </w:r>
          </w:p>
        </w:tc>
      </w:tr>
      <w:tr>
        <w:tc>
          <w:tcPr>
            <w:tcW w:type="dxa" w:w="1150"/>
            <w:tcMar>
              <w:top w:type="dxa" w:w="90"/>
              <w:left w:type="dxa" w:w="120"/>
              <w:bottom w:type="dxa" w:w="90"/>
              <w:right w:type="dxa" w:w="120"/>
            </w:tcMar>
            <w:vAlign w:val="center"/>
          </w:tcPr>
          <w:p>
            <w:pPr>
              <w:spacing w:after="0" w:line="264"/>
            </w:pPr>
            <w:r>
              <w:rPr>
                <w:sz w:val="19"/>
                <w:szCs w:val="19"/>
              </w:rPr>
              <w:t xml:space="preserve">7</w:t>
            </w:r>
          </w:p>
        </w:tc>
        <w:tc>
          <w:tcPr>
            <w:tcW w:type="dxa" w:w="1400"/>
            <w:tcMar>
              <w:top w:type="dxa" w:w="90"/>
              <w:left w:type="dxa" w:w="120"/>
              <w:bottom w:type="dxa" w:w="90"/>
              <w:right w:type="dxa" w:w="120"/>
            </w:tcMar>
            <w:vAlign w:val="center"/>
          </w:tcPr>
          <w:p>
            <w:pPr>
              <w:spacing w:after="0" w:line="264"/>
            </w:pPr>
            <w:r>
              <w:rPr>
                <w:sz w:val="19"/>
                <w:szCs w:val="19"/>
              </w:rPr>
              <w:t xml:space="preserve">3</w:t>
            </w:r>
          </w:p>
        </w:tc>
        <w:tc>
          <w:tcPr>
            <w:tcW w:type="dxa" w:w="6810"/>
            <w:tcMar>
              <w:top w:type="dxa" w:w="90"/>
              <w:left w:type="dxa" w:w="120"/>
              <w:bottom w:type="dxa" w:w="90"/>
              <w:right w:type="dxa" w:w="120"/>
            </w:tcMar>
            <w:vAlign w:val="center"/>
          </w:tcPr>
          <w:p>
            <w:pPr>
              <w:spacing w:after="0" w:line="264"/>
            </w:pPr>
            <w:r>
              <w:rPr>
                <w:sz w:val="19"/>
                <w:szCs w:val="19"/>
              </w:rPr>
              <w:t xml:space="preserve">sprint-plan.xlsx · qa-matrix.xlsx · load-test-benchmarks.md · deployment-runbook.md</w:t>
            </w:r>
          </w:p>
        </w:tc>
      </w:tr>
    </w:tbl>
    <w:p>
      <w:pPr>
        <w:spacing w:after="100"/>
      </w:pPr>
    </w:p>
    <w:p>
      <w:pPr>
        <w:spacing w:after="120" w:line="276"/>
      </w:pPr>
      <w:r>
        <w:rPr>
          <w:b/>
          <w:bCs/>
          <w:sz w:val="21"/>
          <w:szCs w:val="21"/>
        </w:rPr>
        <w:t xml:space="preserve">Confidence: </w:t>
      </w:r>
      <w:r>
        <w:rPr>
          <w:sz w:val="21"/>
          <w:szCs w:val="21"/>
        </w:rPr>
        <w:t xml:space="preserve">the deliverable counts (19 in total) are transcribed directly from the system prompt and are reliable. The specific filenames and formats are illustrative proposals only — they are how I would expect these deliverables to materialise, not something the source document specifies. They should be treated as a starting point for discussion, not as a plan of record.</w:t>
      </w:r>
    </w:p>
    <w:p>
      <w:pPr>
        <w:pStyle w:val="Heading2"/>
        <w:spacing w:after="120" w:before="240"/>
      </w:pPr>
      <w:r>
        <w:rPr>
          <w:b/>
          <w:bCs/>
          <w:color w:val="1F3864"/>
          <w:sz w:val="24"/>
          <w:szCs w:val="24"/>
        </w:rPr>
        <w:t xml:space="preserve">3.4 Edge semantics introduced by Layer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E7ECF5" w:color="auto" w:val="clear"/>
            <w:tcMar>
              <w:top w:type="dxa" w:w="90"/>
              <w:left w:type="dxa" w:w="120"/>
              <w:bottom w:type="dxa" w:w="90"/>
              <w:right w:type="dxa" w:w="120"/>
            </w:tcMar>
            <w:vAlign w:val="center"/>
          </w:tcPr>
          <w:p>
            <w:pPr>
              <w:spacing w:after="0" w:line="264"/>
            </w:pPr>
            <w:r>
              <w:rPr>
                <w:b/>
                <w:bCs/>
                <w:sz w:val="19"/>
                <w:szCs w:val="19"/>
              </w:rPr>
              <w:t xml:space="preserve">Edge kind</w:t>
            </w:r>
          </w:p>
        </w:tc>
        <w:tc>
          <w:tcPr>
            <w:tcW w:type="dxa" w:w="7360"/>
            <w:shd w:fill="E7ECF5" w:color="auto" w:val="clear"/>
            <w:tcMar>
              <w:top w:type="dxa" w:w="90"/>
              <w:left w:type="dxa" w:w="120"/>
              <w:bottom w:type="dxa" w:w="90"/>
              <w:right w:type="dxa" w:w="120"/>
            </w:tcMar>
            <w:vAlign w:val="center"/>
          </w:tcPr>
          <w:p>
            <w:pPr>
              <w:spacing w:after="0" w:line="264"/>
            </w:pPr>
            <w:r>
              <w:rPr>
                <w:b/>
                <w:bCs/>
                <w:sz w:val="19"/>
                <w:szCs w:val="19"/>
              </w:rPr>
              <w:t xml:space="preserve">Meaning in this layer</w:t>
            </w:r>
          </w:p>
        </w:tc>
      </w:tr>
      <w:tr>
        <w:tc>
          <w:tcPr>
            <w:tcW w:type="dxa" w:w="2000"/>
            <w:tcMar>
              <w:top w:type="dxa" w:w="90"/>
              <w:left w:type="dxa" w:w="120"/>
              <w:bottom w:type="dxa" w:w="90"/>
              <w:right w:type="dxa" w:w="120"/>
            </w:tcMar>
            <w:vAlign w:val="center"/>
          </w:tcPr>
          <w:p>
            <w:pPr>
              <w:spacing w:after="0" w:line="264"/>
            </w:pPr>
            <w:r>
              <w:rPr>
                <w:sz w:val="19"/>
                <w:szCs w:val="19"/>
              </w:rPr>
              <w:t xml:space="preserve">data</w:t>
            </w:r>
          </w:p>
        </w:tc>
        <w:tc>
          <w:tcPr>
            <w:tcW w:type="dxa" w:w="7360"/>
            <w:tcMar>
              <w:top w:type="dxa" w:w="90"/>
              <w:left w:type="dxa" w:w="120"/>
              <w:bottom w:type="dxa" w:w="90"/>
              <w:right w:type="dxa" w:w="120"/>
            </w:tcMar>
            <w:vAlign w:val="center"/>
          </w:tcPr>
          <w:p>
            <w:pPr>
              <w:spacing w:after="0" w:line="264"/>
            </w:pPr>
            <w:r>
              <w:rPr>
                <w:sz w:val="19"/>
                <w:szCs w:val="19"/>
              </w:rPr>
              <w:t xml:space="preserve">A connector supplies input to a question or deliverable</w:t>
            </w:r>
          </w:p>
        </w:tc>
      </w:tr>
      <w:tr>
        <w:tc>
          <w:tcPr>
            <w:tcW w:type="dxa" w:w="2000"/>
            <w:tcMar>
              <w:top w:type="dxa" w:w="90"/>
              <w:left w:type="dxa" w:w="120"/>
              <w:bottom w:type="dxa" w:w="90"/>
              <w:right w:type="dxa" w:w="120"/>
            </w:tcMar>
            <w:vAlign w:val="center"/>
          </w:tcPr>
          <w:p>
            <w:pPr>
              <w:spacing w:after="0" w:line="264"/>
            </w:pPr>
            <w:r>
              <w:rPr>
                <w:sz w:val="19"/>
                <w:szCs w:val="19"/>
              </w:rPr>
              <w:t xml:space="preserve">dep</w:t>
            </w:r>
          </w:p>
        </w:tc>
        <w:tc>
          <w:tcPr>
            <w:tcW w:type="dxa" w:w="7360"/>
            <w:tcMar>
              <w:top w:type="dxa" w:w="90"/>
              <w:left w:type="dxa" w:w="120"/>
              <w:bottom w:type="dxa" w:w="90"/>
              <w:right w:type="dxa" w:w="120"/>
            </w:tcMar>
            <w:vAlign w:val="center"/>
          </w:tcPr>
          <w:p>
            <w:pPr>
              <w:spacing w:after="0" w:line="264"/>
            </w:pPr>
            <w:r>
              <w:rPr>
                <w:sz w:val="19"/>
                <w:szCs w:val="19"/>
              </w:rPr>
              <w:t xml:space="preserve">A file depends on another file being produced first (e.g. the PRD depends on the MRD)</w:t>
            </w:r>
          </w:p>
        </w:tc>
      </w:tr>
      <w:tr>
        <w:tc>
          <w:tcPr>
            <w:tcW w:type="dxa" w:w="2000"/>
            <w:tcMar>
              <w:top w:type="dxa" w:w="90"/>
              <w:left w:type="dxa" w:w="120"/>
              <w:bottom w:type="dxa" w:w="90"/>
              <w:right w:type="dxa" w:w="120"/>
            </w:tcMar>
            <w:vAlign w:val="center"/>
          </w:tcPr>
          <w:p>
            <w:pPr>
              <w:spacing w:after="0" w:line="264"/>
            </w:pPr>
            <w:r>
              <w:rPr>
                <w:sz w:val="19"/>
                <w:szCs w:val="19"/>
              </w:rPr>
              <w:t xml:space="preserve">event</w:t>
            </w:r>
          </w:p>
        </w:tc>
        <w:tc>
          <w:tcPr>
            <w:tcW w:type="dxa" w:w="7360"/>
            <w:tcMar>
              <w:top w:type="dxa" w:w="90"/>
              <w:left w:type="dxa" w:w="120"/>
              <w:bottom w:type="dxa" w:w="90"/>
              <w:right w:type="dxa" w:w="120"/>
            </w:tcMar>
            <w:vAlign w:val="center"/>
          </w:tcPr>
          <w:p>
            <w:pPr>
              <w:spacing w:after="0" w:line="264"/>
            </w:pPr>
            <w:r>
              <w:rPr>
                <w:sz w:val="19"/>
                <w:szCs w:val="19"/>
              </w:rPr>
              <w:t xml:space="preserve">An asynchronous or scheduled refresh of connector-sourced data</w:t>
            </w:r>
          </w:p>
        </w:tc>
      </w:tr>
      <w:tr>
        <w:tc>
          <w:tcPr>
            <w:tcW w:type="dxa" w:w="2000"/>
            <w:tcMar>
              <w:top w:type="dxa" w:w="90"/>
              <w:left w:type="dxa" w:w="120"/>
              <w:bottom w:type="dxa" w:w="90"/>
              <w:right w:type="dxa" w:w="120"/>
            </w:tcMar>
            <w:vAlign w:val="center"/>
          </w:tcPr>
          <w:p>
            <w:pPr>
              <w:spacing w:after="0" w:line="264"/>
            </w:pPr>
            <w:r>
              <w:rPr>
                <w:sz w:val="19"/>
                <w:szCs w:val="19"/>
              </w:rPr>
              <w:t xml:space="preserve">error</w:t>
            </w:r>
          </w:p>
        </w:tc>
        <w:tc>
          <w:tcPr>
            <w:tcW w:type="dxa" w:w="7360"/>
            <w:tcMar>
              <w:top w:type="dxa" w:w="90"/>
              <w:left w:type="dxa" w:w="120"/>
              <w:bottom w:type="dxa" w:w="90"/>
              <w:right w:type="dxa" w:w="120"/>
            </w:tcMar>
            <w:vAlign w:val="center"/>
          </w:tcPr>
          <w:p>
            <w:pPr>
              <w:spacing w:after="0" w:line="264"/>
            </w:pPr>
            <w:r>
              <w:rPr>
                <w:sz w:val="19"/>
                <w:szCs w:val="19"/>
              </w:rPr>
              <w:t xml:space="preserve">A missing or unavailable source — the path that explains why a deliverable is blocked</w:t>
            </w:r>
          </w:p>
        </w:tc>
      </w:tr>
    </w:tbl>
    <w:p>
      <w:r>
        <w:br w:type="page"/>
      </w:r>
    </w:p>
    <w:p>
      <w:pPr>
        <w:pStyle w:val="Heading1"/>
        <w:spacing w:after="160" w:before="320"/>
      </w:pPr>
      <w:r>
        <w:rPr>
          <w:b/>
          <w:bCs/>
          <w:color w:val="1F3864"/>
          <w:sz w:val="30"/>
          <w:szCs w:val="30"/>
        </w:rPr>
        <w:t xml:space="preserve">4. Intermediate-representation (IR) schema changes required</w:t>
      </w:r>
    </w:p>
    <w:p>
      <w:pPr>
        <w:spacing w:after="120" w:line="276"/>
      </w:pPr>
      <w:r>
        <w:rPr>
          <w:sz w:val="21"/>
          <w:szCs w:val="21"/>
        </w:rPr>
        <w:t xml:space="preserve">Both layers extend the flow.json contract. The changes are additive; existing graphs remain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7ECF5" w:color="auto" w:val="clear"/>
            <w:tcMar>
              <w:top w:type="dxa" w:w="90"/>
              <w:left w:type="dxa" w:w="120"/>
              <w:bottom w:type="dxa" w:w="90"/>
              <w:right w:type="dxa" w:w="120"/>
            </w:tcMar>
            <w:vAlign w:val="center"/>
          </w:tcPr>
          <w:p>
            <w:pPr>
              <w:spacing w:after="0" w:line="264"/>
            </w:pPr>
            <w:r>
              <w:rPr>
                <w:b/>
                <w:bCs/>
                <w:sz w:val="19"/>
                <w:szCs w:val="19"/>
              </w:rPr>
              <w:t xml:space="preserve">Change</w:t>
            </w:r>
          </w:p>
        </w:tc>
        <w:tc>
          <w:tcPr>
            <w:tcW w:type="dxa" w:w="6960"/>
            <w:shd w:fill="E7ECF5" w:color="auto" w:val="clear"/>
            <w:tcMar>
              <w:top w:type="dxa" w:w="90"/>
              <w:left w:type="dxa" w:w="120"/>
              <w:bottom w:type="dxa" w:w="90"/>
              <w:right w:type="dxa" w:w="120"/>
            </w:tcMar>
            <w:vAlign w:val="center"/>
          </w:tcPr>
          <w:p>
            <w:pPr>
              <w:spacing w:after="0" w:line="264"/>
            </w:pPr>
            <w:r>
              <w:rPr>
                <w:b/>
                <w:bCs/>
                <w:sz w:val="19"/>
                <w:szCs w:val="19"/>
              </w:rPr>
              <w:t xml:space="preserve">Detail</w:t>
            </w:r>
          </w:p>
        </w:tc>
      </w:tr>
      <w:tr>
        <w:tc>
          <w:tcPr>
            <w:tcW w:type="dxa" w:w="2400"/>
            <w:tcMar>
              <w:top w:type="dxa" w:w="90"/>
              <w:left w:type="dxa" w:w="120"/>
              <w:bottom w:type="dxa" w:w="90"/>
              <w:right w:type="dxa" w:w="120"/>
            </w:tcMar>
            <w:vAlign w:val="center"/>
          </w:tcPr>
          <w:p>
            <w:pPr>
              <w:spacing w:after="0" w:line="264"/>
            </w:pPr>
            <w:r>
              <w:rPr>
                <w:sz w:val="19"/>
                <w:szCs w:val="19"/>
              </w:rPr>
              <w:t xml:space="preserve">New node kinds</w:t>
            </w:r>
          </w:p>
        </w:tc>
        <w:tc>
          <w:tcPr>
            <w:tcW w:type="dxa" w:w="6960"/>
            <w:tcMar>
              <w:top w:type="dxa" w:w="90"/>
              <w:left w:type="dxa" w:w="120"/>
              <w:bottom w:type="dxa" w:w="90"/>
              <w:right w:type="dxa" w:w="120"/>
            </w:tcMar>
            <w:vAlign w:val="center"/>
          </w:tcPr>
          <w:p>
            <w:pPr>
              <w:spacing w:after="0" w:line="264"/>
            </w:pPr>
            <w:r>
              <w:rPr>
                <w:sz w:val="19"/>
                <w:szCs w:val="19"/>
              </w:rPr>
              <w:t xml:space="preserve">question, file, connector — none exist in the current vocabulary. The renderer keys colour and silhouette off kind, so each needs a token in theme.css and an entry in the ACCENT map, or it will fall back to an unstyled box.</w:t>
            </w:r>
          </w:p>
        </w:tc>
      </w:tr>
      <w:tr>
        <w:tc>
          <w:tcPr>
            <w:tcW w:type="dxa" w:w="2400"/>
            <w:tcMar>
              <w:top w:type="dxa" w:w="90"/>
              <w:left w:type="dxa" w:w="120"/>
              <w:bottom w:type="dxa" w:w="90"/>
              <w:right w:type="dxa" w:w="120"/>
            </w:tcMar>
            <w:vAlign w:val="center"/>
          </w:tcPr>
          <w:p>
            <w:pPr>
              <w:spacing w:after="0" w:line="264"/>
            </w:pPr>
            <w:r>
              <w:rPr>
                <w:sz w:val="19"/>
                <w:szCs w:val="19"/>
              </w:rPr>
              <w:t xml:space="preserve">New meta fields</w:t>
            </w:r>
          </w:p>
        </w:tc>
        <w:tc>
          <w:tcPr>
            <w:tcW w:type="dxa" w:w="6960"/>
            <w:tcMar>
              <w:top w:type="dxa" w:w="90"/>
              <w:left w:type="dxa" w:w="120"/>
              <w:bottom w:type="dxa" w:w="90"/>
              <w:right w:type="dxa" w:w="120"/>
            </w:tcMar>
            <w:vAlign w:val="center"/>
          </w:tcPr>
          <w:p>
            <w:pPr>
              <w:spacing w:after="0" w:line="264"/>
            </w:pPr>
            <w:r>
              <w:rPr>
                <w:sz w:val="19"/>
                <w:szCs w:val="19"/>
              </w:rPr>
              <w:t xml:space="preserve">meta.answer, meta.answeredAt, meta.status (unanswered | answered | deferred) for questions; meta.connectorStatus (proposed | connected | verified) and meta.format for connectors and files.</w:t>
            </w:r>
          </w:p>
        </w:tc>
      </w:tr>
      <w:tr>
        <w:tc>
          <w:tcPr>
            <w:tcW w:type="dxa" w:w="2400"/>
            <w:tcMar>
              <w:top w:type="dxa" w:w="90"/>
              <w:left w:type="dxa" w:w="120"/>
              <w:bottom w:type="dxa" w:w="90"/>
              <w:right w:type="dxa" w:w="120"/>
            </w:tcMar>
            <w:vAlign w:val="center"/>
          </w:tcPr>
          <w:p>
            <w:pPr>
              <w:spacing w:after="0" w:line="264"/>
            </w:pPr>
            <w:r>
              <w:rPr>
                <w:sz w:val="19"/>
                <w:szCs w:val="19"/>
              </w:rPr>
              <w:t xml:space="preserve">Graph namespace</w:t>
            </w:r>
          </w:p>
        </w:tc>
        <w:tc>
          <w:tcPr>
            <w:tcW w:type="dxa" w:w="6960"/>
            <w:tcMar>
              <w:top w:type="dxa" w:w="90"/>
              <w:left w:type="dxa" w:w="120"/>
              <w:bottom w:type="dxa" w:w="90"/>
              <w:right w:type="dxa" w:w="120"/>
            </w:tcMar>
            <w:vAlign w:val="center"/>
          </w:tcPr>
          <w:p>
            <w:pPr>
              <w:spacing w:after="0" w:line="264"/>
            </w:pPr>
            <w:r>
              <w:rPr>
                <w:sz w:val="19"/>
                <w:szCs w:val="19"/>
              </w:rPr>
              <w:t xml:space="preserve">Third and fourth levels: questions.phase1, files.phase1, sources.phase1 — consistent with the existing namespacing convention.</w:t>
            </w:r>
          </w:p>
        </w:tc>
      </w:tr>
      <w:tr>
        <w:tc>
          <w:tcPr>
            <w:tcW w:type="dxa" w:w="2400"/>
            <w:tcMar>
              <w:top w:type="dxa" w:w="90"/>
              <w:left w:type="dxa" w:w="120"/>
              <w:bottom w:type="dxa" w:w="90"/>
              <w:right w:type="dxa" w:w="120"/>
            </w:tcMar>
            <w:vAlign w:val="center"/>
          </w:tcPr>
          <w:p>
            <w:pPr>
              <w:spacing w:after="0" w:line="264"/>
            </w:pPr>
            <w:r>
              <w:rPr>
                <w:sz w:val="19"/>
                <w:szCs w:val="19"/>
              </w:rPr>
              <w:t xml:space="preserve">Validator rules</w:t>
            </w:r>
          </w:p>
        </w:tc>
        <w:tc>
          <w:tcPr>
            <w:tcW w:type="dxa" w:w="6960"/>
            <w:tcMar>
              <w:top w:type="dxa" w:w="90"/>
              <w:left w:type="dxa" w:w="120"/>
              <w:bottom w:type="dxa" w:w="90"/>
              <w:right w:type="dxa" w:w="120"/>
            </w:tcMar>
            <w:vAlign w:val="center"/>
          </w:tcPr>
          <w:p>
            <w:pPr>
              <w:spacing w:after="0" w:line="264"/>
            </w:pPr>
            <w:r>
              <w:rPr>
                <w:sz w:val="19"/>
                <w:szCs w:val="19"/>
              </w:rPr>
              <w:t xml:space="preserve">Two new invariants: an answered question must record an answeredAt value, and a file node must have at least one inbound dep or data edge (an orphan file is an extraction error).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D5A8" w:sz="2"/>
              <w:left w:val="single" w:color="C9A227" w:sz="18"/>
              <w:bottom w:val="single" w:color="E3D5A8" w:sz="2"/>
              <w:right w:val="single" w:color="E3D5A8" w:sz="2"/>
            </w:tcBorders>
            <w:shd w:fill="FBF3DE" w:color="auto" w:val="clear"/>
            <w:tcMar>
              <w:top w:type="dxa" w:w="140"/>
              <w:left w:type="dxa" w:w="160"/>
              <w:bottom w:type="dxa" w:w="140"/>
              <w:right w:type="dxa" w:w="160"/>
            </w:tcMar>
          </w:tcPr>
          <w:p>
            <w:pPr>
              <w:spacing w:after="60"/>
            </w:pPr>
            <w:r>
              <w:rPr>
                <w:b/>
                <w:bCs/>
                <w:sz w:val="20"/>
                <w:szCs w:val="20"/>
              </w:rPr>
              <w:t xml:space="preserve">Scale warning — the reason this must not be built as one flat graph</w:t>
            </w:r>
          </w:p>
          <w:p>
            <w:pPr>
              <w:spacing w:after="60" w:line="264"/>
            </w:pPr>
            <w:r>
              <w:rPr>
                <w:sz w:val="20"/>
                <w:szCs w:val="20"/>
              </w:rPr>
              <w:t xml:space="preserve">The current build is 57 nodes. Layer 2 adds roughly 60–70 question nodes plus their branch decisions; Layer 3 adds an estimated 40–60 file and connector nodes. A combined flat graph would approach 180 nodes and several hundred edges.</w:t>
            </w:r>
          </w:p>
          <w:p>
            <w:pPr>
              <w:spacing w:after="60" w:line="264"/>
            </w:pPr>
            <w:r>
              <w:rPr>
                <w:sz w:val="20"/>
                <w:szCs w:val="20"/>
              </w:rPr>
              <w:t xml:space="preserve">The arch-flowmap guidance is explicit that anything exceeding roughly 20 nodes on one screen must be collapsed into drill-downs rather than grouped. Both layers must therefore be built strictly as additional drill-down levels. Attempting to surface them on the system view would produce an unreadable hairball and waste the work.</w:t>
            </w:r>
          </w:p>
        </w:tc>
      </w:tr>
    </w:tbl>
    <w:p>
      <w:pPr>
        <w:pStyle w:val="Heading1"/>
        <w:spacing w:after="160" w:before="320"/>
      </w:pPr>
      <w:r>
        <w:rPr>
          <w:b/>
          <w:bCs/>
          <w:color w:val="1F3864"/>
          <w:sz w:val="30"/>
          <w:szCs w:val="30"/>
        </w:rPr>
        <w:t xml:space="preserve">5. Sequencing, effort and acceptance criteria</w:t>
      </w:r>
    </w:p>
    <w:p>
      <w:pPr>
        <w:pStyle w:val="Heading2"/>
        <w:spacing w:after="120" w:before="240"/>
      </w:pPr>
      <w:r>
        <w:rPr>
          <w:b/>
          <w:bCs/>
          <w:color w:val="1F3864"/>
          <w:sz w:val="24"/>
          <w:szCs w:val="24"/>
        </w:rPr>
        <w:t xml:space="preserve">5.1 Recommended order</w:t>
      </w:r>
    </w:p>
    <w:p>
      <w:pPr>
        <w:spacing w:after="120" w:line="276"/>
      </w:pPr>
      <w:r>
        <w:rPr>
          <w:sz w:val="21"/>
          <w:szCs w:val="21"/>
        </w:rPr>
        <w:t xml:space="preserve">Layer 2 should precede Layer 3. The questions determine which evidence is needed, and therefore which connectors and files matter; building Layer 3 first would mean guessing at data sources for questions not yet decomposed.</w:t>
      </w:r>
    </w:p>
    <w:p>
      <w:pPr>
        <w:pStyle w:val="Heading2"/>
        <w:spacing w:after="120" w:before="240"/>
      </w:pPr>
      <w:r>
        <w:rPr>
          <w:b/>
          <w:bCs/>
          <w:color w:val="1F3864"/>
          <w:sz w:val="24"/>
          <w:szCs w:val="24"/>
        </w:rPr>
        <w:t xml:space="preserve">5.2 Dependency on actual execution</w:t>
      </w:r>
    </w:p>
    <w:p>
      <w:pPr>
        <w:spacing w:after="120" w:line="276"/>
      </w:pPr>
      <w:r>
        <w:rPr>
          <w:sz w:val="21"/>
          <w:szCs w:val="21"/>
        </w:rPr>
        <w:t xml:space="preserve">Both layers describe work that is only partly knowable in advance. Layer 2 for a given phase can be authored before that phase runs, because the questions come from the system prompt. Layer 3 for a given phase largely cannot, because the real file set and the real data sources only become apparent once the phase produces its deliverables. The pragmatic approach is to build Layer 2 across all seven phases up front, and to build Layer 3 incrementally, one phase at a time, as each phase completes.</w:t>
      </w:r>
    </w:p>
    <w:p>
      <w:pPr>
        <w:pStyle w:val="Heading2"/>
        <w:spacing w:after="120" w:before="240"/>
      </w:pPr>
      <w:r>
        <w:rPr>
          <w:b/>
          <w:bCs/>
          <w:color w:val="1F3864"/>
          <w:sz w:val="24"/>
          <w:szCs w:val="24"/>
        </w:rPr>
        <w:t xml:space="preserve">5.3 Acceptance criteria</w:t>
      </w:r>
    </w:p>
    <w:p>
      <w:pPr>
        <w:pStyle w:val="ListParagraph"/>
        <w:numPr>
          <w:ilvl w:val="0"/>
          <w:numId w:val="2"/>
        </w:numPr>
        <w:spacing w:after="80" w:line="276"/>
      </w:pPr>
      <w:r>
        <w:rPr>
          <w:sz w:val="21"/>
          <w:szCs w:val="21"/>
        </w:rPr>
        <w:t xml:space="preserve">python scripts/validate_flow.py reports zero errors, including the two new invariants.</w:t>
      </w:r>
    </w:p>
    <w:p>
      <w:pPr>
        <w:pStyle w:val="ListParagraph"/>
        <w:numPr>
          <w:ilvl w:val="0"/>
          <w:numId w:val="2"/>
        </w:numPr>
        <w:spacing w:after="80" w:line="276"/>
      </w:pPr>
      <w:r>
        <w:rPr>
          <w:sz w:val="21"/>
          <w:szCs w:val="21"/>
        </w:rPr>
        <w:t xml:space="preserve">No single graph exceeds roughly 20 visible nodes.</w:t>
      </w:r>
    </w:p>
    <w:p>
      <w:pPr>
        <w:pStyle w:val="ListParagraph"/>
        <w:numPr>
          <w:ilvl w:val="0"/>
          <w:numId w:val="2"/>
        </w:numPr>
        <w:spacing w:after="80" w:line="276"/>
      </w:pPr>
      <w:r>
        <w:rPr>
          <w:sz w:val="21"/>
          <w:szCs w:val="21"/>
        </w:rPr>
        <w:t xml:space="preserve">Every added node carries inferred: true until its phase has actually been executed, with a corresponding entry in the top-level assumptions array.</w:t>
      </w:r>
    </w:p>
    <w:p>
      <w:pPr>
        <w:pStyle w:val="ListParagraph"/>
        <w:numPr>
          <w:ilvl w:val="0"/>
          <w:numId w:val="2"/>
        </w:numPr>
        <w:spacing w:after="80" w:line="276"/>
      </w:pPr>
      <w:r>
        <w:rPr>
          <w:sz w:val="21"/>
          <w:szCs w:val="21"/>
        </w:rPr>
        <w:t xml:space="preserve">Connector nodes display their connection status; no node asserts an integration that has not been verified.</w:t>
      </w:r>
    </w:p>
    <w:p>
      <w:pPr>
        <w:pStyle w:val="ListParagraph"/>
        <w:numPr>
          <w:ilvl w:val="0"/>
          <w:numId w:val="2"/>
        </w:numPr>
        <w:spacing w:after="80" w:line="276"/>
      </w:pPr>
      <w:r>
        <w:rPr>
          <w:sz w:val="21"/>
          <w:szCs w:val="21"/>
        </w:rPr>
        <w:t xml:space="preserve">The regression suite covering render, pan clamping, zoom limits, pointer-race handling, drill-down and resize continues to pass at the new node count.</w:t>
      </w:r>
    </w:p>
    <w:p>
      <w:pPr>
        <w:pStyle w:val="Heading1"/>
        <w:spacing w:after="160" w:before="320"/>
      </w:pPr>
      <w:r>
        <w:rPr>
          <w:b/>
          <w:bCs/>
          <w:color w:val="1F3864"/>
          <w:sz w:val="30"/>
          <w:szCs w:val="30"/>
        </w:rPr>
        <w:t xml:space="preserve">6. Open decisions requiring your input before any build begins</w:t>
      </w:r>
    </w:p>
    <w:p>
      <w:pPr>
        <w:spacing w:after="120" w:line="276"/>
      </w:pPr>
      <w:r>
        <w:rPr>
          <w:sz w:val="21"/>
          <w:szCs w:val="21"/>
        </w:rPr>
        <w:t xml:space="preserve">These are the questions whose answers change the shape of the work, rather than merely its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260"/>
      </w:tblGrid>
      <w:tr>
        <w:trPr>
          <w:tblHeader/>
        </w:trPr>
        <w:tc>
          <w:tcPr>
            <w:tcW w:type="dxa" w:w="700"/>
            <w:shd w:fill="E7ECF5" w:color="auto" w:val="clear"/>
            <w:tcMar>
              <w:top w:type="dxa" w:w="90"/>
              <w:left w:type="dxa" w:w="120"/>
              <w:bottom w:type="dxa" w:w="90"/>
              <w:right w:type="dxa" w:w="120"/>
            </w:tcMar>
            <w:vAlign w:val="center"/>
          </w:tcPr>
          <w:p>
            <w:pPr>
              <w:spacing w:after="0" w:line="264"/>
            </w:pPr>
            <w:r>
              <w:rPr>
                <w:b/>
                <w:bCs/>
                <w:sz w:val="19"/>
                <w:szCs w:val="19"/>
              </w:rPr>
              <w:t xml:space="preserve">#</w:t>
            </w:r>
          </w:p>
        </w:tc>
        <w:tc>
          <w:tcPr>
            <w:tcW w:type="dxa" w:w="5400"/>
            <w:shd w:fill="E7ECF5" w:color="auto" w:val="clear"/>
            <w:tcMar>
              <w:top w:type="dxa" w:w="90"/>
              <w:left w:type="dxa" w:w="120"/>
              <w:bottom w:type="dxa" w:w="90"/>
              <w:right w:type="dxa" w:w="120"/>
            </w:tcMar>
            <w:vAlign w:val="center"/>
          </w:tcPr>
          <w:p>
            <w:pPr>
              <w:spacing w:after="0" w:line="264"/>
            </w:pPr>
            <w:r>
              <w:rPr>
                <w:b/>
                <w:bCs/>
                <w:sz w:val="19"/>
                <w:szCs w:val="19"/>
              </w:rPr>
              <w:t xml:space="preserve">Decision</w:t>
            </w:r>
          </w:p>
        </w:tc>
        <w:tc>
          <w:tcPr>
            <w:tcW w:type="dxa" w:w="3260"/>
            <w:shd w:fill="E7ECF5" w:color="auto" w:val="clear"/>
            <w:tcMar>
              <w:top w:type="dxa" w:w="90"/>
              <w:left w:type="dxa" w:w="120"/>
              <w:bottom w:type="dxa" w:w="90"/>
              <w:right w:type="dxa" w:w="120"/>
            </w:tcMar>
            <w:vAlign w:val="center"/>
          </w:tcPr>
          <w:p>
            <w:pPr>
              <w:spacing w:after="0" w:line="264"/>
            </w:pPr>
            <w:r>
              <w:rPr>
                <w:b/>
                <w:bCs/>
                <w:sz w:val="19"/>
                <w:szCs w:val="19"/>
              </w:rPr>
              <w:t xml:space="preserve">Why it matters</w:t>
            </w:r>
          </w:p>
        </w:tc>
      </w:tr>
      <w:tr>
        <w:tc>
          <w:tcPr>
            <w:tcW w:type="dxa" w:w="700"/>
            <w:tcMar>
              <w:top w:type="dxa" w:w="90"/>
              <w:left w:type="dxa" w:w="120"/>
              <w:bottom w:type="dxa" w:w="90"/>
              <w:right w:type="dxa" w:w="120"/>
            </w:tcMar>
            <w:vAlign w:val="center"/>
          </w:tcPr>
          <w:p>
            <w:pPr>
              <w:spacing w:after="0" w:line="264"/>
            </w:pPr>
            <w:r>
              <w:rPr>
                <w:sz w:val="19"/>
                <w:szCs w:val="19"/>
              </w:rPr>
              <w:t xml:space="preserve">1</w:t>
            </w:r>
          </w:p>
        </w:tc>
        <w:tc>
          <w:tcPr>
            <w:tcW w:type="dxa" w:w="5400"/>
            <w:tcMar>
              <w:top w:type="dxa" w:w="90"/>
              <w:left w:type="dxa" w:w="120"/>
              <w:bottom w:type="dxa" w:w="90"/>
              <w:right w:type="dxa" w:w="120"/>
            </w:tcMar>
            <w:vAlign w:val="center"/>
          </w:tcPr>
          <w:p>
            <w:pPr>
              <w:spacing w:after="0" w:line="264"/>
            </w:pPr>
            <w:r>
              <w:rPr>
                <w:sz w:val="19"/>
                <w:szCs w:val="19"/>
              </w:rPr>
              <w:t xml:space="preserve">Should question nodes carry live answer state, or remain a static map of what will be asked?</w:t>
            </w:r>
          </w:p>
        </w:tc>
        <w:tc>
          <w:tcPr>
            <w:tcW w:type="dxa" w:w="3260"/>
            <w:tcMar>
              <w:top w:type="dxa" w:w="90"/>
              <w:left w:type="dxa" w:w="120"/>
              <w:bottom w:type="dxa" w:w="90"/>
              <w:right w:type="dxa" w:w="120"/>
            </w:tcMar>
            <w:vAlign w:val="center"/>
          </w:tcPr>
          <w:p>
            <w:pPr>
              <w:spacing w:after="0" w:line="264"/>
            </w:pPr>
            <w:r>
              <w:rPr>
                <w:sz w:val="19"/>
                <w:szCs w:val="19"/>
              </w:rPr>
              <w:t xml:space="preserve">Live state turns the diagram into a tracking tool and implies persistence; static keeps it a reference artefact. This is the largest single scope decision.</w:t>
            </w:r>
          </w:p>
        </w:tc>
      </w:tr>
      <w:tr>
        <w:tc>
          <w:tcPr>
            <w:tcW w:type="dxa" w:w="700"/>
            <w:tcMar>
              <w:top w:type="dxa" w:w="90"/>
              <w:left w:type="dxa" w:w="120"/>
              <w:bottom w:type="dxa" w:w="90"/>
              <w:right w:type="dxa" w:w="120"/>
            </w:tcMar>
            <w:vAlign w:val="center"/>
          </w:tcPr>
          <w:p>
            <w:pPr>
              <w:spacing w:after="0" w:line="264"/>
            </w:pPr>
            <w:r>
              <w:rPr>
                <w:sz w:val="19"/>
                <w:szCs w:val="19"/>
              </w:rPr>
              <w:t xml:space="preserve">2</w:t>
            </w:r>
          </w:p>
        </w:tc>
        <w:tc>
          <w:tcPr>
            <w:tcW w:type="dxa" w:w="5400"/>
            <w:tcMar>
              <w:top w:type="dxa" w:w="90"/>
              <w:left w:type="dxa" w:w="120"/>
              <w:bottom w:type="dxa" w:w="90"/>
              <w:right w:type="dxa" w:w="120"/>
            </w:tcMar>
            <w:vAlign w:val="center"/>
          </w:tcPr>
          <w:p>
            <w:pPr>
              <w:spacing w:after="0" w:line="264"/>
            </w:pPr>
            <w:r>
              <w:rPr>
                <w:sz w:val="19"/>
                <w:szCs w:val="19"/>
              </w:rPr>
              <w:t xml:space="preserve">Is Layer 3 scoped to the Vector LLM capstone specifically, or kept generic to the AAAEE engine?</w:t>
            </w:r>
          </w:p>
        </w:tc>
        <w:tc>
          <w:tcPr>
            <w:tcW w:type="dxa" w:w="3260"/>
            <w:tcMar>
              <w:top w:type="dxa" w:w="90"/>
              <w:left w:type="dxa" w:w="120"/>
              <w:bottom w:type="dxa" w:w="90"/>
              <w:right w:type="dxa" w:w="120"/>
            </w:tcMar>
            <w:vAlign w:val="center"/>
          </w:tcPr>
          <w:p>
            <w:pPr>
              <w:spacing w:after="0" w:line="264"/>
            </w:pPr>
            <w:r>
              <w:rPr>
                <w:sz w:val="19"/>
                <w:szCs w:val="19"/>
              </w:rPr>
              <w:t xml:space="preserve">The capstone has a known stack and known deliverables; a generic engine cannot name files in advance.</w:t>
            </w:r>
          </w:p>
        </w:tc>
      </w:tr>
      <w:tr>
        <w:tc>
          <w:tcPr>
            <w:tcW w:type="dxa" w:w="700"/>
            <w:tcMar>
              <w:top w:type="dxa" w:w="90"/>
              <w:left w:type="dxa" w:w="120"/>
              <w:bottom w:type="dxa" w:w="90"/>
              <w:right w:type="dxa" w:w="120"/>
            </w:tcMar>
            <w:vAlign w:val="center"/>
          </w:tcPr>
          <w:p>
            <w:pPr>
              <w:spacing w:after="0" w:line="264"/>
            </w:pPr>
            <w:r>
              <w:rPr>
                <w:sz w:val="19"/>
                <w:szCs w:val="19"/>
              </w:rPr>
              <w:t xml:space="preserve">3</w:t>
            </w:r>
          </w:p>
        </w:tc>
        <w:tc>
          <w:tcPr>
            <w:tcW w:type="dxa" w:w="5400"/>
            <w:tcMar>
              <w:top w:type="dxa" w:w="90"/>
              <w:left w:type="dxa" w:w="120"/>
              <w:bottom w:type="dxa" w:w="90"/>
              <w:right w:type="dxa" w:w="120"/>
            </w:tcMar>
            <w:vAlign w:val="center"/>
          </w:tcPr>
          <w:p>
            <w:pPr>
              <w:spacing w:after="0" w:line="264"/>
            </w:pPr>
            <w:r>
              <w:rPr>
                <w:sz w:val="19"/>
                <w:szCs w:val="19"/>
              </w:rPr>
              <w:t xml:space="preserve">Which connectors are actually in scope, and which of those are already wired?</w:t>
            </w:r>
          </w:p>
        </w:tc>
        <w:tc>
          <w:tcPr>
            <w:tcW w:type="dxa" w:w="3260"/>
            <w:tcMar>
              <w:top w:type="dxa" w:w="90"/>
              <w:left w:type="dxa" w:w="120"/>
              <w:bottom w:type="dxa" w:w="90"/>
              <w:right w:type="dxa" w:w="120"/>
            </w:tcMar>
            <w:vAlign w:val="center"/>
          </w:tcPr>
          <w:p>
            <w:pPr>
              <w:spacing w:after="0" w:line="264"/>
            </w:pPr>
            <w:r>
              <w:rPr>
                <w:sz w:val="19"/>
                <w:szCs w:val="19"/>
              </w:rPr>
              <w:t xml:space="preserve">Determines whether connector nodes are proposed or verified, and how much of §3.2 survives.</w:t>
            </w:r>
          </w:p>
        </w:tc>
      </w:tr>
      <w:tr>
        <w:tc>
          <w:tcPr>
            <w:tcW w:type="dxa" w:w="700"/>
            <w:tcMar>
              <w:top w:type="dxa" w:w="90"/>
              <w:left w:type="dxa" w:w="120"/>
              <w:bottom w:type="dxa" w:w="90"/>
              <w:right w:type="dxa" w:w="120"/>
            </w:tcMar>
            <w:vAlign w:val="center"/>
          </w:tcPr>
          <w:p>
            <w:pPr>
              <w:spacing w:after="0" w:line="264"/>
            </w:pPr>
            <w:r>
              <w:rPr>
                <w:sz w:val="19"/>
                <w:szCs w:val="19"/>
              </w:rPr>
              <w:t xml:space="preserve">4</w:t>
            </w:r>
          </w:p>
        </w:tc>
        <w:tc>
          <w:tcPr>
            <w:tcW w:type="dxa" w:w="5400"/>
            <w:tcMar>
              <w:top w:type="dxa" w:w="90"/>
              <w:left w:type="dxa" w:w="120"/>
              <w:bottom w:type="dxa" w:w="90"/>
              <w:right w:type="dxa" w:w="120"/>
            </w:tcMar>
            <w:vAlign w:val="center"/>
          </w:tcPr>
          <w:p>
            <w:pPr>
              <w:spacing w:after="0" w:line="264"/>
            </w:pPr>
            <w:r>
              <w:rPr>
                <w:sz w:val="19"/>
                <w:szCs w:val="19"/>
              </w:rPr>
              <w:t xml:space="preserve">Should unanswered questions block a phase gate from being marked approved?</w:t>
            </w:r>
          </w:p>
        </w:tc>
        <w:tc>
          <w:tcPr>
            <w:tcW w:type="dxa" w:w="3260"/>
            <w:tcMar>
              <w:top w:type="dxa" w:w="90"/>
              <w:left w:type="dxa" w:w="120"/>
              <w:bottom w:type="dxa" w:w="90"/>
              <w:right w:type="dxa" w:w="120"/>
            </w:tcMar>
            <w:vAlign w:val="center"/>
          </w:tcPr>
          <w:p>
            <w:pPr>
              <w:spacing w:after="0" w:line="264"/>
            </w:pPr>
            <w:r>
              <w:rPr>
                <w:sz w:val="19"/>
                <w:szCs w:val="19"/>
              </w:rPr>
              <w:t xml:space="preserve">Introduces enforcement semantics the current gate model does not have.</w:t>
            </w:r>
          </w:p>
        </w:tc>
      </w:tr>
      <w:tr>
        <w:tc>
          <w:tcPr>
            <w:tcW w:type="dxa" w:w="700"/>
            <w:tcMar>
              <w:top w:type="dxa" w:w="90"/>
              <w:left w:type="dxa" w:w="120"/>
              <w:bottom w:type="dxa" w:w="90"/>
              <w:right w:type="dxa" w:w="120"/>
            </w:tcMar>
            <w:vAlign w:val="center"/>
          </w:tcPr>
          <w:p>
            <w:pPr>
              <w:spacing w:after="0" w:line="264"/>
            </w:pPr>
            <w:r>
              <w:rPr>
                <w:sz w:val="19"/>
                <w:szCs w:val="19"/>
              </w:rPr>
              <w:t xml:space="preserve">5</w:t>
            </w:r>
          </w:p>
        </w:tc>
        <w:tc>
          <w:tcPr>
            <w:tcW w:type="dxa" w:w="5400"/>
            <w:tcMar>
              <w:top w:type="dxa" w:w="90"/>
              <w:left w:type="dxa" w:w="120"/>
              <w:bottom w:type="dxa" w:w="90"/>
              <w:right w:type="dxa" w:w="120"/>
            </w:tcMar>
            <w:vAlign w:val="center"/>
          </w:tcPr>
          <w:p>
            <w:pPr>
              <w:spacing w:after="0" w:line="264"/>
            </w:pPr>
            <w:r>
              <w:rPr>
                <w:sz w:val="19"/>
                <w:szCs w:val="19"/>
              </w:rPr>
              <w:t xml:space="preserve">Is the interactive map the system of record, or a view onto Notion / Drive?</w:t>
            </w:r>
          </w:p>
        </w:tc>
        <w:tc>
          <w:tcPr>
            <w:tcW w:type="dxa" w:w="3260"/>
            <w:tcMar>
              <w:top w:type="dxa" w:w="90"/>
              <w:left w:type="dxa" w:w="120"/>
              <w:bottom w:type="dxa" w:w="90"/>
              <w:right w:type="dxa" w:w="120"/>
            </w:tcMar>
            <w:vAlign w:val="center"/>
          </w:tcPr>
          <w:p>
            <w:pPr>
              <w:spacing w:after="0" w:line="264"/>
            </w:pPr>
            <w:r>
              <w:rPr>
                <w:sz w:val="19"/>
                <w:szCs w:val="19"/>
              </w:rPr>
              <w:t xml:space="preserve">If the latter, Layer 3 becomes a live integration problem rather than a diagramming one — a materially larger undertaking.</w:t>
            </w:r>
          </w:p>
        </w:tc>
      </w:tr>
    </w:tbl>
    <w:p>
      <w:pPr>
        <w:pStyle w:val="Heading1"/>
        <w:spacing w:after="160" w:before="320"/>
      </w:pPr>
      <w:r>
        <w:rPr>
          <w:b/>
          <w:bCs/>
          <w:color w:val="1F3864"/>
          <w:sz w:val="30"/>
          <w:szCs w:val="30"/>
        </w:rPr>
        <w:t xml:space="preserve">7. Known risks</w:t>
      </w:r>
    </w:p>
    <w:p>
      <w:pPr>
        <w:pStyle w:val="ListParagraph"/>
        <w:numPr>
          <w:ilvl w:val="0"/>
          <w:numId w:val="2"/>
        </w:numPr>
        <w:spacing w:after="80" w:line="276"/>
      </w:pPr>
      <w:r>
        <w:rPr>
          <w:sz w:val="21"/>
          <w:szCs w:val="21"/>
        </w:rPr>
        <w:t xml:space="preserve">Fabricated precision. The file names in §3.3 and the connector mapping in §3.2 are plausible but unverified. Rendering them will make them look decided. They must stay visibly marked as proposals until confirmed.</w:t>
      </w:r>
    </w:p>
    <w:p>
      <w:pPr>
        <w:pStyle w:val="ListParagraph"/>
        <w:numPr>
          <w:ilvl w:val="0"/>
          <w:numId w:val="2"/>
        </w:numPr>
        <w:spacing w:after="80" w:line="276"/>
      </w:pPr>
      <w:r>
        <w:rPr>
          <w:sz w:val="21"/>
          <w:szCs w:val="21"/>
        </w:rPr>
        <w:t xml:space="preserve">Drift between plan and reality. Once phases execute, the real deliverables will diverge from this specification. The intended mitigation is to re-extract flow.json per phase and diff it against the planned version; that delta is itself a useful artefact and should not be discarded.</w:t>
      </w:r>
    </w:p>
    <w:p>
      <w:pPr>
        <w:pStyle w:val="ListParagraph"/>
        <w:numPr>
          <w:ilvl w:val="0"/>
          <w:numId w:val="2"/>
        </w:numPr>
        <w:spacing w:after="80" w:line="276"/>
      </w:pPr>
      <w:r>
        <w:rPr>
          <w:sz w:val="21"/>
          <w:szCs w:val="21"/>
        </w:rPr>
        <w:t xml:space="preserve">Premature build. Building Layer 3 before phases run would encode guesses as structure — the specific failure this project has otherwise avoided by flagging every node as inferred.</w:t>
      </w:r>
    </w:p>
    <w:p>
      <w:pPr>
        <w:pStyle w:val="ListParagraph"/>
        <w:numPr>
          <w:ilvl w:val="0"/>
          <w:numId w:val="2"/>
        </w:numPr>
        <w:spacing w:after="80" w:line="276"/>
      </w:pPr>
      <w:r>
        <w:rPr>
          <w:sz w:val="21"/>
          <w:szCs w:val="21"/>
        </w:rPr>
        <w:t xml:space="preserve">Readability collapse. See the scale warning in §4. This is the most likely way the work is wasted.</w:t>
      </w:r>
    </w:p>
    <w:p>
      <w:pPr>
        <w:spacing w:after="100"/>
      </w:pPr>
    </w:p>
    <w:p>
      <w:pPr>
        <w:pBdr>
          <w:top w:val="single" w:color="C6CEDC" w:sz="6"/>
        </w:pBdr>
        <w:spacing w:after="100" w:before="200"/>
      </w:pPr>
    </w:p>
    <w:p>
      <w:pPr>
        <w:spacing w:after="120" w:line="276"/>
      </w:pPr>
      <w:r>
        <w:rPr>
          <w:b/>
          <w:bCs/>
          <w:sz w:val="21"/>
          <w:szCs w:val="21"/>
        </w:rPr>
        <w:t xml:space="preserve">Summary. </w:t>
      </w:r>
      <w:r>
        <w:rPr>
          <w:sz w:val="21"/>
          <w:szCs w:val="21"/>
        </w:rPr>
        <w:t xml:space="preserve">Two layers remain unbuilt: a discovery-question layer that turns each phase’s questions into addressable, branchable nodes, and a source-data layer that ties each deliverable to the systems feeding it and the files it becomes. Layer 2 can be authored now from the system prompt; Layer 3 should be built incrementally as phases complete. Neither should be added to the system view — both belong at deeper drill-down levels. Five decisions in §6 need answers before either begins.</w:t>
      </w:r>
    </w:p>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EDC" w:sz="6"/>
      </w:pBdr>
      <w:spacing w:after="40"/>
      <w:jc w:val="right"/>
    </w:pPr>
    <w:r>
      <w:rPr>
        <w:color w:val="6B7280"/>
        <w:sz w:val="16"/>
        <w:szCs w:val="16"/>
      </w:rPr>
      <w:t xml:space="preserve">AAAEE Flowchart — Deferred Layers 2 &amp; 3 — Future Work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00" w:hanging="220"/>
      </w:pPr>
    </w:lvl>
    <w:lvl w:ilvl="2" w15:tentative="1">
      <w:start w:val="1"/>
      <w:numFmt w:val="bullet"/>
      <w:lvlText w:val="·"/>
      <w:lvlJc w:val="left"/>
      <w:pPr>
        <w:ind w:left="11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AAAEE Flowchart — Specification of Deferred Layers 2 and 3</dc:title>
  <dc:creator>AAAEE Project</dc:creator>
  <dc:description>Future-work specification for the discovery-question layer and the source-data connector / file-dependency layer.</dc:description>
  <cp:lastModifiedBy>Un-named</cp:lastModifiedBy>
  <cp:revision>1</cp:revision>
  <dcterms:created xsi:type="dcterms:W3CDTF">2026-08-03T12:33:21.316Z</dcterms:created>
  <dcterms:modified xsi:type="dcterms:W3CDTF">2026-08-03T12:33:21.331Z</dcterms:modified>
</cp:coreProperties>
</file>

<file path=docProps/custom.xml><?xml version="1.0" encoding="utf-8"?>
<Properties xmlns="http://schemas.openxmlformats.org/officeDocument/2006/custom-properties" xmlns:vt="http://schemas.openxmlformats.org/officeDocument/2006/docPropsVTypes"/>
</file>