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8"/>
          <w:szCs w:val="28"/>
        </w:rPr>
        <w:t xml:space="preserve">MOLAY SATRYA INDONESIA GROUP</w:t>
      </w:r>
    </w:p>
    <w:p>
      <w:pPr>
        <w:spacing w:after="80" w:before="0"/>
        <w:jc w:val="center"/>
      </w:pPr>
      <w:r>
        <w:rPr>
          <w:rFonts w:ascii="Arial" w:cs="Arial" w:eastAsia="Arial" w:hAnsi="Arial"/>
          <w:b/>
          <w:bCs/>
          <w:sz w:val="36"/>
          <w:szCs w:val="36"/>
        </w:rPr>
        <w:t xml:space="preserve">THE MSI SITUATION REPORT</w:t>
      </w:r>
    </w:p>
    <w:p>
      <w:pPr>
        <w:spacing w:after="80" w:before="0"/>
        <w:jc w:val="center"/>
      </w:pPr>
      <w:r>
        <w:rPr>
          <w:rFonts w:ascii="Arial" w:cs="Arial" w:eastAsia="Arial" w:hAnsi="Arial"/>
          <w:i/>
          <w:iCs/>
          <w:sz w:val="22"/>
          <w:szCs w:val="22"/>
        </w:rPr>
        <w:t xml:space="preserve">One Vision. Integrated Disciplines.</w:t>
      </w:r>
    </w:p>
    <w:p>
      <w:pPr>
        <w:spacing w:after="160" w:before="80"/>
        <w:jc w:val="center"/>
      </w:pPr>
      <w:r>
        <w:rPr>
          <w:rFonts w:ascii="Arial" w:cs="Arial" w:eastAsia="Arial" w:hAnsi="Arial"/>
          <w:sz w:val="18"/>
          <w:szCs w:val="18"/>
        </w:rPr>
        <w:t xml:space="preserve">CUSTOMER EDITION  //  04 APRIL 2026</w:t>
      </w:r>
    </w:p>
    <w:p>
      <w:pPr>
        <w:pBdr>
          <w:bottom w:val="single" w:color="2E2E2E" w:sz="6" w:space="1"/>
        </w:pBdr>
        <w:spacing w:after="200" w:before="200"/>
      </w:pPr>
      <w:r>
        <w:t xml:space="preserve"/>
      </w:r>
    </w:p>
    <w:p>
      <w:pPr>
        <w:spacing w:after="80" w:before="200"/>
        <w:jc w:val="center"/>
      </w:pPr>
      <w:r>
        <w:rPr>
          <w:rFonts w:ascii="Arial" w:cs="Arial" w:eastAsia="Arial" w:hAnsi="Arial"/>
          <w:b/>
          <w:bCs/>
          <w:sz w:val="24"/>
          <w:szCs w:val="24"/>
        </w:rPr>
        <w:t xml:space="preserve">EDITORIAL THEME: THE COMMAND DISTRICT</w:t>
      </w:r>
    </w:p>
    <w:p>
      <w:pPr>
        <w:spacing w:after="200" w:before="0"/>
        <w:jc w:val="center"/>
      </w:pPr>
      <w:r>
        <w:rPr>
          <w:rFonts w:ascii="Arial" w:cs="Arial" w:eastAsia="Arial" w:hAnsi="Arial"/>
          <w:i/>
          <w:iCs/>
          <w:sz w:val="22"/>
          <w:szCs w:val="22"/>
        </w:rPr>
        <w:t xml:space="preserve">Satu distrik. Tiga disiplin. Satu visi.</w:t>
      </w:r>
    </w:p>
    <w:p>
      <w:pPr>
        <w:pBdr>
          <w:bottom w:val="single" w:color="2E2E2E" w:sz="6" w:space="1"/>
        </w:pBdr>
        <w:spacing w:after="200" w:before="200"/>
      </w:pPr>
      <w:r>
        <w:t xml:space="preserve"/>
      </w:r>
    </w:p>
    <w:p>
      <w:pPr>
        <w:spacing w:after="80" w:before="240"/>
      </w:pPr>
      <w:r>
        <w:rPr>
          <w:rFonts w:ascii="Arial" w:cs="Arial" w:eastAsia="Arial" w:hAnsi="Arial"/>
          <w:b/>
          <w:bCs/>
          <w:sz w:val="18"/>
          <w:szCs w:val="18"/>
        </w:rPr>
        <w:t xml:space="preserve">SECTION I  //  THE INTEL</w:t>
      </w:r>
    </w:p>
    <w:p>
      <w:pPr>
        <w:pStyle w:val="Heading1"/>
      </w:pPr>
      <w:r>
        <w:rPr>
          <w:rFonts w:ascii="Arial" w:cs="Arial" w:eastAsia="Arial" w:hAnsi="Arial"/>
          <w:b/>
          <w:bCs/>
          <w:sz w:val="32"/>
          <w:szCs w:val="32"/>
        </w:rPr>
        <w:t xml:space="preserve">Kebayoran Baru: Kota Satelit yang Tidak Mau Dilupakan</w:t>
      </w:r>
    </w:p>
    <w:p>
      <w:pPr>
        <w:spacing w:after="80" w:before="80"/>
        <w:jc w:val="both"/>
      </w:pPr>
      <w:r>
        <w:rPr>
          <w:rFonts w:ascii="Arial" w:cs="Arial" w:eastAsia="Arial" w:hAnsi="Arial"/>
          <w:sz w:val="22"/>
          <w:szCs w:val="22"/>
        </w:rPr>
        <w:t xml:space="preserve">Sebelum BSD ada, sebelum Tangerang Selatan berkembang menjadi kota mandiri yang kita kenal sekarang, Belanda sudah lebih dulu punya idenya. Kebayoran Baru — yang mulai dibangun sekitar 1948 — adalah versi kolonial dari konsep itu: sebuah kota satelit yang direncanakan, rapi, dipisahkan dari hiruk pikuk Batavia yang padat.</w:t>
      </w:r>
    </w:p>
    <w:p>
      <w:pPr>
        <w:spacing w:after="80" w:before="80"/>
        <w:jc w:val="both"/>
      </w:pPr>
      <w:r>
        <w:rPr>
          <w:rFonts w:ascii="Arial" w:cs="Arial" w:eastAsia="Arial" w:hAnsi="Arial"/>
          <w:sz w:val="22"/>
          <w:szCs w:val="22"/>
        </w:rPr>
        <w:t xml:space="preserve">Bedanya, Kebayoran Baru tidak pernah sepenuhnya Belanda, dan tidak juga sepenuhnya Indonesia. Belanda yang merancang. Indonesia yang mewarisi. Dan pada akhirnya, waktulah yang membentuknya menjadi sesuatu yang lebih menarik.</w:t>
      </w:r>
    </w:p>
    <w:p>
      <w:pPr>
        <w:spacing w:after="80" w:before="80"/>
        <w:jc w:val="both"/>
      </w:pPr>
      <w:r>
        <w:rPr>
          <w:rFonts w:ascii="Arial" w:cs="Arial" w:eastAsia="Arial" w:hAnsi="Arial"/>
          <w:sz w:val="22"/>
          <w:szCs w:val="22"/>
        </w:rPr>
        <w:t xml:space="preserve">Yang paling jelas tersisa dari era itu adalah rumah-rumah Jengki.</w:t>
      </w:r>
    </w:p>
    <w:p>
      <w:pPr>
        <w:spacing w:after="80" w:before="80"/>
        <w:jc w:val="both"/>
      </w:pPr>
      <w:r>
        <w:rPr>
          <w:rFonts w:ascii="Arial" w:cs="Arial" w:eastAsia="Arial" w:hAnsi="Arial"/>
          <w:sz w:val="22"/>
          <w:szCs w:val="22"/>
        </w:rPr>
        <w:t xml:space="preserve">Bagi yang belum familiar: Jengki adalah istilah lokal untuk gaya arsitektur pasca kemerdekaan Indonesia yang khas — atap miring asimetris, ventilasi art deco di bagian atas dinding, proporsi yang tidak simetri tapi entah kenapa enak dipandang. Kata “Jengki” sendiri konon berasal dari “Yankee” — pengaruh budaya Amerika yang ikut masuk seiring berakhirnya pendudukan Belanda.</w:t>
      </w:r>
    </w:p>
    <w:p>
      <w:pPr>
        <w:spacing w:after="80" w:before="80"/>
        <w:jc w:val="both"/>
      </w:pPr>
      <w:r>
        <w:rPr>
          <w:rFonts w:ascii="Arial" w:cs="Arial" w:eastAsia="Arial" w:hAnsi="Arial"/>
          <w:sz w:val="22"/>
          <w:szCs w:val="22"/>
        </w:rPr>
        <w:t xml:space="preserve">Di Kebayoran Baru, jejak-jejak itu masih bisa ditemukan. Area Martimbang adalah yang paling khas — di sini atap miring Jengki masih berdiri, kebanyakan merupakan sisa rumah karyawan Bataafsche Oil Company — Pertamina saat ini. Menjadi wajar, apabila RS Pusat Pertamina (IHC) berada di kawasan yang sama. Area Selong dan koridor Wijaya juga masih menyimpan beberapa bangunan dari era itu, meski semakin lama semakin berkurang.</w:t>
      </w:r>
    </w:p>
    <w:p>
      <w:pPr>
        <w:pBdr>
          <w:left w:val="single" w:color="C9970A" w:sz="12" w:space="10"/>
        </w:pBdr>
        <w:spacing w:after="160" w:before="160"/>
        <w:ind w:left="480" w:right="480"/>
        <w:jc w:val="left"/>
      </w:pPr>
      <w:r>
        <w:rPr>
          <w:rFonts w:ascii="Arial" w:cs="Arial" w:eastAsia="Arial" w:hAnsi="Arial"/>
          <w:i/>
          <w:iCs/>
          <w:sz w:val="22"/>
          <w:szCs w:val="22"/>
        </w:rPr>
        <w:t xml:space="preserve">“Jengki bukan sekadar gaya arsitektur. Ia adalah karakter — peralihan Indonesia dari identitas kolonial menuju sesuatu yang belum sepenuhnya terdefinisikan.”</w:t>
      </w:r>
    </w:p>
    <w:p>
      <w:pPr>
        <w:spacing w:after="80" w:before="80"/>
        <w:jc w:val="both"/>
      </w:pPr>
      <w:r>
        <w:rPr>
          <w:rFonts w:ascii="Arial" w:cs="Arial" w:eastAsia="Arial" w:hAnsi="Arial"/>
          <w:sz w:val="22"/>
          <w:szCs w:val="22"/>
        </w:rPr>
        <w:t xml:space="preserve">Tahukah Anda: Mabes Polri juga merupakan bangunan yang memiliki ciri khas Jengki. Begitu pula rumah dinas Kapolda Metro Jaya di wilayah Sriwijaya. Lubang angin bergaya art deco di bagian atas dinding adalah penandanya yang paling mudah dikenali. Apabila Anda memahami cirinya, Anda akan menemukan banyak sekali bangunan Jengki tersebut. Sekolah Pangudi Luhur di area Brawijaya juga bagian dari era ini.</w:t>
      </w:r>
    </w:p>
    <w:p>
      <w:pPr>
        <w:pBdr>
          <w:bottom w:val="single" w:color="2E2E2E" w:sz="6" w:space="1"/>
        </w:pBdr>
        <w:spacing w:after="200" w:before="200"/>
      </w:pPr>
      <w:r>
        <w:t xml:space="preserve"/>
      </w:r>
    </w:p>
    <w:p>
      <w:pPr>
        <w:spacing w:after="80" w:before="240"/>
      </w:pPr>
      <w:r>
        <w:rPr>
          <w:rFonts w:ascii="Arial" w:cs="Arial" w:eastAsia="Arial" w:hAnsi="Arial"/>
          <w:b/>
          <w:bCs/>
          <w:sz w:val="18"/>
          <w:szCs w:val="18"/>
        </w:rPr>
        <w:t xml:space="preserve">SECTION II  //  PRIMARY RESPONSE  //  MOLAY TACTICAL</w:t>
      </w:r>
    </w:p>
    <w:p>
      <w:pPr>
        <w:pStyle w:val="Heading1"/>
      </w:pPr>
      <w:r>
        <w:rPr>
          <w:rFonts w:ascii="Arial" w:cs="Arial" w:eastAsia="Arial" w:hAnsi="Arial"/>
          <w:b/>
          <w:bCs/>
          <w:sz w:val="32"/>
          <w:szCs w:val="32"/>
        </w:rPr>
        <w:t xml:space="preserve">Mengapa Kami Memilih Wijaya I</w:t>
      </w:r>
    </w:p>
    <w:p>
      <w:pPr>
        <w:spacing w:after="80" w:before="80"/>
        <w:jc w:val="both"/>
      </w:pPr>
      <w:r>
        <w:rPr>
          <w:rFonts w:ascii="Arial" w:cs="Arial" w:eastAsia="Arial" w:hAnsi="Arial"/>
          <w:sz w:val="22"/>
          <w:szCs w:val="22"/>
        </w:rPr>
        <w:t xml:space="preserve">Ketika Molay memutuskan membuka kantor dan toko di Jalan Wijaya I pada tahun 2022, keputusannya bukan semata soal lokasi strategis — meskipun ini juga alasannya. Ini soal kedekatan; kedekatan dengan sejarah Jakarta Selatan yang tidak banyak orang tahu.</w:t>
      </w:r>
    </w:p>
    <w:p>
      <w:pPr>
        <w:spacing w:after="80" w:before="80"/>
        <w:jc w:val="both"/>
      </w:pPr>
      <w:r>
        <w:rPr>
          <w:rFonts w:ascii="Arial" w:cs="Arial" w:eastAsia="Arial" w:hAnsi="Arial"/>
          <w:sz w:val="22"/>
          <w:szCs w:val="22"/>
        </w:rPr>
        <w:t xml:space="preserve">Wijaya I masih menyimpan karakter aslinya. Pohon-pohon tua yang menaungi jalan. Bangunan yang tidak semuanya sudah diruntuhkan dan diganti.</w:t>
      </w:r>
    </w:p>
    <w:p>
      <w:pPr>
        <w:spacing w:after="80" w:before="80"/>
        <w:jc w:val="both"/>
      </w:pPr>
      <w:r>
        <w:rPr>
          <w:rFonts w:ascii="Arial" w:cs="Arial" w:eastAsia="Arial" w:hAnsi="Arial"/>
          <w:sz w:val="22"/>
          <w:szCs w:val="22"/>
        </w:rPr>
        <w:t xml:space="preserve">Kami ingin toko Molay Tactical bukan sekadar tempat beli produk. Kami ingin ia menjadi tujuan; tempat di mana seseorang bisa datang, mencoba langsung gear yang selama ini hanya dilihat di layar, merasakan bobotnya dan konstruksinya.</w:t>
      </w:r>
    </w:p>
    <w:p>
      <w:pPr>
        <w:pBdr>
          <w:bottom w:val="single" w:color="2E2E2E" w:sz="6" w:space="1"/>
        </w:pBdr>
        <w:spacing w:after="200" w:before="200"/>
      </w:pPr>
      <w:r>
        <w:t xml:space="preserve"/>
      </w:r>
    </w:p>
    <w:p>
      <w:pPr>
        <w:spacing w:after="80" w:before="240"/>
      </w:pPr>
      <w:r>
        <w:rPr>
          <w:rFonts w:ascii="Arial" w:cs="Arial" w:eastAsia="Arial" w:hAnsi="Arial"/>
          <w:b/>
          <w:bCs/>
          <w:sz w:val="18"/>
          <w:szCs w:val="18"/>
        </w:rPr>
        <w:t xml:space="preserve">SECTION III  //  SECONDARY DEPLOYMENT  //  DEFENSA COFFEE &amp; THE GUNSLINGER’S HOP</w:t>
      </w:r>
    </w:p>
    <w:p>
      <w:pPr>
        <w:pStyle w:val="Heading1"/>
      </w:pPr>
      <w:r>
        <w:rPr>
          <w:rFonts w:ascii="Arial" w:cs="Arial" w:eastAsia="Arial" w:hAnsi="Arial"/>
          <w:b/>
          <w:bCs/>
          <w:sz w:val="32"/>
          <w:szCs w:val="32"/>
        </w:rPr>
        <w:t xml:space="preserve">Crossover yang Tidak Seharusnya Masuk Akal — tapi Ternyata Berhasil</w:t>
      </w:r>
    </w:p>
    <w:p>
      <w:pPr>
        <w:spacing w:after="80" w:before="80"/>
        <w:jc w:val="both"/>
      </w:pPr>
      <w:r>
        <w:rPr>
          <w:rFonts w:ascii="Arial" w:cs="Arial" w:eastAsia="Arial" w:hAnsi="Arial"/>
          <w:sz w:val="22"/>
          <w:szCs w:val="22"/>
        </w:rPr>
        <w:t xml:space="preserve">Di Jalan Wijaya I yang sama, bangunan yang sama, ada dua ekosistem MSI Group yang mungkin terdengar kontradiktif di atas kertas — tapi ternyata terkesan menjadi satu.</w:t>
      </w:r>
    </w:p>
    <w:p>
      <w:pPr>
        <w:spacing w:after="80" w:before="80"/>
        <w:jc w:val="both"/>
      </w:pPr>
      <w:r>
        <w:rPr>
          <w:rFonts w:ascii="Arial" w:cs="Arial" w:eastAsia="Arial" w:hAnsi="Arial"/>
          <w:sz w:val="22"/>
          <w:szCs w:val="22"/>
        </w:rPr>
        <w:t xml:space="preserve">Defensa Coffee Outpost adalah yang pertama. Sebuah coffee shop bertema vintage, dimana tamu bisa menikmati seduhan kopi sembari mendengarkan lagu dari speaker Roger LS3/5A yang jernih. Duduk, sembari sekedar membuka laptop, membaca brief di pagi atau sore hari terasa sangat hangat.</w:t>
      </w:r>
    </w:p>
    <w:p>
      <w:pPr>
        <w:spacing w:after="80" w:before="80"/>
        <w:jc w:val="both"/>
      </w:pPr>
      <w:r>
        <w:rPr>
          <w:rFonts w:ascii="Arial" w:cs="Arial" w:eastAsia="Arial" w:hAnsi="Arial"/>
          <w:sz w:val="22"/>
          <w:szCs w:val="22"/>
        </w:rPr>
        <w:t xml:space="preserve">Yang lebih menarik adalah The Gunslinger’s Hop.</w:t>
      </w:r>
    </w:p>
    <w:p>
      <w:pPr>
        <w:spacing w:after="80" w:before="80"/>
        <w:jc w:val="both"/>
      </w:pPr>
      <w:r>
        <w:rPr>
          <w:rFonts w:ascii="Arial" w:cs="Arial" w:eastAsia="Arial" w:hAnsi="Arial"/>
          <w:sz w:val="22"/>
          <w:szCs w:val="22"/>
        </w:rPr>
        <w:t xml:space="preserve">GSH sudah menjadi nama yang dikenal di kalangan pecinta jazz Jakarta Selatan. Bukan hanya karena musik yang ditampilkan; Societeit de Harmonie ft. Natasya Elvira yang bertumbuh bersama GSH itu sendiri. Begitu pula dengan karakter yang terasa berbeda. Minuman yang dikurasi, interior yang membawa kamu kembali ke era dimana para perwira militer di jaman dahulu kala menghabiskan hari setelah bertugas.</w:t>
      </w:r>
    </w:p>
    <w:p>
      <w:pPr>
        <w:spacing w:after="80" w:before="80"/>
        <w:jc w:val="both"/>
      </w:pPr>
      <w:r>
        <w:rPr>
          <w:rFonts w:ascii="Arial" w:cs="Arial" w:eastAsia="Arial" w:hAnsi="Arial"/>
          <w:sz w:val="22"/>
          <w:szCs w:val="22"/>
        </w:rPr>
        <w:t xml:space="preserve">Reaksi pertama banyak orang ketika mendengar bahwa GSH dan Molay Tactical berada dalam satu tempat akan membuat orang merasa itu bukan hal yang wajar untuk bisa disatukan. Namun ternyata, ini merupakan hal yang sangat berbeda.</w:t>
      </w:r>
    </w:p>
    <w:p>
      <w:pPr>
        <w:pBdr>
          <w:left w:val="single" w:color="C9970A" w:sz="12" w:space="10"/>
        </w:pBdr>
        <w:spacing w:after="160" w:before="160"/>
        <w:ind w:left="480" w:right="480"/>
        <w:jc w:val="left"/>
      </w:pPr>
      <w:r>
        <w:rPr>
          <w:rFonts w:ascii="Arial" w:cs="Arial" w:eastAsia="Arial" w:hAnsi="Arial"/>
          <w:i/>
          <w:iCs/>
          <w:sz w:val="22"/>
          <w:szCs w:val="22"/>
        </w:rPr>
        <w:t xml:space="preserve">“Tidak banyak tempat di Jakarta di mana seorang perwira, seorang jazz enthusiast, petinggi perusahaan industri pertahanan, dan sekedar anak muda nongkrong bisa duduk di meja yang sama.”</w:t>
      </w:r>
    </w:p>
    <w:p>
      <w:pPr>
        <w:spacing w:after="80" w:before="80"/>
        <w:jc w:val="both"/>
      </w:pPr>
      <w:r>
        <w:rPr>
          <w:rFonts w:ascii="Arial" w:cs="Arial" w:eastAsia="Arial" w:hAnsi="Arial"/>
          <w:sz w:val="22"/>
          <w:szCs w:val="22"/>
        </w:rPr>
        <w:t xml:space="preserve">Itulah hal yang kami inginkan — bukan persimpangan yang dipaksakan demi konten, tapi pertemuan yang terjadi secara organik antara komunitas yang tidak disangka-sangka menyukai hal yang sama.</w:t>
      </w:r>
    </w:p>
    <w:p>
      <w:pPr>
        <w:spacing w:after="80" w:before="80"/>
        <w:jc w:val="both"/>
      </w:pPr>
      <w:r>
        <w:rPr>
          <w:rFonts w:ascii="Arial" w:cs="Arial" w:eastAsia="Arial" w:hAnsi="Arial"/>
          <w:sz w:val="22"/>
          <w:szCs w:val="22"/>
        </w:rPr>
        <w:t xml:space="preserve">Ini yang kami maksud ketika berbicara soal “membangun budaya.” Bukan sekadar merek tactical. Molay ingin menjadi sebuah simbol tentang keberlanjutan, modern, namun tetap mengakar kepada ke-Indonesia-an yang selama ini sudah dibangun.</w:t>
      </w:r>
    </w:p>
    <w:p>
      <w:pPr>
        <w:pBdr>
          <w:bottom w:val="single" w:color="2E2E2E" w:sz="6" w:space="1"/>
        </w:pBdr>
        <w:spacing w:after="200" w:before="200"/>
      </w:pPr>
      <w:r>
        <w:t xml:space="preserve"/>
      </w:r>
    </w:p>
    <w:p>
      <w:pPr>
        <w:spacing w:after="120" w:before="200"/>
        <w:jc w:val="center"/>
      </w:pPr>
      <w:r>
        <w:rPr>
          <w:rFonts w:ascii="Arial" w:cs="Arial" w:eastAsia="Arial" w:hAnsi="Arial"/>
          <w:b/>
          <w:bCs/>
          <w:sz w:val="18"/>
          <w:szCs w:val="18"/>
        </w:rPr>
        <w:t xml:space="preserve">THE COMMAND STATEMENT</w:t>
      </w:r>
    </w:p>
    <w:p>
      <w:pPr>
        <w:spacing w:after="200" w:before="80"/>
        <w:ind w:left="480" w:right="480"/>
        <w:jc w:val="both"/>
      </w:pPr>
      <w:r>
        <w:rPr>
          <w:rFonts w:ascii="Arial" w:cs="Arial" w:eastAsia="Arial" w:hAnsi="Arial"/>
          <w:i/>
          <w:iCs/>
          <w:sz w:val="24"/>
          <w:szCs w:val="24"/>
        </w:rPr>
        <w:t xml:space="preserve">Kebayoran Baru mengajarkan sesuatu yang sederhana: hal-hal yang dibangun dengan niat — bangunan, musik, perlengkapan, atau secangkir kopi — bisa bertahan melewati era yang mencoba menggantikannya.</w:t>
      </w:r>
    </w:p>
    <w:p>
      <w:pPr>
        <w:spacing w:after="60" w:before="80"/>
        <w:jc w:val="center"/>
      </w:pPr>
      <w:r>
        <w:rPr>
          <w:rFonts w:ascii="Arial" w:cs="Arial" w:eastAsia="Arial" w:hAnsi="Arial"/>
          <w:b/>
          <w:bCs/>
          <w:sz w:val="18"/>
          <w:szCs w:val="18"/>
        </w:rPr>
        <w:t xml:space="preserve">PROCURE THE GEAR  //  molaytactical.com</w:t>
      </w:r>
    </w:p>
    <w:p>
      <w:pPr>
        <w:spacing w:after="60" w:before="0"/>
        <w:jc w:val="center"/>
      </w:pPr>
      <w:r>
        <w:rPr>
          <w:rFonts w:ascii="Arial" w:cs="Arial" w:eastAsia="Arial" w:hAnsi="Arial"/>
          <w:b/>
          <w:bCs/>
          <w:sz w:val="18"/>
          <w:szCs w:val="18"/>
        </w:rPr>
        <w:t xml:space="preserve">ENTER THE OUTPOST  //  @defensa.co</w:t>
      </w:r>
    </w:p>
    <w:p>
      <w:pPr>
        <w:spacing w:after="160" w:before="0"/>
        <w:jc w:val="center"/>
      </w:pPr>
      <w:r>
        <w:rPr>
          <w:rFonts w:ascii="Arial" w:cs="Arial" w:eastAsia="Arial" w:hAnsi="Arial"/>
          <w:b/>
          <w:bCs/>
          <w:sz w:val="18"/>
          <w:szCs w:val="18"/>
        </w:rPr>
        <w:t xml:space="preserve">THE GUNSLINGER’S HOP  //  Jl. Wijaya I No. 73  //  @gsh.jakarta  //  seeyouatthehop.com</w:t>
      </w:r>
    </w:p>
    <w:p>
      <w:pPr>
        <w:spacing w:after="240" w:before="120"/>
        <w:jc w:val="center"/>
      </w:pPr>
      <w:r>
        <w:rPr>
          <w:rFonts w:ascii="Arial" w:cs="Arial" w:eastAsia="Arial" w:hAnsi="Arial"/>
          <w:b/>
          <w:bCs/>
          <w:sz w:val="22"/>
          <w:szCs w:val="22"/>
        </w:rPr>
        <w:t xml:space="preserve">CUSTODI SERVIENTEM.</w:t>
      </w:r>
    </w:p>
    <w:p>
      <w:pPr>
        <w:pBdr>
          <w:bottom w:val="single" w:color="2E2E2E" w:sz="6" w:space="1"/>
        </w:pBdr>
        <w:spacing w:after="200" w:before="200"/>
      </w:pPr>
      <w:r>
        <w:t xml:space="preserve"/>
      </w:r>
    </w:p>
    <w:p>
      <w:pPr>
        <w:spacing w:after="80" w:before="200"/>
      </w:pPr>
      <w:r>
        <w:rPr>
          <w:rFonts w:ascii="Arial" w:cs="Arial" w:eastAsia="Arial" w:hAnsi="Arial"/>
          <w:b/>
          <w:bCs/>
          <w:sz w:val="18"/>
          <w:szCs w:val="18"/>
        </w:rPr>
        <w:t xml:space="preserve">INTELLIGENCE SOURCES</w:t>
      </w:r>
    </w:p>
    <w:p>
      <w:pPr>
        <w:spacing w:after="40" w:before="40"/>
      </w:pPr>
      <w:r>
        <w:rPr>
          <w:rFonts w:ascii="Arial" w:cs="Arial" w:eastAsia="Arial" w:hAnsi="Arial"/>
          <w:sz w:val="18"/>
          <w:szCs w:val="18"/>
        </w:rPr>
        <w:t xml:space="preserve">Jakarta Heritage Trust — Kebayoran Baru Post-Colonial Garden City  //  Bataafsche Petroleum Maatschappij (BPM) Historical Records  //  Timeout Jakarta — The Gunslinger’s Hop  //  MSI Group,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2026-04-04T08:19:37.787Z</dcterms:created>
  <dcterms:modified xsi:type="dcterms:W3CDTF">2026-04-04T08:19:37.788Z</dcterms:modified>
</cp:coreProperties>
</file>

<file path=docProps/custom.xml><?xml version="1.0" encoding="utf-8"?>
<Properties xmlns="http://schemas.openxmlformats.org/officeDocument/2006/custom-properties" xmlns:vt="http://schemas.openxmlformats.org/officeDocument/2006/docPropsVTypes"/>
</file>